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7C546" w14:textId="05BD868B" w:rsidR="00FC6F7D" w:rsidRPr="00FC6F7D" w:rsidRDefault="00810AB4" w:rsidP="00F029B3">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CC3C5B">
        <w:rPr>
          <w:rFonts w:ascii="Times New Roman" w:hAnsi="Times New Roman" w:cs="Times New Roman"/>
          <w:b/>
          <w:sz w:val="24"/>
          <w:szCs w:val="24"/>
        </w:rPr>
        <w:t xml:space="preserve">An Empirical Examination of </w:t>
      </w:r>
      <w:r w:rsidR="00BF0DA8">
        <w:rPr>
          <w:rFonts w:ascii="Times New Roman" w:hAnsi="Times New Roman" w:cs="Times New Roman"/>
          <w:b/>
          <w:sz w:val="24"/>
          <w:szCs w:val="24"/>
        </w:rPr>
        <w:t xml:space="preserve">Agency Statutory Interpretation </w:t>
      </w:r>
    </w:p>
    <w:p w14:paraId="53F8640C" w14:textId="51D3E778" w:rsidR="006E0073" w:rsidRPr="00FC6F7D" w:rsidRDefault="00213723" w:rsidP="00F029B3">
      <w:pPr>
        <w:spacing w:line="240" w:lineRule="auto"/>
        <w:rPr>
          <w:rFonts w:ascii="Times New Roman" w:hAnsi="Times New Roman" w:cs="Times New Roman"/>
          <w:b/>
          <w:sz w:val="24"/>
          <w:szCs w:val="24"/>
        </w:rPr>
      </w:pPr>
      <w:r>
        <w:rPr>
          <w:rFonts w:ascii="Times New Roman" w:hAnsi="Times New Roman" w:cs="Times New Roman"/>
          <w:b/>
          <w:sz w:val="24"/>
          <w:szCs w:val="24"/>
        </w:rPr>
        <w:t>By Amy Semet</w:t>
      </w:r>
      <w:bookmarkStart w:id="1" w:name="_Ref460903972"/>
      <w:r>
        <w:rPr>
          <w:rStyle w:val="FootnoteReference"/>
          <w:rFonts w:ascii="Times New Roman" w:hAnsi="Times New Roman" w:cs="Times New Roman"/>
          <w:b/>
          <w:sz w:val="24"/>
          <w:szCs w:val="24"/>
        </w:rPr>
        <w:footnoteReference w:id="1"/>
      </w:r>
      <w:bookmarkEnd w:id="1"/>
    </w:p>
    <w:p w14:paraId="6201A5D4" w14:textId="7DB12412" w:rsidR="00254F0A" w:rsidRPr="00EC5167" w:rsidRDefault="00AB1B52" w:rsidP="0088741C">
      <w:pPr>
        <w:spacing w:line="240" w:lineRule="auto"/>
        <w:rPr>
          <w:rFonts w:ascii="Times New Roman" w:hAnsi="Times New Roman" w:cs="Times New Roman"/>
          <w:sz w:val="24"/>
          <w:szCs w:val="24"/>
        </w:rPr>
      </w:pPr>
      <w:r w:rsidRPr="00EC5167">
        <w:rPr>
          <w:rFonts w:ascii="Times New Roman" w:hAnsi="Times New Roman" w:cs="Times New Roman"/>
          <w:sz w:val="24"/>
          <w:szCs w:val="24"/>
        </w:rPr>
        <w:t>How d</w:t>
      </w:r>
      <w:r w:rsidR="00AD6427" w:rsidRPr="00EC5167">
        <w:rPr>
          <w:rFonts w:ascii="Times New Roman" w:hAnsi="Times New Roman" w:cs="Times New Roman"/>
          <w:sz w:val="24"/>
          <w:szCs w:val="24"/>
        </w:rPr>
        <w:t>oes an administrative agency act</w:t>
      </w:r>
      <w:r w:rsidRPr="00EC5167">
        <w:rPr>
          <w:rFonts w:ascii="Times New Roman" w:hAnsi="Times New Roman" w:cs="Times New Roman"/>
          <w:sz w:val="24"/>
          <w:szCs w:val="24"/>
        </w:rPr>
        <w:t xml:space="preserve">ually interpret statutes? </w:t>
      </w:r>
      <w:r w:rsidR="001A7FD3">
        <w:rPr>
          <w:rFonts w:ascii="Times New Roman" w:hAnsi="Times New Roman" w:cs="Times New Roman"/>
          <w:sz w:val="24"/>
          <w:szCs w:val="24"/>
        </w:rPr>
        <w:t xml:space="preserve">In recent years, there </w:t>
      </w:r>
      <w:r w:rsidR="00134601">
        <w:rPr>
          <w:rFonts w:ascii="Times New Roman" w:hAnsi="Times New Roman" w:cs="Times New Roman"/>
          <w:sz w:val="24"/>
          <w:szCs w:val="24"/>
        </w:rPr>
        <w:t>have been</w:t>
      </w:r>
      <w:r w:rsidR="001A7FD3">
        <w:rPr>
          <w:rFonts w:ascii="Times New Roman" w:hAnsi="Times New Roman" w:cs="Times New Roman"/>
          <w:sz w:val="24"/>
          <w:szCs w:val="24"/>
        </w:rPr>
        <w:t xml:space="preserve"> increased call</w:t>
      </w:r>
      <w:r w:rsidR="00134601">
        <w:rPr>
          <w:rFonts w:ascii="Times New Roman" w:hAnsi="Times New Roman" w:cs="Times New Roman"/>
          <w:sz w:val="24"/>
          <w:szCs w:val="24"/>
        </w:rPr>
        <w:t>s</w:t>
      </w:r>
      <w:r w:rsidR="001A7FD3">
        <w:rPr>
          <w:rFonts w:ascii="Times New Roman" w:hAnsi="Times New Roman" w:cs="Times New Roman"/>
          <w:sz w:val="24"/>
          <w:szCs w:val="24"/>
        </w:rPr>
        <w:t xml:space="preserve"> to empirically examine the administrative state. Scholars have done surveys of both congressional drafters and agency personnel to discern what they know and think </w:t>
      </w:r>
      <w:r w:rsidR="00A37BF0">
        <w:rPr>
          <w:rFonts w:ascii="Times New Roman" w:hAnsi="Times New Roman" w:cs="Times New Roman"/>
          <w:sz w:val="24"/>
          <w:szCs w:val="24"/>
        </w:rPr>
        <w:t xml:space="preserve">about statutory interpretation. </w:t>
      </w:r>
      <w:r w:rsidR="001A7FD3">
        <w:rPr>
          <w:rFonts w:ascii="Times New Roman" w:hAnsi="Times New Roman" w:cs="Times New Roman"/>
          <w:sz w:val="24"/>
          <w:szCs w:val="24"/>
        </w:rPr>
        <w:t xml:space="preserve">There is still much to learn about what agencies actually do when they interpret statutes. </w:t>
      </w:r>
      <w:r w:rsidR="00254F0A" w:rsidRPr="00EC5167">
        <w:rPr>
          <w:rFonts w:ascii="Times New Roman" w:hAnsi="Times New Roman" w:cs="Times New Roman"/>
          <w:sz w:val="24"/>
          <w:szCs w:val="24"/>
        </w:rPr>
        <w:t>This A</w:t>
      </w:r>
      <w:r w:rsidR="00DB0A3A" w:rsidRPr="00EC5167">
        <w:rPr>
          <w:rFonts w:ascii="Times New Roman" w:hAnsi="Times New Roman" w:cs="Times New Roman"/>
          <w:sz w:val="24"/>
          <w:szCs w:val="24"/>
        </w:rPr>
        <w:t xml:space="preserve">rticle </w:t>
      </w:r>
      <w:r w:rsidR="00A10FDB" w:rsidRPr="00EC5167">
        <w:rPr>
          <w:rFonts w:ascii="Times New Roman" w:hAnsi="Times New Roman" w:cs="Times New Roman"/>
          <w:sz w:val="24"/>
          <w:szCs w:val="24"/>
        </w:rPr>
        <w:t>looks</w:t>
      </w:r>
      <w:r w:rsidR="00DB0A3A" w:rsidRPr="00EC5167">
        <w:rPr>
          <w:rFonts w:ascii="Times New Roman" w:hAnsi="Times New Roman" w:cs="Times New Roman"/>
          <w:sz w:val="24"/>
          <w:szCs w:val="24"/>
        </w:rPr>
        <w:t xml:space="preserve"> behind the black box of </w:t>
      </w:r>
      <w:r w:rsidR="00171C20">
        <w:rPr>
          <w:rFonts w:ascii="Times New Roman" w:hAnsi="Times New Roman" w:cs="Times New Roman"/>
          <w:sz w:val="24"/>
          <w:szCs w:val="24"/>
        </w:rPr>
        <w:t xml:space="preserve">agency </w:t>
      </w:r>
      <w:r w:rsidR="00690723" w:rsidRPr="00EC5167">
        <w:rPr>
          <w:rFonts w:ascii="Times New Roman" w:hAnsi="Times New Roman" w:cs="Times New Roman"/>
          <w:sz w:val="24"/>
          <w:szCs w:val="24"/>
        </w:rPr>
        <w:t xml:space="preserve">statutory interpretation </w:t>
      </w:r>
      <w:r w:rsidR="00A35CC8" w:rsidRPr="00EC5167">
        <w:rPr>
          <w:rFonts w:ascii="Times New Roman" w:hAnsi="Times New Roman" w:cs="Times New Roman"/>
          <w:sz w:val="24"/>
          <w:szCs w:val="24"/>
        </w:rPr>
        <w:t xml:space="preserve">to </w:t>
      </w:r>
      <w:r w:rsidR="0022052B" w:rsidRPr="00EC5167">
        <w:rPr>
          <w:rFonts w:ascii="Times New Roman" w:hAnsi="Times New Roman" w:cs="Times New Roman"/>
          <w:sz w:val="24"/>
          <w:szCs w:val="24"/>
        </w:rPr>
        <w:t xml:space="preserve">review </w:t>
      </w:r>
      <w:r w:rsidR="00DB0A3A" w:rsidRPr="00EC5167">
        <w:rPr>
          <w:rFonts w:ascii="Times New Roman" w:hAnsi="Times New Roman" w:cs="Times New Roman"/>
          <w:sz w:val="24"/>
          <w:szCs w:val="24"/>
        </w:rPr>
        <w:t xml:space="preserve">how administrative agencies use canons and other tools of statutory interpretation </w:t>
      </w:r>
      <w:r w:rsidR="0022052B" w:rsidRPr="00EC5167">
        <w:rPr>
          <w:rFonts w:ascii="Times New Roman" w:hAnsi="Times New Roman" w:cs="Times New Roman"/>
          <w:sz w:val="24"/>
          <w:szCs w:val="24"/>
        </w:rPr>
        <w:t>to decide</w:t>
      </w:r>
      <w:r w:rsidR="00DB0A3A" w:rsidRPr="00EC5167">
        <w:rPr>
          <w:rFonts w:ascii="Times New Roman" w:hAnsi="Times New Roman" w:cs="Times New Roman"/>
          <w:sz w:val="24"/>
          <w:szCs w:val="24"/>
        </w:rPr>
        <w:t xml:space="preserve"> cases.</w:t>
      </w:r>
      <w:r w:rsidRPr="00EC5167">
        <w:rPr>
          <w:rFonts w:ascii="Times New Roman" w:hAnsi="Times New Roman" w:cs="Times New Roman"/>
          <w:sz w:val="24"/>
          <w:szCs w:val="24"/>
        </w:rPr>
        <w:t xml:space="preserve"> </w:t>
      </w:r>
      <w:r w:rsidR="00855424">
        <w:rPr>
          <w:rFonts w:ascii="Times New Roman" w:hAnsi="Times New Roman" w:cs="Times New Roman"/>
          <w:sz w:val="24"/>
          <w:szCs w:val="24"/>
        </w:rPr>
        <w:t xml:space="preserve">I </w:t>
      </w:r>
      <w:r w:rsidR="001A7FD3">
        <w:rPr>
          <w:rFonts w:ascii="Times New Roman" w:hAnsi="Times New Roman" w:cs="Times New Roman"/>
          <w:sz w:val="24"/>
          <w:szCs w:val="24"/>
        </w:rPr>
        <w:t xml:space="preserve">empirically </w:t>
      </w:r>
      <w:r w:rsidR="00855424">
        <w:rPr>
          <w:rFonts w:ascii="Times New Roman" w:hAnsi="Times New Roman" w:cs="Times New Roman"/>
          <w:sz w:val="24"/>
          <w:szCs w:val="24"/>
        </w:rPr>
        <w:t>analyze</w:t>
      </w:r>
      <w:r w:rsidR="00226830" w:rsidRPr="00EC5167">
        <w:rPr>
          <w:rFonts w:ascii="Times New Roman" w:hAnsi="Times New Roman" w:cs="Times New Roman"/>
          <w:sz w:val="24"/>
          <w:szCs w:val="24"/>
        </w:rPr>
        <w:t xml:space="preserve"> </w:t>
      </w:r>
      <w:r w:rsidRPr="00EC5167">
        <w:rPr>
          <w:rFonts w:ascii="Times New Roman" w:hAnsi="Times New Roman" w:cs="Times New Roman"/>
          <w:sz w:val="24"/>
          <w:szCs w:val="24"/>
        </w:rPr>
        <w:t>National Labor Rela</w:t>
      </w:r>
      <w:r w:rsidR="00FC6F7D" w:rsidRPr="00EC5167">
        <w:rPr>
          <w:rFonts w:ascii="Times New Roman" w:hAnsi="Times New Roman" w:cs="Times New Roman"/>
          <w:sz w:val="24"/>
          <w:szCs w:val="24"/>
        </w:rPr>
        <w:t>tions Board</w:t>
      </w:r>
      <w:r w:rsidR="0022052B" w:rsidRPr="00EC5167">
        <w:rPr>
          <w:rFonts w:ascii="Times New Roman" w:hAnsi="Times New Roman" w:cs="Times New Roman"/>
          <w:sz w:val="24"/>
          <w:szCs w:val="24"/>
        </w:rPr>
        <w:t xml:space="preserve"> (“NLRB”)</w:t>
      </w:r>
      <w:r w:rsidR="0025681F">
        <w:rPr>
          <w:rFonts w:ascii="Times New Roman" w:hAnsi="Times New Roman" w:cs="Times New Roman"/>
          <w:sz w:val="24"/>
          <w:szCs w:val="24"/>
        </w:rPr>
        <w:t xml:space="preserve"> cases from 1993-2016</w:t>
      </w:r>
      <w:r w:rsidR="00855424">
        <w:rPr>
          <w:rFonts w:ascii="Times New Roman" w:hAnsi="Times New Roman" w:cs="Times New Roman"/>
          <w:sz w:val="24"/>
          <w:szCs w:val="24"/>
        </w:rPr>
        <w:t xml:space="preserve"> to study</w:t>
      </w:r>
      <w:r w:rsidR="0088741C" w:rsidRPr="00EC5167">
        <w:rPr>
          <w:rFonts w:ascii="Times New Roman" w:hAnsi="Times New Roman" w:cs="Times New Roman"/>
          <w:sz w:val="24"/>
          <w:szCs w:val="24"/>
        </w:rPr>
        <w:t xml:space="preserve"> what statutory methodologies the Board uses in its decisions</w:t>
      </w:r>
      <w:r w:rsidR="001A7FD3">
        <w:rPr>
          <w:rFonts w:ascii="Times New Roman" w:hAnsi="Times New Roman" w:cs="Times New Roman"/>
          <w:sz w:val="24"/>
          <w:szCs w:val="24"/>
        </w:rPr>
        <w:t xml:space="preserve"> in an attempt to uncover patterns of how the Board has interpreted statutes over time.</w:t>
      </w:r>
      <w:r w:rsidR="00E54013">
        <w:rPr>
          <w:rFonts w:ascii="Times New Roman" w:hAnsi="Times New Roman" w:cs="Times New Roman"/>
          <w:sz w:val="24"/>
          <w:szCs w:val="24"/>
        </w:rPr>
        <w:t xml:space="preserve"> </w:t>
      </w:r>
      <w:r w:rsidR="001A7FD3">
        <w:rPr>
          <w:rFonts w:ascii="Times New Roman" w:hAnsi="Times New Roman" w:cs="Times New Roman"/>
          <w:sz w:val="24"/>
          <w:szCs w:val="24"/>
        </w:rPr>
        <w:t xml:space="preserve">I find that </w:t>
      </w:r>
      <w:r w:rsidR="00E54013">
        <w:rPr>
          <w:rFonts w:ascii="Times New Roman" w:hAnsi="Times New Roman" w:cs="Times New Roman"/>
          <w:sz w:val="24"/>
          <w:szCs w:val="24"/>
        </w:rPr>
        <w:t xml:space="preserve">Board members </w:t>
      </w:r>
      <w:r w:rsidR="00E05A56">
        <w:rPr>
          <w:rFonts w:ascii="Times New Roman" w:hAnsi="Times New Roman" w:cs="Times New Roman"/>
          <w:sz w:val="24"/>
          <w:szCs w:val="24"/>
        </w:rPr>
        <w:t>largely interpret</w:t>
      </w:r>
      <w:r w:rsidR="0021249D">
        <w:rPr>
          <w:rFonts w:ascii="Times New Roman" w:hAnsi="Times New Roman" w:cs="Times New Roman"/>
          <w:sz w:val="24"/>
          <w:szCs w:val="24"/>
        </w:rPr>
        <w:t xml:space="preserve"> statutes to advance a policy agenda, switching </w:t>
      </w:r>
      <w:r w:rsidR="0022052B" w:rsidRPr="00EC5167">
        <w:rPr>
          <w:rFonts w:ascii="Times New Roman" w:hAnsi="Times New Roman" w:cs="Times New Roman"/>
          <w:sz w:val="24"/>
          <w:szCs w:val="24"/>
        </w:rPr>
        <w:t xml:space="preserve">between </w:t>
      </w:r>
      <w:r w:rsidR="000D6DF3" w:rsidRPr="00EC5167">
        <w:rPr>
          <w:rFonts w:ascii="Times New Roman" w:hAnsi="Times New Roman" w:cs="Times New Roman"/>
          <w:sz w:val="24"/>
          <w:szCs w:val="24"/>
        </w:rPr>
        <w:t>methods depending upon the</w:t>
      </w:r>
      <w:r w:rsidR="0022052B" w:rsidRPr="00EC5167">
        <w:rPr>
          <w:rFonts w:ascii="Times New Roman" w:hAnsi="Times New Roman" w:cs="Times New Roman"/>
          <w:sz w:val="24"/>
          <w:szCs w:val="24"/>
        </w:rPr>
        <w:t xml:space="preserve"> partisan outcome the Board seeks</w:t>
      </w:r>
      <w:r w:rsidR="000D6DF3" w:rsidRPr="00EC5167">
        <w:rPr>
          <w:rFonts w:ascii="Times New Roman" w:hAnsi="Times New Roman" w:cs="Times New Roman"/>
          <w:sz w:val="24"/>
          <w:szCs w:val="24"/>
        </w:rPr>
        <w:t xml:space="preserve">. For instance, Republican Board members use textualist canons to narrowly construe the statute when the case involves a suit alleging wrongdoing by an employer, but </w:t>
      </w:r>
      <w:r w:rsidR="0021249D">
        <w:rPr>
          <w:rFonts w:ascii="Times New Roman" w:hAnsi="Times New Roman" w:cs="Times New Roman"/>
          <w:sz w:val="24"/>
          <w:szCs w:val="24"/>
        </w:rPr>
        <w:t xml:space="preserve">then switch </w:t>
      </w:r>
      <w:r w:rsidR="00940E68">
        <w:rPr>
          <w:rFonts w:ascii="Times New Roman" w:hAnsi="Times New Roman" w:cs="Times New Roman"/>
          <w:sz w:val="24"/>
          <w:szCs w:val="24"/>
        </w:rPr>
        <w:t>to a purposive method to find a violation when litigants argue that a labor union is in violation of law</w:t>
      </w:r>
      <w:r w:rsidR="000D6DF3" w:rsidRPr="00EC5167">
        <w:rPr>
          <w:rFonts w:ascii="Times New Roman" w:hAnsi="Times New Roman" w:cs="Times New Roman"/>
          <w:sz w:val="24"/>
          <w:szCs w:val="24"/>
        </w:rPr>
        <w:t xml:space="preserve">. Democratic Board members are no different in their selective use of statutory </w:t>
      </w:r>
      <w:r w:rsidR="0022052B" w:rsidRPr="00EC5167">
        <w:rPr>
          <w:rFonts w:ascii="Times New Roman" w:hAnsi="Times New Roman" w:cs="Times New Roman"/>
          <w:sz w:val="24"/>
          <w:szCs w:val="24"/>
        </w:rPr>
        <w:t>methodologies</w:t>
      </w:r>
      <w:r w:rsidR="000D6DF3" w:rsidRPr="00EC5167">
        <w:rPr>
          <w:rFonts w:ascii="Times New Roman" w:hAnsi="Times New Roman" w:cs="Times New Roman"/>
          <w:sz w:val="24"/>
          <w:szCs w:val="24"/>
        </w:rPr>
        <w:t xml:space="preserve"> to </w:t>
      </w:r>
      <w:r w:rsidR="00940E68">
        <w:rPr>
          <w:rFonts w:ascii="Times New Roman" w:hAnsi="Times New Roman" w:cs="Times New Roman"/>
          <w:sz w:val="24"/>
          <w:szCs w:val="24"/>
        </w:rPr>
        <w:t xml:space="preserve">arrive at </w:t>
      </w:r>
      <w:r w:rsidR="000D6DF3" w:rsidRPr="00EC5167">
        <w:rPr>
          <w:rFonts w:ascii="Times New Roman" w:hAnsi="Times New Roman" w:cs="Times New Roman"/>
          <w:sz w:val="24"/>
          <w:szCs w:val="24"/>
        </w:rPr>
        <w:t xml:space="preserve">the result most pleasing to labor. In addition, Board members use statutory </w:t>
      </w:r>
      <w:r w:rsidR="00E54013">
        <w:rPr>
          <w:rFonts w:ascii="Times New Roman" w:hAnsi="Times New Roman" w:cs="Times New Roman"/>
          <w:sz w:val="24"/>
          <w:szCs w:val="24"/>
        </w:rPr>
        <w:t>methodologies</w:t>
      </w:r>
      <w:r w:rsidR="000D6DF3" w:rsidRPr="00EC5167">
        <w:rPr>
          <w:rFonts w:ascii="Times New Roman" w:hAnsi="Times New Roman" w:cs="Times New Roman"/>
          <w:sz w:val="24"/>
          <w:szCs w:val="24"/>
        </w:rPr>
        <w:t xml:space="preserve"> to dueling purposes</w:t>
      </w:r>
      <w:r w:rsidR="00940E68">
        <w:rPr>
          <w:rFonts w:ascii="Times New Roman" w:hAnsi="Times New Roman" w:cs="Times New Roman"/>
          <w:sz w:val="24"/>
          <w:szCs w:val="24"/>
        </w:rPr>
        <w:t xml:space="preserve">, with majority and dissenting Board members often using </w:t>
      </w:r>
      <w:r w:rsidR="006E3956">
        <w:rPr>
          <w:rFonts w:ascii="Times New Roman" w:hAnsi="Times New Roman" w:cs="Times New Roman"/>
          <w:sz w:val="24"/>
          <w:szCs w:val="24"/>
        </w:rPr>
        <w:t>the same statutory methodology</w:t>
      </w:r>
      <w:r w:rsidR="00940E68">
        <w:rPr>
          <w:rFonts w:ascii="Times New Roman" w:hAnsi="Times New Roman" w:cs="Times New Roman"/>
          <w:sz w:val="24"/>
          <w:szCs w:val="24"/>
        </w:rPr>
        <w:t xml:space="preserve"> to support contrasting outcomes</w:t>
      </w:r>
      <w:r w:rsidR="00F45640">
        <w:rPr>
          <w:rFonts w:ascii="Times New Roman" w:hAnsi="Times New Roman" w:cs="Times New Roman"/>
          <w:sz w:val="24"/>
          <w:szCs w:val="24"/>
        </w:rPr>
        <w:t>.</w:t>
      </w:r>
      <w:r w:rsidR="00CF5081">
        <w:rPr>
          <w:rFonts w:ascii="Times New Roman" w:hAnsi="Times New Roman" w:cs="Times New Roman"/>
          <w:sz w:val="24"/>
          <w:szCs w:val="24"/>
        </w:rPr>
        <w:t xml:space="preserve"> </w:t>
      </w:r>
      <w:r w:rsidR="00901F48">
        <w:rPr>
          <w:rFonts w:ascii="Times New Roman" w:hAnsi="Times New Roman" w:cs="Times New Roman"/>
          <w:sz w:val="24"/>
          <w:szCs w:val="24"/>
        </w:rPr>
        <w:t xml:space="preserve">The Board has also changed how it interprets statutes over time, relying less on legislative history and more on policy concerns. </w:t>
      </w:r>
      <w:r w:rsidR="00F45640">
        <w:rPr>
          <w:rFonts w:ascii="Times New Roman" w:hAnsi="Times New Roman" w:cs="Times New Roman"/>
          <w:sz w:val="24"/>
          <w:szCs w:val="24"/>
        </w:rPr>
        <w:t>Majority Board members have also increasingly “dueled” with d</w:t>
      </w:r>
      <w:r w:rsidR="00B9710B">
        <w:rPr>
          <w:rFonts w:ascii="Times New Roman" w:hAnsi="Times New Roman" w:cs="Times New Roman"/>
          <w:sz w:val="24"/>
          <w:szCs w:val="24"/>
        </w:rPr>
        <w:t xml:space="preserve">issenting members </w:t>
      </w:r>
      <w:r w:rsidR="00F10759">
        <w:rPr>
          <w:rFonts w:ascii="Times New Roman" w:hAnsi="Times New Roman" w:cs="Times New Roman"/>
          <w:sz w:val="24"/>
          <w:szCs w:val="24"/>
        </w:rPr>
        <w:t xml:space="preserve">over the use of statutory canons, </w:t>
      </w:r>
      <w:r w:rsidR="00B9710B">
        <w:rPr>
          <w:rFonts w:ascii="Times New Roman" w:hAnsi="Times New Roman" w:cs="Times New Roman"/>
          <w:sz w:val="24"/>
          <w:szCs w:val="24"/>
        </w:rPr>
        <w:t>with each side advancing different statutory philosophies to argue their case</w:t>
      </w:r>
      <w:r w:rsidR="00F45640">
        <w:rPr>
          <w:rFonts w:ascii="Times New Roman" w:hAnsi="Times New Roman" w:cs="Times New Roman"/>
          <w:sz w:val="24"/>
          <w:szCs w:val="24"/>
        </w:rPr>
        <w:t xml:space="preserve">. </w:t>
      </w:r>
      <w:r w:rsidR="0088741C" w:rsidRPr="00EC5167">
        <w:rPr>
          <w:rFonts w:ascii="Times New Roman" w:hAnsi="Times New Roman" w:cs="Times New Roman"/>
          <w:sz w:val="24"/>
          <w:szCs w:val="24"/>
        </w:rPr>
        <w:t xml:space="preserve">In addition to </w:t>
      </w:r>
      <w:r w:rsidR="00A37BF0">
        <w:rPr>
          <w:rFonts w:ascii="Times New Roman" w:hAnsi="Times New Roman" w:cs="Times New Roman"/>
          <w:sz w:val="24"/>
          <w:szCs w:val="24"/>
        </w:rPr>
        <w:t xml:space="preserve">empirically </w:t>
      </w:r>
      <w:r w:rsidR="0088741C" w:rsidRPr="00EC5167">
        <w:rPr>
          <w:rFonts w:ascii="Times New Roman" w:hAnsi="Times New Roman" w:cs="Times New Roman"/>
          <w:sz w:val="24"/>
          <w:szCs w:val="24"/>
        </w:rPr>
        <w:t xml:space="preserve">analyzing how the NLRB interprets statutes, the Article also looks </w:t>
      </w:r>
      <w:r w:rsidR="00171C20">
        <w:rPr>
          <w:rFonts w:ascii="Times New Roman" w:hAnsi="Times New Roman" w:cs="Times New Roman"/>
          <w:sz w:val="24"/>
          <w:szCs w:val="24"/>
        </w:rPr>
        <w:t xml:space="preserve">briefly </w:t>
      </w:r>
      <w:r w:rsidR="0088741C" w:rsidRPr="00EC5167">
        <w:rPr>
          <w:rFonts w:ascii="Times New Roman" w:hAnsi="Times New Roman" w:cs="Times New Roman"/>
          <w:sz w:val="24"/>
          <w:szCs w:val="24"/>
        </w:rPr>
        <w:t xml:space="preserve">at how reviewing appellate courts rule on Board decisions interpreting statutes. </w:t>
      </w:r>
      <w:r w:rsidR="00E54013">
        <w:rPr>
          <w:rFonts w:ascii="Times New Roman" w:hAnsi="Times New Roman" w:cs="Times New Roman"/>
          <w:sz w:val="24"/>
          <w:szCs w:val="24"/>
        </w:rPr>
        <w:t>I find that the largely conservative appellate courts often use textualist methods to overturn the Board’s decisions</w:t>
      </w:r>
      <w:r w:rsidR="0088741C" w:rsidRPr="00EC5167">
        <w:rPr>
          <w:rFonts w:ascii="Times New Roman" w:hAnsi="Times New Roman" w:cs="Times New Roman"/>
          <w:sz w:val="24"/>
          <w:szCs w:val="24"/>
        </w:rPr>
        <w:t>.</w:t>
      </w:r>
      <w:r w:rsidR="00FC6F7D" w:rsidRPr="00EC5167">
        <w:rPr>
          <w:rFonts w:ascii="Times New Roman" w:hAnsi="Times New Roman" w:cs="Times New Roman"/>
          <w:sz w:val="24"/>
          <w:szCs w:val="24"/>
        </w:rPr>
        <w:t xml:space="preserve"> </w:t>
      </w:r>
      <w:r w:rsidR="0088741C" w:rsidRPr="00EC5167">
        <w:rPr>
          <w:rFonts w:ascii="Times New Roman" w:hAnsi="Times New Roman" w:cs="Times New Roman"/>
          <w:sz w:val="24"/>
          <w:szCs w:val="24"/>
        </w:rPr>
        <w:t>After anal</w:t>
      </w:r>
      <w:r w:rsidR="0021249D">
        <w:rPr>
          <w:rFonts w:ascii="Times New Roman" w:hAnsi="Times New Roman" w:cs="Times New Roman"/>
          <w:sz w:val="24"/>
          <w:szCs w:val="24"/>
        </w:rPr>
        <w:t>yzing the empirical data, I</w:t>
      </w:r>
      <w:r w:rsidR="0088741C" w:rsidRPr="00EC5167">
        <w:rPr>
          <w:rFonts w:ascii="Times New Roman" w:hAnsi="Times New Roman" w:cs="Times New Roman"/>
          <w:sz w:val="24"/>
          <w:szCs w:val="24"/>
        </w:rPr>
        <w:t xml:space="preserve"> set forth policy recommendations for how agencies should interpret statutes as well as </w:t>
      </w:r>
      <w:r w:rsidR="0022052B" w:rsidRPr="00EC5167">
        <w:rPr>
          <w:rFonts w:ascii="Times New Roman" w:hAnsi="Times New Roman" w:cs="Times New Roman"/>
          <w:sz w:val="24"/>
          <w:szCs w:val="24"/>
        </w:rPr>
        <w:t xml:space="preserve">for </w:t>
      </w:r>
      <w:r w:rsidR="0088741C" w:rsidRPr="00EC5167">
        <w:rPr>
          <w:rFonts w:ascii="Times New Roman" w:hAnsi="Times New Roman" w:cs="Times New Roman"/>
          <w:sz w:val="24"/>
          <w:szCs w:val="24"/>
        </w:rPr>
        <w:t>how appellate c</w:t>
      </w:r>
      <w:r w:rsidR="004C4EF4">
        <w:rPr>
          <w:rFonts w:ascii="Times New Roman" w:hAnsi="Times New Roman" w:cs="Times New Roman"/>
          <w:sz w:val="24"/>
          <w:szCs w:val="24"/>
        </w:rPr>
        <w:t>ourts should in turn review those interpretations</w:t>
      </w:r>
      <w:r w:rsidR="001D5DAE">
        <w:rPr>
          <w:rFonts w:ascii="Times New Roman" w:hAnsi="Times New Roman" w:cs="Times New Roman"/>
          <w:sz w:val="24"/>
          <w:szCs w:val="24"/>
        </w:rPr>
        <w:t>.</w:t>
      </w:r>
      <w:r w:rsidR="000009AB">
        <w:rPr>
          <w:rFonts w:ascii="Times New Roman" w:hAnsi="Times New Roman" w:cs="Times New Roman"/>
          <w:sz w:val="24"/>
          <w:szCs w:val="24"/>
        </w:rPr>
        <w:t xml:space="preserve"> </w:t>
      </w:r>
    </w:p>
    <w:p w14:paraId="38075A0D" w14:textId="1E4CB86E" w:rsidR="00254F0A" w:rsidRPr="00FC6F7D" w:rsidRDefault="00E203F6" w:rsidP="002B5F37">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Administrative age</w:t>
      </w:r>
      <w:r w:rsidR="00FC6F7D" w:rsidRPr="00FC6F7D">
        <w:rPr>
          <w:rFonts w:ascii="Times New Roman" w:hAnsi="Times New Roman" w:cs="Times New Roman"/>
          <w:sz w:val="24"/>
          <w:szCs w:val="24"/>
        </w:rPr>
        <w:t>ncies are the primary interprete</w:t>
      </w:r>
      <w:r w:rsidRPr="00FC6F7D">
        <w:rPr>
          <w:rFonts w:ascii="Times New Roman" w:hAnsi="Times New Roman" w:cs="Times New Roman"/>
          <w:sz w:val="24"/>
          <w:szCs w:val="24"/>
        </w:rPr>
        <w:t xml:space="preserve">rs of </w:t>
      </w:r>
      <w:r w:rsidR="00254F0A" w:rsidRPr="00FC6F7D">
        <w:rPr>
          <w:rFonts w:ascii="Times New Roman" w:hAnsi="Times New Roman" w:cs="Times New Roman"/>
          <w:sz w:val="24"/>
          <w:szCs w:val="24"/>
        </w:rPr>
        <w:t xml:space="preserve">federal </w:t>
      </w:r>
      <w:r w:rsidRPr="00FC6F7D">
        <w:rPr>
          <w:rFonts w:ascii="Times New Roman" w:hAnsi="Times New Roman" w:cs="Times New Roman"/>
          <w:sz w:val="24"/>
          <w:szCs w:val="24"/>
        </w:rPr>
        <w:t>statutes</w:t>
      </w:r>
      <w:bookmarkStart w:id="2" w:name="_Ref460545273"/>
      <w:r w:rsidR="001E2FEB">
        <w:rPr>
          <w:rStyle w:val="FootnoteReference"/>
          <w:rFonts w:ascii="Times New Roman" w:hAnsi="Times New Roman" w:cs="Times New Roman"/>
          <w:sz w:val="24"/>
          <w:szCs w:val="24"/>
        </w:rPr>
        <w:footnoteReference w:id="2"/>
      </w:r>
      <w:bookmarkEnd w:id="2"/>
      <w:r w:rsidRPr="00FC6F7D">
        <w:rPr>
          <w:rFonts w:ascii="Times New Roman" w:hAnsi="Times New Roman" w:cs="Times New Roman"/>
          <w:sz w:val="24"/>
          <w:szCs w:val="24"/>
        </w:rPr>
        <w:t xml:space="preserve"> and have taken on the task of “updating” the law to </w:t>
      </w:r>
      <w:r w:rsidR="001B38C2">
        <w:rPr>
          <w:rFonts w:ascii="Times New Roman" w:hAnsi="Times New Roman" w:cs="Times New Roman"/>
          <w:sz w:val="24"/>
          <w:szCs w:val="24"/>
        </w:rPr>
        <w:t>current conditions—</w:t>
      </w:r>
      <w:r w:rsidR="00254F0A" w:rsidRPr="00FC6F7D">
        <w:rPr>
          <w:rFonts w:ascii="Times New Roman" w:hAnsi="Times New Roman" w:cs="Times New Roman"/>
          <w:sz w:val="24"/>
          <w:szCs w:val="24"/>
        </w:rPr>
        <w:t xml:space="preserve">a practice that has </w:t>
      </w:r>
      <w:r w:rsidRPr="00FC6F7D">
        <w:rPr>
          <w:rFonts w:ascii="Times New Roman" w:hAnsi="Times New Roman" w:cs="Times New Roman"/>
          <w:sz w:val="24"/>
          <w:szCs w:val="24"/>
        </w:rPr>
        <w:t xml:space="preserve">long been the </w:t>
      </w:r>
      <w:r w:rsidRPr="00FC6F7D">
        <w:rPr>
          <w:rFonts w:ascii="Times New Roman" w:hAnsi="Times New Roman" w:cs="Times New Roman"/>
          <w:sz w:val="24"/>
          <w:szCs w:val="24"/>
        </w:rPr>
        <w:lastRenderedPageBreak/>
        <w:t>province of traditional common law courts.</w:t>
      </w:r>
      <w:bookmarkStart w:id="3" w:name="_Ref460552412"/>
      <w:r w:rsidRPr="00FC6F7D">
        <w:rPr>
          <w:rStyle w:val="FootnoteReference"/>
          <w:rFonts w:ascii="Times New Roman" w:hAnsi="Times New Roman" w:cs="Times New Roman"/>
          <w:sz w:val="24"/>
          <w:szCs w:val="24"/>
        </w:rPr>
        <w:footnoteReference w:id="3"/>
      </w:r>
      <w:bookmarkEnd w:id="3"/>
      <w:r w:rsidR="00A83D46">
        <w:rPr>
          <w:rFonts w:ascii="Times New Roman" w:hAnsi="Times New Roman" w:cs="Times New Roman"/>
          <w:sz w:val="24"/>
          <w:szCs w:val="24"/>
        </w:rPr>
        <w:t xml:space="preserve"> </w:t>
      </w:r>
      <w:r w:rsidRPr="00FC6F7D">
        <w:rPr>
          <w:rFonts w:ascii="Times New Roman" w:hAnsi="Times New Roman" w:cs="Times New Roman"/>
          <w:sz w:val="24"/>
          <w:szCs w:val="24"/>
        </w:rPr>
        <w:t xml:space="preserve">Although scholars have advanced theories on how judges in the federal courts </w:t>
      </w:r>
      <w:r w:rsidR="00B9710B">
        <w:rPr>
          <w:rFonts w:ascii="Times New Roman" w:hAnsi="Times New Roman" w:cs="Times New Roman"/>
          <w:sz w:val="24"/>
          <w:szCs w:val="24"/>
        </w:rPr>
        <w:t>review agency’s decisions on statutory interpretation</w:t>
      </w:r>
      <w:r w:rsidRPr="00FC6F7D">
        <w:rPr>
          <w:rFonts w:ascii="Times New Roman" w:hAnsi="Times New Roman" w:cs="Times New Roman"/>
          <w:sz w:val="24"/>
          <w:szCs w:val="24"/>
        </w:rPr>
        <w:t xml:space="preserve">, </w:t>
      </w:r>
      <w:r w:rsidR="001B38C2">
        <w:rPr>
          <w:rFonts w:ascii="Times New Roman" w:hAnsi="Times New Roman" w:cs="Times New Roman"/>
          <w:sz w:val="24"/>
          <w:szCs w:val="24"/>
        </w:rPr>
        <w:t xml:space="preserve">they have paid scant attention </w:t>
      </w:r>
      <w:r w:rsidRPr="00FC6F7D">
        <w:rPr>
          <w:rFonts w:ascii="Times New Roman" w:hAnsi="Times New Roman" w:cs="Times New Roman"/>
          <w:sz w:val="24"/>
          <w:szCs w:val="24"/>
        </w:rPr>
        <w:t>to how administrative agencies review the statutes</w:t>
      </w:r>
      <w:r w:rsidR="001B38C2">
        <w:rPr>
          <w:rFonts w:ascii="Times New Roman" w:hAnsi="Times New Roman" w:cs="Times New Roman"/>
          <w:sz w:val="24"/>
          <w:szCs w:val="24"/>
        </w:rPr>
        <w:t xml:space="preserve"> that Congress delegates to them to interpret</w:t>
      </w:r>
      <w:r w:rsidRPr="00FC6F7D">
        <w:rPr>
          <w:rFonts w:ascii="Times New Roman" w:hAnsi="Times New Roman" w:cs="Times New Roman"/>
          <w:sz w:val="24"/>
          <w:szCs w:val="24"/>
        </w:rPr>
        <w:t>.</w:t>
      </w:r>
      <w:r w:rsidR="00507980">
        <w:rPr>
          <w:rFonts w:ascii="Times New Roman" w:hAnsi="Times New Roman" w:cs="Times New Roman"/>
          <w:sz w:val="24"/>
          <w:szCs w:val="24"/>
        </w:rPr>
        <w:t xml:space="preserve"> </w:t>
      </w:r>
      <w:r w:rsidR="0088741C">
        <w:rPr>
          <w:rFonts w:ascii="Times New Roman" w:hAnsi="Times New Roman" w:cs="Times New Roman"/>
          <w:sz w:val="24"/>
          <w:szCs w:val="24"/>
        </w:rPr>
        <w:t xml:space="preserve">Toward this end, </w:t>
      </w:r>
      <w:r w:rsidR="00254F0A" w:rsidRPr="00FC6F7D">
        <w:rPr>
          <w:rFonts w:ascii="Times New Roman" w:hAnsi="Times New Roman" w:cs="Times New Roman"/>
          <w:sz w:val="24"/>
          <w:szCs w:val="24"/>
        </w:rPr>
        <w:t xml:space="preserve">Jerry Mashaw of the Yale Law School called on scholars to </w:t>
      </w:r>
      <w:r w:rsidR="00F54C95">
        <w:rPr>
          <w:rFonts w:ascii="Times New Roman" w:hAnsi="Times New Roman" w:cs="Times New Roman"/>
          <w:sz w:val="24"/>
          <w:szCs w:val="24"/>
        </w:rPr>
        <w:t xml:space="preserve">quantitatively study </w:t>
      </w:r>
      <w:r w:rsidR="00254F0A" w:rsidRPr="00FC6F7D">
        <w:rPr>
          <w:rFonts w:ascii="Times New Roman" w:hAnsi="Times New Roman" w:cs="Times New Roman"/>
          <w:sz w:val="24"/>
          <w:szCs w:val="24"/>
        </w:rPr>
        <w:t>statutory construction by administrative agencies.</w:t>
      </w:r>
      <w:bookmarkStart w:id="4" w:name="_Ref460552518"/>
      <w:r w:rsidR="00254F0A" w:rsidRPr="00FC6F7D">
        <w:rPr>
          <w:rStyle w:val="FootnoteReference"/>
          <w:rFonts w:ascii="Times New Roman" w:hAnsi="Times New Roman" w:cs="Times New Roman"/>
          <w:sz w:val="24"/>
          <w:szCs w:val="24"/>
        </w:rPr>
        <w:footnoteReference w:id="4"/>
      </w:r>
      <w:bookmarkEnd w:id="4"/>
      <w:r w:rsidR="00171C20">
        <w:rPr>
          <w:rFonts w:ascii="Times New Roman" w:hAnsi="Times New Roman" w:cs="Times New Roman"/>
          <w:sz w:val="24"/>
          <w:szCs w:val="24"/>
        </w:rPr>
        <w:t xml:space="preserve"> </w:t>
      </w:r>
      <w:r w:rsidR="00254F0A" w:rsidRPr="00FC6F7D">
        <w:rPr>
          <w:rFonts w:ascii="Times New Roman" w:hAnsi="Times New Roman" w:cs="Times New Roman"/>
          <w:sz w:val="24"/>
          <w:szCs w:val="24"/>
        </w:rPr>
        <w:t>As he argues, “[s]urely, in a legal world where agencies are of necessity</w:t>
      </w:r>
      <w:r w:rsidR="00FC6F7D">
        <w:rPr>
          <w:rFonts w:ascii="Times New Roman" w:hAnsi="Times New Roman" w:cs="Times New Roman"/>
          <w:sz w:val="24"/>
          <w:szCs w:val="24"/>
        </w:rPr>
        <w:t xml:space="preserve"> the primary official interprete</w:t>
      </w:r>
      <w:r w:rsidR="00254F0A" w:rsidRPr="00FC6F7D">
        <w:rPr>
          <w:rFonts w:ascii="Times New Roman" w:hAnsi="Times New Roman" w:cs="Times New Roman"/>
          <w:sz w:val="24"/>
          <w:szCs w:val="24"/>
        </w:rPr>
        <w:t>rs of federal statutes and where that role has been judicially legitimized as presumptively controlling, attention to agencies’ interpretative methodology seems more than warranted.”</w:t>
      </w:r>
      <w:r w:rsidR="00254F0A" w:rsidRPr="00FC6F7D">
        <w:rPr>
          <w:rStyle w:val="FootnoteReference"/>
          <w:rFonts w:ascii="Times New Roman" w:hAnsi="Times New Roman" w:cs="Times New Roman"/>
          <w:sz w:val="24"/>
          <w:szCs w:val="24"/>
        </w:rPr>
        <w:footnoteReference w:id="5"/>
      </w:r>
      <w:r w:rsidR="00B96AFD">
        <w:rPr>
          <w:rFonts w:ascii="Times New Roman" w:hAnsi="Times New Roman" w:cs="Times New Roman"/>
          <w:sz w:val="24"/>
          <w:szCs w:val="24"/>
        </w:rPr>
        <w:t xml:space="preserve"> </w:t>
      </w:r>
      <w:r w:rsidR="00254F0A" w:rsidRPr="00FC6F7D">
        <w:rPr>
          <w:rFonts w:ascii="Times New Roman" w:hAnsi="Times New Roman" w:cs="Times New Roman"/>
          <w:sz w:val="24"/>
          <w:szCs w:val="24"/>
        </w:rPr>
        <w:t xml:space="preserve">Indeed, </w:t>
      </w:r>
      <w:r w:rsidR="00E54013">
        <w:rPr>
          <w:rFonts w:ascii="Times New Roman" w:hAnsi="Times New Roman" w:cs="Times New Roman"/>
          <w:sz w:val="24"/>
          <w:szCs w:val="24"/>
        </w:rPr>
        <w:t xml:space="preserve">there has been </w:t>
      </w:r>
      <w:r w:rsidR="00254F0A" w:rsidRPr="00FC6F7D">
        <w:rPr>
          <w:rFonts w:ascii="Times New Roman" w:hAnsi="Times New Roman" w:cs="Times New Roman"/>
          <w:sz w:val="24"/>
          <w:szCs w:val="24"/>
        </w:rPr>
        <w:t xml:space="preserve">an increased shift in recent years to empirically study </w:t>
      </w:r>
      <w:r w:rsidR="00B9710B">
        <w:rPr>
          <w:rFonts w:ascii="Times New Roman" w:hAnsi="Times New Roman" w:cs="Times New Roman"/>
          <w:sz w:val="24"/>
          <w:szCs w:val="24"/>
        </w:rPr>
        <w:t xml:space="preserve">agency </w:t>
      </w:r>
      <w:r w:rsidR="00254F0A" w:rsidRPr="00FC6F7D">
        <w:rPr>
          <w:rFonts w:ascii="Times New Roman" w:hAnsi="Times New Roman" w:cs="Times New Roman"/>
          <w:sz w:val="24"/>
          <w:szCs w:val="24"/>
        </w:rPr>
        <w:t>statutory construction</w:t>
      </w:r>
      <w:r w:rsidR="00B9356F">
        <w:rPr>
          <w:rFonts w:ascii="Times New Roman" w:hAnsi="Times New Roman" w:cs="Times New Roman"/>
          <w:sz w:val="24"/>
          <w:szCs w:val="24"/>
        </w:rPr>
        <w:t xml:space="preserve"> </w:t>
      </w:r>
      <w:r w:rsidR="00E54013">
        <w:rPr>
          <w:rFonts w:ascii="Times New Roman" w:hAnsi="Times New Roman" w:cs="Times New Roman"/>
          <w:sz w:val="24"/>
          <w:szCs w:val="24"/>
        </w:rPr>
        <w:t xml:space="preserve">with two </w:t>
      </w:r>
      <w:r w:rsidR="00507980">
        <w:rPr>
          <w:rFonts w:ascii="Times New Roman" w:hAnsi="Times New Roman" w:cs="Times New Roman"/>
          <w:sz w:val="24"/>
          <w:szCs w:val="24"/>
        </w:rPr>
        <w:t>path-breaking</w:t>
      </w:r>
      <w:r w:rsidR="00B9356F">
        <w:rPr>
          <w:rFonts w:ascii="Times New Roman" w:hAnsi="Times New Roman" w:cs="Times New Roman"/>
          <w:sz w:val="24"/>
          <w:szCs w:val="24"/>
        </w:rPr>
        <w:t xml:space="preserve"> surveys in the past three years concerning statutory construction among congress</w:t>
      </w:r>
      <w:r w:rsidR="00E54013">
        <w:rPr>
          <w:rFonts w:ascii="Times New Roman" w:hAnsi="Times New Roman" w:cs="Times New Roman"/>
          <w:sz w:val="24"/>
          <w:szCs w:val="24"/>
        </w:rPr>
        <w:t>ional</w:t>
      </w:r>
      <w:r w:rsidR="00B9356F">
        <w:rPr>
          <w:rFonts w:ascii="Times New Roman" w:hAnsi="Times New Roman" w:cs="Times New Roman"/>
          <w:sz w:val="24"/>
          <w:szCs w:val="24"/>
        </w:rPr>
        <w:t xml:space="preserve"> staffers and agency personnel, respectively</w:t>
      </w:r>
      <w:bookmarkStart w:id="5" w:name="_Ref460548149"/>
      <w:r w:rsidR="00254F0A" w:rsidRPr="00FC6F7D">
        <w:rPr>
          <w:rStyle w:val="FootnoteReference"/>
          <w:rFonts w:ascii="Times New Roman" w:hAnsi="Times New Roman" w:cs="Times New Roman"/>
          <w:sz w:val="24"/>
          <w:szCs w:val="24"/>
        </w:rPr>
        <w:footnoteReference w:id="6"/>
      </w:r>
      <w:bookmarkEnd w:id="5"/>
      <w:r w:rsidR="00E54013">
        <w:rPr>
          <w:rFonts w:ascii="Times New Roman" w:hAnsi="Times New Roman" w:cs="Times New Roman"/>
          <w:sz w:val="24"/>
          <w:szCs w:val="24"/>
        </w:rPr>
        <w:t xml:space="preserve"> providing a glimpse behind the black box. Yet,</w:t>
      </w:r>
      <w:r w:rsidR="00254F0A" w:rsidRPr="00FC6F7D">
        <w:rPr>
          <w:rFonts w:ascii="Times New Roman" w:hAnsi="Times New Roman" w:cs="Times New Roman"/>
          <w:sz w:val="24"/>
          <w:szCs w:val="24"/>
        </w:rPr>
        <w:t xml:space="preserve"> we </w:t>
      </w:r>
      <w:r w:rsidR="00E54013">
        <w:rPr>
          <w:rFonts w:ascii="Times New Roman" w:hAnsi="Times New Roman" w:cs="Times New Roman"/>
          <w:sz w:val="24"/>
          <w:szCs w:val="24"/>
        </w:rPr>
        <w:t xml:space="preserve">still </w:t>
      </w:r>
      <w:r w:rsidR="00254F0A" w:rsidRPr="00FC6F7D">
        <w:rPr>
          <w:rFonts w:ascii="Times New Roman" w:hAnsi="Times New Roman" w:cs="Times New Roman"/>
          <w:sz w:val="24"/>
          <w:szCs w:val="24"/>
        </w:rPr>
        <w:t>know very little about how any</w:t>
      </w:r>
      <w:r w:rsidR="00B9356F">
        <w:rPr>
          <w:rFonts w:ascii="Times New Roman" w:hAnsi="Times New Roman" w:cs="Times New Roman"/>
          <w:sz w:val="24"/>
          <w:szCs w:val="24"/>
        </w:rPr>
        <w:t xml:space="preserve"> particular</w:t>
      </w:r>
      <w:r w:rsidR="00254F0A" w:rsidRPr="00FC6F7D">
        <w:rPr>
          <w:rFonts w:ascii="Times New Roman" w:hAnsi="Times New Roman" w:cs="Times New Roman"/>
          <w:sz w:val="24"/>
          <w:szCs w:val="24"/>
        </w:rPr>
        <w:t xml:space="preserve"> agency </w:t>
      </w:r>
      <w:r w:rsidR="00254F0A" w:rsidRPr="00B96AFD">
        <w:rPr>
          <w:rFonts w:ascii="Times New Roman" w:hAnsi="Times New Roman" w:cs="Times New Roman"/>
          <w:sz w:val="24"/>
          <w:szCs w:val="24"/>
        </w:rPr>
        <w:t>actually i</w:t>
      </w:r>
      <w:r w:rsidR="00254F0A" w:rsidRPr="00FC6F7D">
        <w:rPr>
          <w:rFonts w:ascii="Times New Roman" w:hAnsi="Times New Roman" w:cs="Times New Roman"/>
          <w:sz w:val="24"/>
          <w:szCs w:val="24"/>
        </w:rPr>
        <w:t>nterprets s</w:t>
      </w:r>
      <w:r w:rsidR="00527586">
        <w:rPr>
          <w:rFonts w:ascii="Times New Roman" w:hAnsi="Times New Roman" w:cs="Times New Roman"/>
          <w:sz w:val="24"/>
          <w:szCs w:val="24"/>
        </w:rPr>
        <w:t>tatutes in any systematic way</w:t>
      </w:r>
      <w:r w:rsidR="00B9356F">
        <w:rPr>
          <w:rFonts w:ascii="Times New Roman" w:hAnsi="Times New Roman" w:cs="Times New Roman"/>
          <w:sz w:val="24"/>
          <w:szCs w:val="24"/>
        </w:rPr>
        <w:t xml:space="preserve"> in its adjudications</w:t>
      </w:r>
      <w:r w:rsidR="00527586">
        <w:rPr>
          <w:rFonts w:ascii="Times New Roman" w:hAnsi="Times New Roman" w:cs="Times New Roman"/>
          <w:sz w:val="24"/>
          <w:szCs w:val="24"/>
        </w:rPr>
        <w:t xml:space="preserve">. </w:t>
      </w:r>
      <w:r w:rsidR="00254F0A" w:rsidRPr="00FC6F7D">
        <w:rPr>
          <w:rFonts w:ascii="Times New Roman" w:hAnsi="Times New Roman" w:cs="Times New Roman"/>
          <w:sz w:val="24"/>
          <w:szCs w:val="24"/>
        </w:rPr>
        <w:t xml:space="preserve">This is all the more troubling given that </w:t>
      </w:r>
      <w:r w:rsidR="00254F0A" w:rsidRPr="00FC6F7D">
        <w:rPr>
          <w:rFonts w:ascii="Times New Roman" w:hAnsi="Times New Roman" w:cs="Times New Roman"/>
          <w:i/>
          <w:sz w:val="24"/>
          <w:szCs w:val="24"/>
        </w:rPr>
        <w:t>Chevron</w:t>
      </w:r>
      <w:r w:rsidR="002B5F37" w:rsidRPr="00FC6F7D">
        <w:rPr>
          <w:rStyle w:val="FootnoteReference"/>
          <w:rFonts w:ascii="Times New Roman" w:hAnsi="Times New Roman" w:cs="Times New Roman"/>
          <w:sz w:val="24"/>
          <w:szCs w:val="24"/>
        </w:rPr>
        <w:footnoteReference w:id="7"/>
      </w:r>
      <w:r w:rsidR="002B5F37" w:rsidRPr="00FC6F7D">
        <w:rPr>
          <w:rFonts w:ascii="Times New Roman" w:hAnsi="Times New Roman" w:cs="Times New Roman"/>
          <w:sz w:val="24"/>
          <w:szCs w:val="24"/>
        </w:rPr>
        <w:t xml:space="preserve"> </w:t>
      </w:r>
      <w:r w:rsidR="00254F0A" w:rsidRPr="00FC6F7D">
        <w:rPr>
          <w:rFonts w:ascii="Times New Roman" w:hAnsi="Times New Roman" w:cs="Times New Roman"/>
          <w:sz w:val="24"/>
          <w:szCs w:val="24"/>
        </w:rPr>
        <w:t>validat</w:t>
      </w:r>
      <w:r w:rsidR="002B5F37" w:rsidRPr="00FC6F7D">
        <w:rPr>
          <w:rFonts w:ascii="Times New Roman" w:hAnsi="Times New Roman" w:cs="Times New Roman"/>
          <w:sz w:val="24"/>
          <w:szCs w:val="24"/>
        </w:rPr>
        <w:t>ed agenc</w:t>
      </w:r>
      <w:r w:rsidR="00254F0A" w:rsidRPr="00FC6F7D">
        <w:rPr>
          <w:rFonts w:ascii="Times New Roman" w:hAnsi="Times New Roman" w:cs="Times New Roman"/>
          <w:sz w:val="24"/>
          <w:szCs w:val="24"/>
        </w:rPr>
        <w:t xml:space="preserve">y statutory interpretation as an “autonomous enterprise,” with appellate </w:t>
      </w:r>
      <w:r w:rsidR="002B5F37" w:rsidRPr="00FC6F7D">
        <w:rPr>
          <w:rFonts w:ascii="Times New Roman" w:hAnsi="Times New Roman" w:cs="Times New Roman"/>
          <w:sz w:val="24"/>
          <w:szCs w:val="24"/>
        </w:rPr>
        <w:t xml:space="preserve">courts </w:t>
      </w:r>
      <w:r w:rsidR="00254F0A" w:rsidRPr="00FC6F7D">
        <w:rPr>
          <w:rFonts w:ascii="Times New Roman" w:hAnsi="Times New Roman" w:cs="Times New Roman"/>
          <w:sz w:val="24"/>
          <w:szCs w:val="24"/>
        </w:rPr>
        <w:lastRenderedPageBreak/>
        <w:t xml:space="preserve">simply charged to ensure that the agency’s construction is a “reasonable” </w:t>
      </w:r>
      <w:r w:rsidR="00FC6F7D">
        <w:rPr>
          <w:rFonts w:ascii="Times New Roman" w:hAnsi="Times New Roman" w:cs="Times New Roman"/>
          <w:sz w:val="24"/>
          <w:szCs w:val="24"/>
        </w:rPr>
        <w:t xml:space="preserve">and </w:t>
      </w:r>
      <w:r w:rsidR="004B2113" w:rsidRPr="00FC6F7D">
        <w:rPr>
          <w:rFonts w:ascii="Times New Roman" w:hAnsi="Times New Roman" w:cs="Times New Roman"/>
          <w:sz w:val="24"/>
          <w:szCs w:val="24"/>
        </w:rPr>
        <w:t xml:space="preserve">defensible </w:t>
      </w:r>
      <w:r w:rsidR="00FC6F7D">
        <w:rPr>
          <w:rFonts w:ascii="Times New Roman" w:hAnsi="Times New Roman" w:cs="Times New Roman"/>
          <w:sz w:val="24"/>
          <w:szCs w:val="24"/>
        </w:rPr>
        <w:t xml:space="preserve">construction of </w:t>
      </w:r>
      <w:r w:rsidR="004B2113" w:rsidRPr="00FC6F7D">
        <w:rPr>
          <w:rFonts w:ascii="Times New Roman" w:hAnsi="Times New Roman" w:cs="Times New Roman"/>
          <w:sz w:val="24"/>
          <w:szCs w:val="24"/>
        </w:rPr>
        <w:t>the statu</w:t>
      </w:r>
      <w:r w:rsidR="00254F0A" w:rsidRPr="00FC6F7D">
        <w:rPr>
          <w:rFonts w:ascii="Times New Roman" w:hAnsi="Times New Roman" w:cs="Times New Roman"/>
          <w:sz w:val="24"/>
          <w:szCs w:val="24"/>
        </w:rPr>
        <w:t>te.</w:t>
      </w:r>
      <w:r w:rsidR="00254F0A" w:rsidRPr="00FC6F7D">
        <w:rPr>
          <w:rStyle w:val="FootnoteReference"/>
          <w:rFonts w:ascii="Times New Roman" w:hAnsi="Times New Roman" w:cs="Times New Roman"/>
          <w:sz w:val="24"/>
          <w:szCs w:val="24"/>
        </w:rPr>
        <w:footnoteReference w:id="8"/>
      </w:r>
      <w:r w:rsidR="00E36AC2">
        <w:rPr>
          <w:rFonts w:ascii="Times New Roman" w:hAnsi="Times New Roman" w:cs="Times New Roman"/>
          <w:sz w:val="24"/>
          <w:szCs w:val="24"/>
        </w:rPr>
        <w:t xml:space="preserve"> </w:t>
      </w:r>
    </w:p>
    <w:p w14:paraId="4E5D4961" w14:textId="75D36905" w:rsidR="00080AA8" w:rsidRPr="00FC6F7D" w:rsidRDefault="00F607FC" w:rsidP="00080A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Article</w:t>
      </w:r>
      <w:r w:rsidR="005A4A8B">
        <w:rPr>
          <w:rFonts w:ascii="Times New Roman" w:hAnsi="Times New Roman" w:cs="Times New Roman"/>
          <w:sz w:val="24"/>
          <w:szCs w:val="24"/>
        </w:rPr>
        <w:t xml:space="preserve"> </w:t>
      </w:r>
      <w:r w:rsidR="004C4EF4">
        <w:rPr>
          <w:rFonts w:ascii="Times New Roman" w:hAnsi="Times New Roman" w:cs="Times New Roman"/>
          <w:sz w:val="24"/>
          <w:szCs w:val="24"/>
        </w:rPr>
        <w:t>reviews</w:t>
      </w:r>
      <w:r w:rsidR="004B2113" w:rsidRPr="00FC6F7D">
        <w:rPr>
          <w:rFonts w:ascii="Times New Roman" w:hAnsi="Times New Roman" w:cs="Times New Roman"/>
          <w:sz w:val="24"/>
          <w:szCs w:val="24"/>
        </w:rPr>
        <w:t xml:space="preserve"> the statutory construction techniques employed by </w:t>
      </w:r>
      <w:r w:rsidR="000C0C1F">
        <w:rPr>
          <w:rFonts w:ascii="Times New Roman" w:hAnsi="Times New Roman" w:cs="Times New Roman"/>
          <w:sz w:val="24"/>
          <w:szCs w:val="24"/>
        </w:rPr>
        <w:t>the NLRB in the last 23</w:t>
      </w:r>
      <w:r w:rsidR="004B2113" w:rsidRPr="00FC6F7D">
        <w:rPr>
          <w:rFonts w:ascii="Times New Roman" w:hAnsi="Times New Roman" w:cs="Times New Roman"/>
          <w:sz w:val="24"/>
          <w:szCs w:val="24"/>
        </w:rPr>
        <w:t xml:space="preserve"> years through the presidencies of </w:t>
      </w:r>
      <w:r w:rsidR="006E3956">
        <w:rPr>
          <w:rFonts w:ascii="Times New Roman" w:hAnsi="Times New Roman" w:cs="Times New Roman"/>
          <w:sz w:val="24"/>
          <w:szCs w:val="24"/>
        </w:rPr>
        <w:t xml:space="preserve">William Jefferson </w:t>
      </w:r>
      <w:r w:rsidR="004B2113" w:rsidRPr="00FC6F7D">
        <w:rPr>
          <w:rFonts w:ascii="Times New Roman" w:hAnsi="Times New Roman" w:cs="Times New Roman"/>
          <w:sz w:val="24"/>
          <w:szCs w:val="24"/>
        </w:rPr>
        <w:t xml:space="preserve">Clinton, </w:t>
      </w:r>
      <w:r w:rsidR="006E3956">
        <w:rPr>
          <w:rFonts w:ascii="Times New Roman" w:hAnsi="Times New Roman" w:cs="Times New Roman"/>
          <w:sz w:val="24"/>
          <w:szCs w:val="24"/>
        </w:rPr>
        <w:t xml:space="preserve">George W. </w:t>
      </w:r>
      <w:r w:rsidR="004B2113" w:rsidRPr="00FC6F7D">
        <w:rPr>
          <w:rFonts w:ascii="Times New Roman" w:hAnsi="Times New Roman" w:cs="Times New Roman"/>
          <w:sz w:val="24"/>
          <w:szCs w:val="24"/>
        </w:rPr>
        <w:t>Bush</w:t>
      </w:r>
      <w:r w:rsidR="006E3956">
        <w:rPr>
          <w:rFonts w:ascii="Times New Roman" w:hAnsi="Times New Roman" w:cs="Times New Roman"/>
          <w:sz w:val="24"/>
          <w:szCs w:val="24"/>
        </w:rPr>
        <w:t xml:space="preserve"> (“Bush II”)</w:t>
      </w:r>
      <w:r w:rsidR="004B2113" w:rsidRPr="00FC6F7D">
        <w:rPr>
          <w:rFonts w:ascii="Times New Roman" w:hAnsi="Times New Roman" w:cs="Times New Roman"/>
          <w:sz w:val="24"/>
          <w:szCs w:val="24"/>
        </w:rPr>
        <w:t xml:space="preserve"> and </w:t>
      </w:r>
      <w:r w:rsidR="006E3956">
        <w:rPr>
          <w:rFonts w:ascii="Times New Roman" w:hAnsi="Times New Roman" w:cs="Times New Roman"/>
          <w:sz w:val="24"/>
          <w:szCs w:val="24"/>
        </w:rPr>
        <w:t xml:space="preserve">Barack Obama. Discussion centers around </w:t>
      </w:r>
      <w:r w:rsidR="004B2113" w:rsidRPr="00FC6F7D">
        <w:rPr>
          <w:rFonts w:ascii="Times New Roman" w:hAnsi="Times New Roman" w:cs="Times New Roman"/>
          <w:sz w:val="24"/>
          <w:szCs w:val="24"/>
        </w:rPr>
        <w:t xml:space="preserve">three empirical questions: First, to what extent do Board members use statutory </w:t>
      </w:r>
      <w:r w:rsidR="00E54013">
        <w:rPr>
          <w:rFonts w:ascii="Times New Roman" w:hAnsi="Times New Roman" w:cs="Times New Roman"/>
          <w:sz w:val="24"/>
          <w:szCs w:val="24"/>
        </w:rPr>
        <w:t>methods</w:t>
      </w:r>
      <w:r w:rsidR="004B2113" w:rsidRPr="00FC6F7D">
        <w:rPr>
          <w:rFonts w:ascii="Times New Roman" w:hAnsi="Times New Roman" w:cs="Times New Roman"/>
          <w:sz w:val="24"/>
          <w:szCs w:val="24"/>
        </w:rPr>
        <w:t xml:space="preserve"> </w:t>
      </w:r>
      <w:r w:rsidR="001B38C2">
        <w:rPr>
          <w:rFonts w:ascii="Times New Roman" w:hAnsi="Times New Roman" w:cs="Times New Roman"/>
          <w:sz w:val="24"/>
          <w:szCs w:val="24"/>
        </w:rPr>
        <w:t>in a</w:t>
      </w:r>
      <w:r w:rsidR="004B2113" w:rsidRPr="00FC6F7D">
        <w:rPr>
          <w:rFonts w:ascii="Times New Roman" w:hAnsi="Times New Roman" w:cs="Times New Roman"/>
          <w:sz w:val="24"/>
          <w:szCs w:val="24"/>
        </w:rPr>
        <w:t xml:space="preserve"> </w:t>
      </w:r>
      <w:r w:rsidR="0022052B">
        <w:rPr>
          <w:rFonts w:ascii="Times New Roman" w:hAnsi="Times New Roman" w:cs="Times New Roman"/>
          <w:sz w:val="24"/>
          <w:szCs w:val="24"/>
        </w:rPr>
        <w:t>consistent or partisan</w:t>
      </w:r>
      <w:r w:rsidR="004B2113" w:rsidRPr="00FC6F7D">
        <w:rPr>
          <w:rFonts w:ascii="Times New Roman" w:hAnsi="Times New Roman" w:cs="Times New Roman"/>
          <w:sz w:val="24"/>
          <w:szCs w:val="24"/>
        </w:rPr>
        <w:t xml:space="preserve"> fashion? Second,</w:t>
      </w:r>
      <w:r w:rsidR="006E3956">
        <w:rPr>
          <w:rFonts w:ascii="Times New Roman" w:hAnsi="Times New Roman" w:cs="Times New Roman"/>
          <w:sz w:val="24"/>
          <w:szCs w:val="24"/>
        </w:rPr>
        <w:t xml:space="preserve"> do majority and dissenting opinions “duel” with each other with respect to the statutory constructions they apply, that is, do they use contrasting methods to interpret the same statute or do they use the same method to different ends</w:t>
      </w:r>
      <w:r w:rsidR="004B2113" w:rsidRPr="00FC6F7D">
        <w:rPr>
          <w:rFonts w:ascii="Times New Roman" w:hAnsi="Times New Roman" w:cs="Times New Roman"/>
          <w:sz w:val="24"/>
          <w:szCs w:val="24"/>
        </w:rPr>
        <w:t>?</w:t>
      </w:r>
      <w:bookmarkStart w:id="6" w:name="_Ref460546150"/>
      <w:r w:rsidR="004B2113" w:rsidRPr="00FC6F7D">
        <w:rPr>
          <w:rStyle w:val="FootnoteReference"/>
          <w:rFonts w:ascii="Times New Roman" w:hAnsi="Times New Roman" w:cs="Times New Roman"/>
          <w:sz w:val="24"/>
          <w:szCs w:val="24"/>
        </w:rPr>
        <w:footnoteReference w:id="9"/>
      </w:r>
      <w:bookmarkEnd w:id="6"/>
      <w:r w:rsidR="00C0167E">
        <w:rPr>
          <w:rFonts w:ascii="Times New Roman" w:hAnsi="Times New Roman" w:cs="Times New Roman"/>
          <w:sz w:val="24"/>
          <w:szCs w:val="24"/>
        </w:rPr>
        <w:t xml:space="preserve"> </w:t>
      </w:r>
      <w:r w:rsidR="006E3956">
        <w:rPr>
          <w:rFonts w:ascii="Times New Roman" w:hAnsi="Times New Roman" w:cs="Times New Roman"/>
          <w:sz w:val="24"/>
          <w:szCs w:val="24"/>
        </w:rPr>
        <w:t>Third, do</w:t>
      </w:r>
      <w:r w:rsidR="004B2113" w:rsidRPr="00FC6F7D">
        <w:rPr>
          <w:rFonts w:ascii="Times New Roman" w:hAnsi="Times New Roman" w:cs="Times New Roman"/>
          <w:sz w:val="24"/>
          <w:szCs w:val="24"/>
        </w:rPr>
        <w:t xml:space="preserve"> appellate courts reviewing decisions of the Board defer to the Board’</w:t>
      </w:r>
      <w:r w:rsidR="000C0C1F">
        <w:rPr>
          <w:rFonts w:ascii="Times New Roman" w:hAnsi="Times New Roman" w:cs="Times New Roman"/>
          <w:sz w:val="24"/>
          <w:szCs w:val="24"/>
        </w:rPr>
        <w:t>s interpretation of the statute</w:t>
      </w:r>
      <w:r w:rsidR="004B2113" w:rsidRPr="00FC6F7D">
        <w:rPr>
          <w:rFonts w:ascii="Times New Roman" w:hAnsi="Times New Roman" w:cs="Times New Roman"/>
          <w:sz w:val="24"/>
          <w:szCs w:val="24"/>
        </w:rPr>
        <w:t xml:space="preserve"> by resorting to the same statutory </w:t>
      </w:r>
      <w:r w:rsidR="00E54013">
        <w:rPr>
          <w:rFonts w:ascii="Times New Roman" w:hAnsi="Times New Roman" w:cs="Times New Roman"/>
          <w:sz w:val="24"/>
          <w:szCs w:val="24"/>
        </w:rPr>
        <w:t>methods</w:t>
      </w:r>
      <w:r>
        <w:rPr>
          <w:rFonts w:ascii="Times New Roman" w:hAnsi="Times New Roman" w:cs="Times New Roman"/>
          <w:sz w:val="24"/>
          <w:szCs w:val="24"/>
        </w:rPr>
        <w:t xml:space="preserve">? </w:t>
      </w:r>
      <w:r w:rsidR="004B2113" w:rsidRPr="00FC6F7D">
        <w:rPr>
          <w:rFonts w:ascii="Times New Roman" w:hAnsi="Times New Roman" w:cs="Times New Roman"/>
          <w:sz w:val="24"/>
          <w:szCs w:val="24"/>
        </w:rPr>
        <w:t xml:space="preserve">After exploring these questions, I </w:t>
      </w:r>
      <w:r w:rsidR="004C4EF4">
        <w:rPr>
          <w:rFonts w:ascii="Times New Roman" w:hAnsi="Times New Roman" w:cs="Times New Roman"/>
          <w:sz w:val="24"/>
          <w:szCs w:val="24"/>
        </w:rPr>
        <w:t>look at the issue</w:t>
      </w:r>
      <w:r w:rsidR="004B2113" w:rsidRPr="00FC6F7D">
        <w:rPr>
          <w:rFonts w:ascii="Times New Roman" w:hAnsi="Times New Roman" w:cs="Times New Roman"/>
          <w:sz w:val="24"/>
          <w:szCs w:val="24"/>
        </w:rPr>
        <w:t xml:space="preserve"> n</w:t>
      </w:r>
      <w:r w:rsidR="006E3956">
        <w:rPr>
          <w:rFonts w:ascii="Times New Roman" w:hAnsi="Times New Roman" w:cs="Times New Roman"/>
          <w:sz w:val="24"/>
          <w:szCs w:val="24"/>
        </w:rPr>
        <w:t xml:space="preserve">ormatively by asking how </w:t>
      </w:r>
      <w:r w:rsidR="00661860">
        <w:rPr>
          <w:rFonts w:ascii="Times New Roman" w:hAnsi="Times New Roman" w:cs="Times New Roman"/>
          <w:sz w:val="24"/>
          <w:szCs w:val="24"/>
        </w:rPr>
        <w:t>the Boa</w:t>
      </w:r>
      <w:r w:rsidR="00561443">
        <w:rPr>
          <w:rFonts w:ascii="Times New Roman" w:hAnsi="Times New Roman" w:cs="Times New Roman"/>
          <w:sz w:val="24"/>
          <w:szCs w:val="24"/>
        </w:rPr>
        <w:t>rd</w:t>
      </w:r>
      <w:r w:rsidR="00E032A1">
        <w:rPr>
          <w:rFonts w:ascii="Times New Roman" w:hAnsi="Times New Roman" w:cs="Times New Roman"/>
          <w:sz w:val="24"/>
          <w:szCs w:val="24"/>
        </w:rPr>
        <w:t>—</w:t>
      </w:r>
      <w:r w:rsidR="004B2113" w:rsidRPr="00FC6F7D">
        <w:rPr>
          <w:rFonts w:ascii="Times New Roman" w:hAnsi="Times New Roman" w:cs="Times New Roman"/>
          <w:sz w:val="24"/>
          <w:szCs w:val="24"/>
        </w:rPr>
        <w:t>and ad</w:t>
      </w:r>
      <w:r w:rsidR="00561443">
        <w:rPr>
          <w:rFonts w:ascii="Times New Roman" w:hAnsi="Times New Roman" w:cs="Times New Roman"/>
          <w:sz w:val="24"/>
          <w:szCs w:val="24"/>
        </w:rPr>
        <w:t>ministrative agencies generally—</w:t>
      </w:r>
      <w:r w:rsidR="006E3956">
        <w:rPr>
          <w:rFonts w:ascii="Times New Roman" w:hAnsi="Times New Roman" w:cs="Times New Roman"/>
          <w:sz w:val="24"/>
          <w:szCs w:val="24"/>
        </w:rPr>
        <w:t xml:space="preserve">should </w:t>
      </w:r>
      <w:r w:rsidR="004B2113" w:rsidRPr="00FC6F7D">
        <w:rPr>
          <w:rFonts w:ascii="Times New Roman" w:hAnsi="Times New Roman" w:cs="Times New Roman"/>
          <w:sz w:val="24"/>
          <w:szCs w:val="24"/>
        </w:rPr>
        <w:t xml:space="preserve">interpret </w:t>
      </w:r>
      <w:r w:rsidR="00E05A56">
        <w:rPr>
          <w:rFonts w:ascii="Times New Roman" w:hAnsi="Times New Roman" w:cs="Times New Roman"/>
          <w:sz w:val="24"/>
          <w:szCs w:val="24"/>
        </w:rPr>
        <w:t>statutes as</w:t>
      </w:r>
      <w:r w:rsidR="002D14B0">
        <w:rPr>
          <w:rFonts w:ascii="Times New Roman" w:hAnsi="Times New Roman" w:cs="Times New Roman"/>
          <w:sz w:val="24"/>
          <w:szCs w:val="24"/>
        </w:rPr>
        <w:t xml:space="preserve"> well as how reviewing appellate courts should in turn exercise judicial review</w:t>
      </w:r>
      <w:r w:rsidR="004B2113" w:rsidRPr="00FC6F7D">
        <w:rPr>
          <w:rFonts w:ascii="Times New Roman" w:hAnsi="Times New Roman" w:cs="Times New Roman"/>
          <w:sz w:val="24"/>
          <w:szCs w:val="24"/>
        </w:rPr>
        <w:t>.</w:t>
      </w:r>
      <w:r w:rsidR="00080AA8" w:rsidRPr="00FC6F7D">
        <w:rPr>
          <w:rFonts w:ascii="Times New Roman" w:hAnsi="Times New Roman" w:cs="Times New Roman"/>
          <w:sz w:val="24"/>
          <w:szCs w:val="24"/>
        </w:rPr>
        <w:t xml:space="preserve"> </w:t>
      </w:r>
    </w:p>
    <w:p w14:paraId="784915A4" w14:textId="76D57A58" w:rsidR="00080AA8" w:rsidRPr="00FC6F7D" w:rsidRDefault="00080AA8" w:rsidP="00520AE7">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The Article’s findings are of import to scholars of statutory constructions.</w:t>
      </w:r>
      <w:r w:rsidR="00092ECC">
        <w:rPr>
          <w:rFonts w:ascii="Times New Roman" w:hAnsi="Times New Roman" w:cs="Times New Roman"/>
          <w:sz w:val="24"/>
          <w:szCs w:val="24"/>
        </w:rPr>
        <w:t xml:space="preserve"> Much like the analysis by Abbe Gluck and Lisa Bressman</w:t>
      </w:r>
      <w:r w:rsidR="009F176D">
        <w:rPr>
          <w:rStyle w:val="FootnoteReference"/>
          <w:rFonts w:ascii="Times New Roman" w:hAnsi="Times New Roman" w:cs="Times New Roman"/>
          <w:sz w:val="24"/>
          <w:szCs w:val="24"/>
        </w:rPr>
        <w:footnoteReference w:id="10"/>
      </w:r>
      <w:r w:rsidR="00092ECC">
        <w:rPr>
          <w:rFonts w:ascii="Times New Roman" w:hAnsi="Times New Roman" w:cs="Times New Roman"/>
          <w:sz w:val="24"/>
          <w:szCs w:val="24"/>
        </w:rPr>
        <w:t xml:space="preserve"> and Christopher Walker</w:t>
      </w:r>
      <w:r w:rsidR="009F176D">
        <w:rPr>
          <w:rStyle w:val="FootnoteReference"/>
          <w:rFonts w:ascii="Times New Roman" w:hAnsi="Times New Roman" w:cs="Times New Roman"/>
          <w:sz w:val="24"/>
          <w:szCs w:val="24"/>
        </w:rPr>
        <w:footnoteReference w:id="11"/>
      </w:r>
      <w:r w:rsidR="00092ECC">
        <w:rPr>
          <w:rFonts w:ascii="Times New Roman" w:hAnsi="Times New Roman" w:cs="Times New Roman"/>
          <w:sz w:val="24"/>
          <w:szCs w:val="24"/>
        </w:rPr>
        <w:t xml:space="preserve"> gave an insight into real-world understanding</w:t>
      </w:r>
      <w:r w:rsidR="0021249D">
        <w:rPr>
          <w:rFonts w:ascii="Times New Roman" w:hAnsi="Times New Roman" w:cs="Times New Roman"/>
          <w:sz w:val="24"/>
          <w:szCs w:val="24"/>
        </w:rPr>
        <w:t>s</w:t>
      </w:r>
      <w:r w:rsidR="00092ECC">
        <w:rPr>
          <w:rFonts w:ascii="Times New Roman" w:hAnsi="Times New Roman" w:cs="Times New Roman"/>
          <w:sz w:val="24"/>
          <w:szCs w:val="24"/>
        </w:rPr>
        <w:t xml:space="preserve"> of</w:t>
      </w:r>
      <w:r w:rsidR="0021249D">
        <w:rPr>
          <w:rFonts w:ascii="Times New Roman" w:hAnsi="Times New Roman" w:cs="Times New Roman"/>
          <w:sz w:val="24"/>
          <w:szCs w:val="24"/>
        </w:rPr>
        <w:t xml:space="preserve"> statutory interpretation</w:t>
      </w:r>
      <w:r w:rsidR="00092ECC">
        <w:rPr>
          <w:rFonts w:ascii="Times New Roman" w:hAnsi="Times New Roman" w:cs="Times New Roman"/>
          <w:sz w:val="24"/>
          <w:szCs w:val="24"/>
        </w:rPr>
        <w:t xml:space="preserve">, this Article is an attempt to contribute to that debate by showing in an empirical fashion how at least one </w:t>
      </w:r>
      <w:r w:rsidR="0021249D">
        <w:rPr>
          <w:rFonts w:ascii="Times New Roman" w:hAnsi="Times New Roman" w:cs="Times New Roman"/>
          <w:sz w:val="24"/>
          <w:szCs w:val="24"/>
        </w:rPr>
        <w:t>agency</w:t>
      </w:r>
      <w:r w:rsidR="00092ECC">
        <w:rPr>
          <w:rFonts w:ascii="Times New Roman" w:hAnsi="Times New Roman" w:cs="Times New Roman"/>
          <w:sz w:val="24"/>
          <w:szCs w:val="24"/>
        </w:rPr>
        <w:t xml:space="preserve"> interprets statutes in its adjudications. </w:t>
      </w:r>
      <w:r w:rsidRPr="00FC6F7D">
        <w:rPr>
          <w:rFonts w:ascii="Times New Roman" w:hAnsi="Times New Roman" w:cs="Times New Roman"/>
          <w:sz w:val="24"/>
          <w:szCs w:val="24"/>
        </w:rPr>
        <w:t xml:space="preserve">I find that Board members do not consistently </w:t>
      </w:r>
      <w:r w:rsidR="004048F8">
        <w:rPr>
          <w:rFonts w:ascii="Times New Roman" w:hAnsi="Times New Roman" w:cs="Times New Roman"/>
          <w:sz w:val="24"/>
          <w:szCs w:val="24"/>
        </w:rPr>
        <w:t>use interpretive methods</w:t>
      </w:r>
      <w:r w:rsidRPr="00FC6F7D">
        <w:rPr>
          <w:rFonts w:ascii="Times New Roman" w:hAnsi="Times New Roman" w:cs="Times New Roman"/>
          <w:sz w:val="24"/>
          <w:szCs w:val="24"/>
        </w:rPr>
        <w:t>.</w:t>
      </w:r>
      <w:r w:rsidRPr="00FC6F7D">
        <w:rPr>
          <w:rStyle w:val="FootnoteReference"/>
          <w:rFonts w:ascii="Times New Roman" w:hAnsi="Times New Roman" w:cs="Times New Roman"/>
          <w:sz w:val="24"/>
          <w:szCs w:val="24"/>
        </w:rPr>
        <w:footnoteReference w:id="12"/>
      </w:r>
      <w:r w:rsidR="000C0C1F">
        <w:rPr>
          <w:rFonts w:ascii="Times New Roman" w:hAnsi="Times New Roman" w:cs="Times New Roman"/>
          <w:sz w:val="24"/>
          <w:szCs w:val="24"/>
        </w:rPr>
        <w:t xml:space="preserve"> </w:t>
      </w:r>
      <w:r w:rsidR="000C0C1F" w:rsidRPr="000C0C1F">
        <w:rPr>
          <w:rFonts w:ascii="Times New Roman" w:hAnsi="Times New Roman" w:cs="Times New Roman"/>
          <w:sz w:val="24"/>
          <w:szCs w:val="24"/>
        </w:rPr>
        <w:t>Majority and dissenting writers bicker over</w:t>
      </w:r>
      <w:r w:rsidR="000C0C1F">
        <w:rPr>
          <w:rFonts w:ascii="Times New Roman" w:hAnsi="Times New Roman" w:cs="Times New Roman"/>
          <w:sz w:val="24"/>
          <w:szCs w:val="24"/>
        </w:rPr>
        <w:t xml:space="preserve"> the</w:t>
      </w:r>
      <w:r w:rsidR="000C0C1F" w:rsidRPr="000C0C1F">
        <w:rPr>
          <w:rFonts w:ascii="Times New Roman" w:hAnsi="Times New Roman" w:cs="Times New Roman"/>
          <w:sz w:val="24"/>
          <w:szCs w:val="24"/>
        </w:rPr>
        <w:t xml:space="preserve"> breath of the statutory words, invoke different parts of </w:t>
      </w:r>
      <w:r w:rsidR="00134601">
        <w:rPr>
          <w:rFonts w:ascii="Times New Roman" w:hAnsi="Times New Roman" w:cs="Times New Roman"/>
          <w:sz w:val="24"/>
          <w:szCs w:val="24"/>
        </w:rPr>
        <w:t xml:space="preserve">the </w:t>
      </w:r>
      <w:r w:rsidR="000C0C1F" w:rsidRPr="000C0C1F">
        <w:rPr>
          <w:rFonts w:ascii="Times New Roman" w:hAnsi="Times New Roman" w:cs="Times New Roman"/>
          <w:sz w:val="24"/>
          <w:szCs w:val="24"/>
        </w:rPr>
        <w:t xml:space="preserve">whole act or </w:t>
      </w:r>
      <w:r w:rsidR="000C0C1F">
        <w:rPr>
          <w:rFonts w:ascii="Times New Roman" w:hAnsi="Times New Roman" w:cs="Times New Roman"/>
          <w:sz w:val="24"/>
          <w:szCs w:val="24"/>
        </w:rPr>
        <w:t xml:space="preserve">the </w:t>
      </w:r>
      <w:r w:rsidR="000C0C1F" w:rsidRPr="000C0C1F">
        <w:rPr>
          <w:rFonts w:ascii="Times New Roman" w:hAnsi="Times New Roman" w:cs="Times New Roman"/>
          <w:sz w:val="24"/>
          <w:szCs w:val="24"/>
        </w:rPr>
        <w:t>whole cod</w:t>
      </w:r>
      <w:r w:rsidR="000C0C1F">
        <w:rPr>
          <w:rFonts w:ascii="Times New Roman" w:hAnsi="Times New Roman" w:cs="Times New Roman"/>
          <w:sz w:val="24"/>
          <w:szCs w:val="24"/>
        </w:rPr>
        <w:t>e to advance an interpretation</w:t>
      </w:r>
      <w:r w:rsidR="000C0C1F" w:rsidRPr="000C0C1F">
        <w:rPr>
          <w:rFonts w:ascii="Times New Roman" w:hAnsi="Times New Roman" w:cs="Times New Roman"/>
          <w:sz w:val="24"/>
          <w:szCs w:val="24"/>
        </w:rPr>
        <w:t xml:space="preserve">, argue that related statutes are more or </w:t>
      </w:r>
      <w:r w:rsidR="000C0C1F" w:rsidRPr="000C0C1F">
        <w:rPr>
          <w:rFonts w:ascii="Times New Roman" w:hAnsi="Times New Roman" w:cs="Times New Roman"/>
          <w:sz w:val="24"/>
          <w:szCs w:val="24"/>
        </w:rPr>
        <w:lastRenderedPageBreak/>
        <w:t>l</w:t>
      </w:r>
      <w:r w:rsidR="000C0C1F">
        <w:rPr>
          <w:rFonts w:ascii="Times New Roman" w:hAnsi="Times New Roman" w:cs="Times New Roman"/>
          <w:sz w:val="24"/>
          <w:szCs w:val="24"/>
        </w:rPr>
        <w:t xml:space="preserve">ess relevant to interpretation and </w:t>
      </w:r>
      <w:r w:rsidR="000C0C1F" w:rsidRPr="000C0C1F">
        <w:rPr>
          <w:rFonts w:ascii="Times New Roman" w:hAnsi="Times New Roman" w:cs="Times New Roman"/>
          <w:sz w:val="24"/>
          <w:szCs w:val="24"/>
        </w:rPr>
        <w:t xml:space="preserve">disagree over the purpose of the statute and the statutory scheme. </w:t>
      </w:r>
      <w:r w:rsidR="000C0C1F">
        <w:rPr>
          <w:rFonts w:ascii="Times New Roman" w:hAnsi="Times New Roman" w:cs="Times New Roman"/>
          <w:sz w:val="24"/>
          <w:szCs w:val="24"/>
        </w:rPr>
        <w:t xml:space="preserve">Both Democratic and Republican Board members employ </w:t>
      </w:r>
      <w:r w:rsidR="00520AE7">
        <w:rPr>
          <w:rFonts w:ascii="Times New Roman" w:hAnsi="Times New Roman" w:cs="Times New Roman"/>
          <w:sz w:val="24"/>
          <w:szCs w:val="24"/>
        </w:rPr>
        <w:t xml:space="preserve">both </w:t>
      </w:r>
      <w:r w:rsidR="000C0C1F">
        <w:rPr>
          <w:rFonts w:ascii="Times New Roman" w:hAnsi="Times New Roman" w:cs="Times New Roman"/>
          <w:sz w:val="24"/>
          <w:szCs w:val="24"/>
        </w:rPr>
        <w:t>textualist and purposivist methods in their analysis to advance a particular policy approach. The methods the Board uses have changed over time, with the current Obama Board relying more on policy and less on le</w:t>
      </w:r>
      <w:r w:rsidR="00AE2121">
        <w:rPr>
          <w:rFonts w:ascii="Times New Roman" w:hAnsi="Times New Roman" w:cs="Times New Roman"/>
          <w:sz w:val="24"/>
          <w:szCs w:val="24"/>
        </w:rPr>
        <w:t>gislative history to advance the Board’s</w:t>
      </w:r>
      <w:r w:rsidR="000C0C1F">
        <w:rPr>
          <w:rFonts w:ascii="Times New Roman" w:hAnsi="Times New Roman" w:cs="Times New Roman"/>
          <w:sz w:val="24"/>
          <w:szCs w:val="24"/>
        </w:rPr>
        <w:t xml:space="preserve"> statutory mandate.</w:t>
      </w:r>
      <w:r w:rsidR="005317AF">
        <w:rPr>
          <w:rFonts w:ascii="Times New Roman" w:hAnsi="Times New Roman" w:cs="Times New Roman"/>
          <w:sz w:val="24"/>
          <w:szCs w:val="24"/>
        </w:rPr>
        <w:t xml:space="preserve"> The type of dueling between majority and dissenting Board members has also shifted over time; whereas during the Clinton administration, opposing sides argued over policy differences, in more recent opinions in the Obama Board, members quarreled over whether a textual or purposive method is most appropria</w:t>
      </w:r>
      <w:r w:rsidR="000C5C2A">
        <w:rPr>
          <w:rFonts w:ascii="Times New Roman" w:hAnsi="Times New Roman" w:cs="Times New Roman"/>
          <w:sz w:val="24"/>
          <w:szCs w:val="24"/>
        </w:rPr>
        <w:t>te to resolve the interpretative</w:t>
      </w:r>
      <w:r w:rsidR="005317AF">
        <w:rPr>
          <w:rFonts w:ascii="Times New Roman" w:hAnsi="Times New Roman" w:cs="Times New Roman"/>
          <w:sz w:val="24"/>
          <w:szCs w:val="24"/>
        </w:rPr>
        <w:t xml:space="preserve"> dilemma</w:t>
      </w:r>
      <w:r w:rsidR="00EC2473">
        <w:rPr>
          <w:rFonts w:ascii="Times New Roman" w:hAnsi="Times New Roman" w:cs="Times New Roman"/>
          <w:sz w:val="24"/>
          <w:szCs w:val="24"/>
        </w:rPr>
        <w:t xml:space="preserve"> at hand</w:t>
      </w:r>
      <w:r w:rsidR="005317AF">
        <w:rPr>
          <w:rFonts w:ascii="Times New Roman" w:hAnsi="Times New Roman" w:cs="Times New Roman"/>
          <w:sz w:val="24"/>
          <w:szCs w:val="24"/>
        </w:rPr>
        <w:t xml:space="preserve">. </w:t>
      </w:r>
    </w:p>
    <w:p w14:paraId="273CC936" w14:textId="16499E71" w:rsidR="008A0132" w:rsidRPr="00FC6F7D" w:rsidRDefault="00080AA8" w:rsidP="00520AE7">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These empirical findings contribute to the debate about</w:t>
      </w:r>
      <w:r w:rsidR="001B38C2">
        <w:rPr>
          <w:rFonts w:ascii="Times New Roman" w:hAnsi="Times New Roman" w:cs="Times New Roman"/>
          <w:sz w:val="24"/>
          <w:szCs w:val="24"/>
        </w:rPr>
        <w:t xml:space="preserve"> how agencies should construe statutes</w:t>
      </w:r>
      <w:r w:rsidR="00E636A2">
        <w:rPr>
          <w:rFonts w:ascii="Times New Roman" w:hAnsi="Times New Roman" w:cs="Times New Roman"/>
          <w:sz w:val="24"/>
          <w:szCs w:val="24"/>
        </w:rPr>
        <w:t xml:space="preserve">. </w:t>
      </w:r>
      <w:r w:rsidRPr="00FC6F7D">
        <w:rPr>
          <w:rFonts w:ascii="Times New Roman" w:hAnsi="Times New Roman" w:cs="Times New Roman"/>
          <w:sz w:val="24"/>
          <w:szCs w:val="24"/>
        </w:rPr>
        <w:t>Columbia Law professor Karl Llewellyn challenged the view that</w:t>
      </w:r>
      <w:r w:rsidR="00FA1980">
        <w:rPr>
          <w:rFonts w:ascii="Times New Roman" w:hAnsi="Times New Roman" w:cs="Times New Roman"/>
          <w:sz w:val="24"/>
          <w:szCs w:val="24"/>
        </w:rPr>
        <w:t xml:space="preserve"> statutory canons lead decision</w:t>
      </w:r>
      <w:r w:rsidR="00561443">
        <w:rPr>
          <w:rFonts w:ascii="Times New Roman" w:hAnsi="Times New Roman" w:cs="Times New Roman"/>
          <w:sz w:val="24"/>
          <w:szCs w:val="24"/>
        </w:rPr>
        <w:t>-</w:t>
      </w:r>
      <w:r w:rsidRPr="00FC6F7D">
        <w:rPr>
          <w:rFonts w:ascii="Times New Roman" w:hAnsi="Times New Roman" w:cs="Times New Roman"/>
          <w:sz w:val="24"/>
          <w:szCs w:val="24"/>
        </w:rPr>
        <w:t>makers to arrive at a consistent, non-ideolo</w:t>
      </w:r>
      <w:r w:rsidR="00520AE7">
        <w:rPr>
          <w:rFonts w:ascii="Times New Roman" w:hAnsi="Times New Roman" w:cs="Times New Roman"/>
          <w:sz w:val="24"/>
          <w:szCs w:val="24"/>
        </w:rPr>
        <w:t>gical—and most importantly</w:t>
      </w:r>
      <w:r w:rsidR="00A94D37">
        <w:rPr>
          <w:rFonts w:ascii="Times New Roman" w:hAnsi="Times New Roman" w:cs="Times New Roman"/>
          <w:sz w:val="24"/>
          <w:szCs w:val="24"/>
        </w:rPr>
        <w:t>—</w:t>
      </w:r>
      <w:r w:rsidRPr="00FC6F7D">
        <w:rPr>
          <w:rFonts w:ascii="Times New Roman" w:hAnsi="Times New Roman" w:cs="Times New Roman"/>
          <w:sz w:val="24"/>
          <w:szCs w:val="24"/>
        </w:rPr>
        <w:t>“correct” reading of the underlying statute.</w:t>
      </w:r>
      <w:r w:rsidRPr="00FC6F7D">
        <w:rPr>
          <w:rStyle w:val="FootnoteReference"/>
          <w:rFonts w:ascii="Times New Roman" w:hAnsi="Times New Roman" w:cs="Times New Roman"/>
          <w:sz w:val="24"/>
          <w:szCs w:val="24"/>
        </w:rPr>
        <w:footnoteReference w:id="13"/>
      </w:r>
      <w:r w:rsidRPr="00FC6F7D">
        <w:rPr>
          <w:rFonts w:ascii="Times New Roman" w:hAnsi="Times New Roman" w:cs="Times New Roman"/>
          <w:sz w:val="24"/>
          <w:szCs w:val="24"/>
        </w:rPr>
        <w:t xml:space="preserve"> </w:t>
      </w:r>
      <w:r w:rsidR="005A4A8B">
        <w:rPr>
          <w:rFonts w:ascii="Times New Roman" w:hAnsi="Times New Roman" w:cs="Times New Roman"/>
          <w:sz w:val="24"/>
          <w:szCs w:val="24"/>
        </w:rPr>
        <w:t>This studies</w:t>
      </w:r>
      <w:r w:rsidR="0021249D">
        <w:rPr>
          <w:rFonts w:ascii="Times New Roman" w:hAnsi="Times New Roman" w:cs="Times New Roman"/>
          <w:sz w:val="24"/>
          <w:szCs w:val="24"/>
        </w:rPr>
        <w:t>’</w:t>
      </w:r>
      <w:r w:rsidR="005A4A8B">
        <w:rPr>
          <w:rFonts w:ascii="Times New Roman" w:hAnsi="Times New Roman" w:cs="Times New Roman"/>
          <w:sz w:val="24"/>
          <w:szCs w:val="24"/>
        </w:rPr>
        <w:t xml:space="preserve"> findings support that claim</w:t>
      </w:r>
      <w:r w:rsidR="00E36AC2">
        <w:rPr>
          <w:rFonts w:ascii="Times New Roman" w:hAnsi="Times New Roman" w:cs="Times New Roman"/>
          <w:sz w:val="24"/>
          <w:szCs w:val="24"/>
        </w:rPr>
        <w:t xml:space="preserve"> somewhat as Board members continually switch their interpretive method depending on the procedural posture of the case. Moreover, the somewhat inconsistent usage of legislative history by the Board </w:t>
      </w:r>
      <w:r w:rsidRPr="00FC6F7D">
        <w:rPr>
          <w:rFonts w:ascii="Times New Roman" w:hAnsi="Times New Roman" w:cs="Times New Roman"/>
          <w:sz w:val="24"/>
          <w:szCs w:val="24"/>
        </w:rPr>
        <w:t>call</w:t>
      </w:r>
      <w:r w:rsidR="00E36AC2">
        <w:rPr>
          <w:rFonts w:ascii="Times New Roman" w:hAnsi="Times New Roman" w:cs="Times New Roman"/>
          <w:sz w:val="24"/>
          <w:szCs w:val="24"/>
        </w:rPr>
        <w:t>s</w:t>
      </w:r>
      <w:r w:rsidRPr="00FC6F7D">
        <w:rPr>
          <w:rFonts w:ascii="Times New Roman" w:hAnsi="Times New Roman" w:cs="Times New Roman"/>
          <w:sz w:val="24"/>
          <w:szCs w:val="24"/>
        </w:rPr>
        <w:t xml:space="preserve"> into question whether legislative</w:t>
      </w:r>
      <w:r w:rsidR="00985D31">
        <w:rPr>
          <w:rFonts w:ascii="Times New Roman" w:hAnsi="Times New Roman" w:cs="Times New Roman"/>
          <w:sz w:val="24"/>
          <w:szCs w:val="24"/>
        </w:rPr>
        <w:t xml:space="preserve"> history</w:t>
      </w:r>
      <w:r w:rsidR="00E36AC2">
        <w:rPr>
          <w:rFonts w:ascii="Times New Roman" w:hAnsi="Times New Roman" w:cs="Times New Roman"/>
          <w:sz w:val="24"/>
          <w:szCs w:val="24"/>
        </w:rPr>
        <w:t xml:space="preserve">—especially </w:t>
      </w:r>
      <w:r w:rsidR="00B9710B">
        <w:rPr>
          <w:rFonts w:ascii="Times New Roman" w:hAnsi="Times New Roman" w:cs="Times New Roman"/>
          <w:sz w:val="24"/>
          <w:szCs w:val="24"/>
        </w:rPr>
        <w:t>the legislative history of a 75-</w:t>
      </w:r>
      <w:r w:rsidR="00E36AC2">
        <w:rPr>
          <w:rFonts w:ascii="Times New Roman" w:hAnsi="Times New Roman" w:cs="Times New Roman"/>
          <w:sz w:val="24"/>
          <w:szCs w:val="24"/>
        </w:rPr>
        <w:t>year old statute that has not been updated since</w:t>
      </w:r>
      <w:r w:rsidR="00012C4F">
        <w:rPr>
          <w:rFonts w:ascii="Times New Roman" w:hAnsi="Times New Roman" w:cs="Times New Roman"/>
          <w:sz w:val="24"/>
          <w:szCs w:val="24"/>
        </w:rPr>
        <w:t xml:space="preserve"> the beginnings of the Cold War</w:t>
      </w:r>
      <w:r w:rsidR="00E36AC2">
        <w:rPr>
          <w:rFonts w:ascii="Times New Roman" w:hAnsi="Times New Roman" w:cs="Times New Roman"/>
          <w:sz w:val="24"/>
          <w:szCs w:val="24"/>
        </w:rPr>
        <w:t>—</w:t>
      </w:r>
      <w:r w:rsidRPr="00FC6F7D">
        <w:rPr>
          <w:rFonts w:ascii="Times New Roman" w:hAnsi="Times New Roman" w:cs="Times New Roman"/>
          <w:sz w:val="24"/>
          <w:szCs w:val="24"/>
        </w:rPr>
        <w:t>can serve as a useful tool to help courts act as a “faithful delegate” to the legislature.</w:t>
      </w:r>
      <w:r w:rsidRPr="00FC6F7D">
        <w:rPr>
          <w:rStyle w:val="FootnoteReference"/>
          <w:rFonts w:ascii="Times New Roman" w:hAnsi="Times New Roman" w:cs="Times New Roman"/>
          <w:sz w:val="24"/>
          <w:szCs w:val="24"/>
        </w:rPr>
        <w:footnoteReference w:id="14"/>
      </w:r>
      <w:r w:rsidRPr="00FC6F7D">
        <w:rPr>
          <w:rFonts w:ascii="Times New Roman" w:hAnsi="Times New Roman" w:cs="Times New Roman"/>
          <w:sz w:val="24"/>
          <w:szCs w:val="24"/>
        </w:rPr>
        <w:t xml:space="preserve"> </w:t>
      </w:r>
      <w:r w:rsidR="00056D6E">
        <w:rPr>
          <w:rFonts w:ascii="Times New Roman" w:hAnsi="Times New Roman" w:cs="Times New Roman"/>
          <w:sz w:val="24"/>
          <w:szCs w:val="24"/>
        </w:rPr>
        <w:t>Rather, a</w:t>
      </w:r>
      <w:r w:rsidR="009D07C2">
        <w:rPr>
          <w:rFonts w:ascii="Times New Roman" w:hAnsi="Times New Roman" w:cs="Times New Roman"/>
          <w:sz w:val="24"/>
          <w:szCs w:val="24"/>
        </w:rPr>
        <w:t xml:space="preserve">gencies should first focus on the language of the text, in line with how the text aligns with other parts of the statute. If the text does not dictate meaning, then the agency should use its expertise in line with its responsibility </w:t>
      </w:r>
      <w:r w:rsidR="009D07C2">
        <w:rPr>
          <w:rFonts w:ascii="Times New Roman" w:hAnsi="Times New Roman" w:cs="Times New Roman"/>
          <w:sz w:val="24"/>
          <w:szCs w:val="24"/>
        </w:rPr>
        <w:lastRenderedPageBreak/>
        <w:t>to be politically accountable.</w:t>
      </w:r>
      <w:r w:rsidR="00F10759">
        <w:rPr>
          <w:rStyle w:val="FootnoteReference"/>
          <w:rFonts w:ascii="Times New Roman" w:hAnsi="Times New Roman" w:cs="Times New Roman"/>
          <w:sz w:val="24"/>
          <w:szCs w:val="24"/>
        </w:rPr>
        <w:footnoteReference w:id="15"/>
      </w:r>
      <w:r w:rsidR="009D07C2">
        <w:rPr>
          <w:rFonts w:ascii="Times New Roman" w:hAnsi="Times New Roman" w:cs="Times New Roman"/>
          <w:sz w:val="24"/>
          <w:szCs w:val="24"/>
        </w:rPr>
        <w:t xml:space="preserve"> </w:t>
      </w:r>
      <w:r w:rsidR="00561443">
        <w:rPr>
          <w:rFonts w:ascii="Times New Roman" w:hAnsi="Times New Roman" w:cs="Times New Roman"/>
          <w:sz w:val="24"/>
          <w:szCs w:val="24"/>
        </w:rPr>
        <w:t>Legislative history should serve as an anchor to inform the agency of the statute’s background, but it should not be used to limit the text or to infuse the statute with the meaning expected by the statute’s enacting coalition.</w:t>
      </w:r>
      <w:r w:rsidR="00F10759">
        <w:rPr>
          <w:rStyle w:val="FootnoteReference"/>
          <w:rFonts w:ascii="Times New Roman" w:hAnsi="Times New Roman" w:cs="Times New Roman"/>
          <w:sz w:val="24"/>
          <w:szCs w:val="24"/>
        </w:rPr>
        <w:footnoteReference w:id="16"/>
      </w:r>
      <w:r w:rsidR="00561443">
        <w:rPr>
          <w:rFonts w:ascii="Times New Roman" w:hAnsi="Times New Roman" w:cs="Times New Roman"/>
          <w:sz w:val="24"/>
          <w:szCs w:val="24"/>
        </w:rPr>
        <w:t xml:space="preserve"> </w:t>
      </w:r>
      <w:r w:rsidR="002E48FE">
        <w:rPr>
          <w:rFonts w:ascii="Times New Roman" w:hAnsi="Times New Roman" w:cs="Times New Roman"/>
          <w:sz w:val="24"/>
          <w:szCs w:val="24"/>
        </w:rPr>
        <w:t>For a policymaking agency charged to implement the President’s agenda, we might expect to see agencies interpreting statutes quite differently than what we might expect of courts.</w:t>
      </w:r>
      <w:r w:rsidR="002E48FE">
        <w:rPr>
          <w:rStyle w:val="FootnoteReference"/>
          <w:rFonts w:ascii="Times New Roman" w:hAnsi="Times New Roman" w:cs="Times New Roman"/>
          <w:sz w:val="24"/>
          <w:szCs w:val="24"/>
        </w:rPr>
        <w:footnoteReference w:id="17"/>
      </w:r>
      <w:r w:rsidR="002E48FE">
        <w:rPr>
          <w:rFonts w:ascii="Times New Roman" w:hAnsi="Times New Roman" w:cs="Times New Roman"/>
          <w:sz w:val="24"/>
          <w:szCs w:val="24"/>
        </w:rPr>
        <w:t xml:space="preserve"> </w:t>
      </w:r>
      <w:r w:rsidR="00B9710B">
        <w:rPr>
          <w:rFonts w:ascii="Times New Roman" w:hAnsi="Times New Roman" w:cs="Times New Roman"/>
          <w:sz w:val="24"/>
          <w:szCs w:val="24"/>
        </w:rPr>
        <w:t>Agencies, for instance, should be more explicit about how they incorporate policy and practical reasoning in their statutory interpretation calculus.</w:t>
      </w:r>
      <w:r w:rsidR="004D689C">
        <w:rPr>
          <w:rStyle w:val="FootnoteReference"/>
          <w:rFonts w:ascii="Times New Roman" w:hAnsi="Times New Roman" w:cs="Times New Roman"/>
          <w:sz w:val="24"/>
          <w:szCs w:val="24"/>
        </w:rPr>
        <w:footnoteReference w:id="18"/>
      </w:r>
      <w:r w:rsidR="00B9710B">
        <w:rPr>
          <w:rFonts w:ascii="Times New Roman" w:hAnsi="Times New Roman" w:cs="Times New Roman"/>
          <w:sz w:val="24"/>
          <w:szCs w:val="24"/>
        </w:rPr>
        <w:t xml:space="preserve"> They could do this by embracing their role as experts and basing their legal reasoning on that expertise.</w:t>
      </w:r>
      <w:r w:rsidR="004D689C">
        <w:rPr>
          <w:rStyle w:val="FootnoteReference"/>
          <w:rFonts w:ascii="Times New Roman" w:hAnsi="Times New Roman" w:cs="Times New Roman"/>
          <w:sz w:val="24"/>
          <w:szCs w:val="24"/>
        </w:rPr>
        <w:footnoteReference w:id="19"/>
      </w:r>
      <w:r w:rsidR="00B9710B">
        <w:rPr>
          <w:rFonts w:ascii="Times New Roman" w:hAnsi="Times New Roman" w:cs="Times New Roman"/>
          <w:sz w:val="24"/>
          <w:szCs w:val="24"/>
        </w:rPr>
        <w:t xml:space="preserve"> </w:t>
      </w:r>
      <w:r w:rsidR="00520AE7">
        <w:rPr>
          <w:rFonts w:ascii="Times New Roman" w:hAnsi="Times New Roman" w:cs="Times New Roman"/>
          <w:sz w:val="24"/>
          <w:szCs w:val="24"/>
        </w:rPr>
        <w:t>Moreover, the Board’s more explicit acknowledgement</w:t>
      </w:r>
      <w:r w:rsidR="00561443">
        <w:rPr>
          <w:rFonts w:ascii="Times New Roman" w:hAnsi="Times New Roman" w:cs="Times New Roman"/>
          <w:sz w:val="24"/>
          <w:szCs w:val="24"/>
        </w:rPr>
        <w:t xml:space="preserve"> of itself as a policymaking bo</w:t>
      </w:r>
      <w:r w:rsidR="00520AE7">
        <w:rPr>
          <w:rFonts w:ascii="Times New Roman" w:hAnsi="Times New Roman" w:cs="Times New Roman"/>
          <w:sz w:val="24"/>
          <w:szCs w:val="24"/>
        </w:rPr>
        <w:t>d</w:t>
      </w:r>
      <w:r w:rsidR="00561443">
        <w:rPr>
          <w:rFonts w:ascii="Times New Roman" w:hAnsi="Times New Roman" w:cs="Times New Roman"/>
          <w:sz w:val="24"/>
          <w:szCs w:val="24"/>
        </w:rPr>
        <w:t>y</w:t>
      </w:r>
      <w:r w:rsidR="00520AE7">
        <w:rPr>
          <w:rFonts w:ascii="Times New Roman" w:hAnsi="Times New Roman" w:cs="Times New Roman"/>
          <w:sz w:val="24"/>
          <w:szCs w:val="24"/>
        </w:rPr>
        <w:t xml:space="preserve"> as opposed to a court would do much to ensure that the Board’s statutory interpretations best effectuate the statutory mandate of the Board.</w:t>
      </w:r>
      <w:r w:rsidR="00B9710B">
        <w:rPr>
          <w:rFonts w:ascii="Times New Roman" w:hAnsi="Times New Roman" w:cs="Times New Roman"/>
          <w:sz w:val="24"/>
          <w:szCs w:val="24"/>
        </w:rPr>
        <w:t xml:space="preserve"> I propose, for instance, that the Board embrace its policymaking mandate by relying more on social science data to inform statutory meaning </w:t>
      </w:r>
      <w:r w:rsidR="001A6901">
        <w:rPr>
          <w:rFonts w:ascii="Times New Roman" w:hAnsi="Times New Roman" w:cs="Times New Roman"/>
          <w:sz w:val="24"/>
          <w:szCs w:val="24"/>
        </w:rPr>
        <w:t xml:space="preserve">and to update to the NLRA to current times.  I also argue that the NLRA should also embrace </w:t>
      </w:r>
      <w:r w:rsidR="00B9710B">
        <w:rPr>
          <w:rFonts w:ascii="Times New Roman" w:hAnsi="Times New Roman" w:cs="Times New Roman"/>
          <w:sz w:val="24"/>
          <w:szCs w:val="24"/>
        </w:rPr>
        <w:t xml:space="preserve">rulemaking to make decisions on some of the matters it currently leaves to case-by-case adjudication. </w:t>
      </w:r>
    </w:p>
    <w:p w14:paraId="7E69DA84" w14:textId="5A235A50" w:rsidR="00056D6E" w:rsidRDefault="006A7DF2" w:rsidP="002124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Part I, I survey the scholarly literature. </w:t>
      </w:r>
      <w:r w:rsidR="001B38C2">
        <w:rPr>
          <w:rFonts w:ascii="Times New Roman" w:hAnsi="Times New Roman" w:cs="Times New Roman"/>
          <w:sz w:val="24"/>
          <w:szCs w:val="24"/>
        </w:rPr>
        <w:t xml:space="preserve">I </w:t>
      </w:r>
      <w:r w:rsidR="00940E68">
        <w:rPr>
          <w:rFonts w:ascii="Times New Roman" w:hAnsi="Times New Roman" w:cs="Times New Roman"/>
          <w:sz w:val="24"/>
          <w:szCs w:val="24"/>
        </w:rPr>
        <w:t xml:space="preserve">first </w:t>
      </w:r>
      <w:r w:rsidR="001B38C2">
        <w:rPr>
          <w:rFonts w:ascii="Times New Roman" w:hAnsi="Times New Roman" w:cs="Times New Roman"/>
          <w:sz w:val="24"/>
          <w:szCs w:val="24"/>
        </w:rPr>
        <w:t xml:space="preserve">review </w:t>
      </w:r>
      <w:r w:rsidR="00232A6F">
        <w:rPr>
          <w:rFonts w:ascii="Times New Roman" w:hAnsi="Times New Roman" w:cs="Times New Roman"/>
          <w:sz w:val="24"/>
          <w:szCs w:val="24"/>
        </w:rPr>
        <w:t>the literature on statutory methodologies</w:t>
      </w:r>
      <w:r>
        <w:rPr>
          <w:rFonts w:ascii="Times New Roman" w:hAnsi="Times New Roman" w:cs="Times New Roman"/>
          <w:sz w:val="24"/>
          <w:szCs w:val="24"/>
        </w:rPr>
        <w:t xml:space="preserve"> generally</w:t>
      </w:r>
      <w:r w:rsidR="00940E68">
        <w:rPr>
          <w:rFonts w:ascii="Times New Roman" w:hAnsi="Times New Roman" w:cs="Times New Roman"/>
          <w:sz w:val="24"/>
          <w:szCs w:val="24"/>
        </w:rPr>
        <w:t xml:space="preserve"> in Part I.A,</w:t>
      </w:r>
      <w:r>
        <w:rPr>
          <w:rFonts w:ascii="Times New Roman" w:hAnsi="Times New Roman" w:cs="Times New Roman"/>
          <w:sz w:val="24"/>
          <w:szCs w:val="24"/>
        </w:rPr>
        <w:t xml:space="preserve"> and then in Part </w:t>
      </w:r>
      <w:r w:rsidR="00232A6F">
        <w:rPr>
          <w:rFonts w:ascii="Times New Roman" w:hAnsi="Times New Roman" w:cs="Times New Roman"/>
          <w:sz w:val="24"/>
          <w:szCs w:val="24"/>
        </w:rPr>
        <w:t>I</w:t>
      </w:r>
      <w:r>
        <w:rPr>
          <w:rFonts w:ascii="Times New Roman" w:hAnsi="Times New Roman" w:cs="Times New Roman"/>
          <w:sz w:val="24"/>
          <w:szCs w:val="24"/>
        </w:rPr>
        <w:t>.B, I orient the study within the broader scholarship concerning statutory methodologies applied specifically to the administrative state</w:t>
      </w:r>
      <w:r w:rsidR="00080AA8" w:rsidRPr="00FC6F7D">
        <w:rPr>
          <w:rFonts w:ascii="Times New Roman" w:hAnsi="Times New Roman" w:cs="Times New Roman"/>
          <w:sz w:val="24"/>
          <w:szCs w:val="24"/>
        </w:rPr>
        <w:t xml:space="preserve">. </w:t>
      </w:r>
      <w:r>
        <w:rPr>
          <w:rFonts w:ascii="Times New Roman" w:hAnsi="Times New Roman" w:cs="Times New Roman"/>
          <w:sz w:val="24"/>
          <w:szCs w:val="24"/>
        </w:rPr>
        <w:t xml:space="preserve">In Part II, I turn to the </w:t>
      </w:r>
      <w:r w:rsidR="001B38C2">
        <w:rPr>
          <w:rFonts w:ascii="Times New Roman" w:hAnsi="Times New Roman" w:cs="Times New Roman"/>
          <w:sz w:val="24"/>
          <w:szCs w:val="24"/>
        </w:rPr>
        <w:t xml:space="preserve">empirical </w:t>
      </w:r>
      <w:r>
        <w:rPr>
          <w:rFonts w:ascii="Times New Roman" w:hAnsi="Times New Roman" w:cs="Times New Roman"/>
          <w:sz w:val="24"/>
          <w:szCs w:val="24"/>
        </w:rPr>
        <w:t xml:space="preserve">study at hand. I provide background on the NLRB in Part II.A </w:t>
      </w:r>
      <w:r>
        <w:rPr>
          <w:rFonts w:ascii="Times New Roman" w:hAnsi="Times New Roman" w:cs="Times New Roman"/>
          <w:sz w:val="24"/>
          <w:szCs w:val="24"/>
        </w:rPr>
        <w:lastRenderedPageBreak/>
        <w:t>and then in Part II.B</w:t>
      </w:r>
      <w:r w:rsidR="00080AA8" w:rsidRPr="00FC6F7D">
        <w:rPr>
          <w:rFonts w:ascii="Times New Roman" w:hAnsi="Times New Roman" w:cs="Times New Roman"/>
          <w:sz w:val="24"/>
          <w:szCs w:val="24"/>
        </w:rPr>
        <w:t xml:space="preserve">, I set forth the </w:t>
      </w:r>
      <w:r>
        <w:rPr>
          <w:rFonts w:ascii="Times New Roman" w:hAnsi="Times New Roman" w:cs="Times New Roman"/>
          <w:sz w:val="24"/>
          <w:szCs w:val="24"/>
        </w:rPr>
        <w:t xml:space="preserve">empirical </w:t>
      </w:r>
      <w:r w:rsidR="00080AA8" w:rsidRPr="00FC6F7D">
        <w:rPr>
          <w:rFonts w:ascii="Times New Roman" w:hAnsi="Times New Roman" w:cs="Times New Roman"/>
          <w:sz w:val="24"/>
          <w:szCs w:val="24"/>
        </w:rPr>
        <w:t xml:space="preserve">methodology </w:t>
      </w:r>
      <w:r>
        <w:rPr>
          <w:rFonts w:ascii="Times New Roman" w:hAnsi="Times New Roman" w:cs="Times New Roman"/>
          <w:sz w:val="24"/>
          <w:szCs w:val="24"/>
        </w:rPr>
        <w:t>employed</w:t>
      </w:r>
      <w:r w:rsidR="00080AA8" w:rsidRPr="00FC6F7D">
        <w:rPr>
          <w:rFonts w:ascii="Times New Roman" w:hAnsi="Times New Roman" w:cs="Times New Roman"/>
          <w:sz w:val="24"/>
          <w:szCs w:val="24"/>
        </w:rPr>
        <w:t xml:space="preserve">. </w:t>
      </w:r>
      <w:r>
        <w:rPr>
          <w:rFonts w:ascii="Times New Roman" w:hAnsi="Times New Roman" w:cs="Times New Roman"/>
          <w:sz w:val="24"/>
          <w:szCs w:val="24"/>
        </w:rPr>
        <w:t xml:space="preserve">In Part II.C, </w:t>
      </w:r>
      <w:r w:rsidR="00080AA8" w:rsidRPr="00FC6F7D">
        <w:rPr>
          <w:rFonts w:ascii="Times New Roman" w:hAnsi="Times New Roman" w:cs="Times New Roman"/>
          <w:sz w:val="24"/>
          <w:szCs w:val="24"/>
        </w:rPr>
        <w:t xml:space="preserve">I </w:t>
      </w:r>
      <w:r>
        <w:rPr>
          <w:rFonts w:ascii="Times New Roman" w:hAnsi="Times New Roman" w:cs="Times New Roman"/>
          <w:sz w:val="24"/>
          <w:szCs w:val="24"/>
        </w:rPr>
        <w:t>present and analyze</w:t>
      </w:r>
      <w:r w:rsidR="00080AA8" w:rsidRPr="00FC6F7D">
        <w:rPr>
          <w:rFonts w:ascii="Times New Roman" w:hAnsi="Times New Roman" w:cs="Times New Roman"/>
          <w:sz w:val="24"/>
          <w:szCs w:val="24"/>
        </w:rPr>
        <w:t xml:space="preserve"> </w:t>
      </w:r>
      <w:r>
        <w:rPr>
          <w:rFonts w:ascii="Times New Roman" w:hAnsi="Times New Roman" w:cs="Times New Roman"/>
          <w:sz w:val="24"/>
          <w:szCs w:val="24"/>
        </w:rPr>
        <w:t xml:space="preserve">the data regarding </w:t>
      </w:r>
      <w:r w:rsidR="00A62CC3">
        <w:rPr>
          <w:rFonts w:ascii="Times New Roman" w:hAnsi="Times New Roman" w:cs="Times New Roman"/>
          <w:sz w:val="24"/>
          <w:szCs w:val="24"/>
        </w:rPr>
        <w:t>the statutory</w:t>
      </w:r>
      <w:r>
        <w:rPr>
          <w:rFonts w:ascii="Times New Roman" w:hAnsi="Times New Roman" w:cs="Times New Roman"/>
          <w:sz w:val="24"/>
          <w:szCs w:val="24"/>
        </w:rPr>
        <w:t xml:space="preserve"> methodologies the Board </w:t>
      </w:r>
      <w:r w:rsidR="00414B23">
        <w:rPr>
          <w:rFonts w:ascii="Times New Roman" w:hAnsi="Times New Roman" w:cs="Times New Roman"/>
          <w:sz w:val="24"/>
          <w:szCs w:val="24"/>
        </w:rPr>
        <w:t xml:space="preserve">used </w:t>
      </w:r>
      <w:r w:rsidR="00FA1980">
        <w:rPr>
          <w:rFonts w:ascii="Times New Roman" w:hAnsi="Times New Roman" w:cs="Times New Roman"/>
          <w:sz w:val="24"/>
          <w:szCs w:val="24"/>
        </w:rPr>
        <w:t xml:space="preserve">in its majority opinions </w:t>
      </w:r>
      <w:r w:rsidR="00414B23">
        <w:rPr>
          <w:rFonts w:ascii="Times New Roman" w:hAnsi="Times New Roman" w:cs="Times New Roman"/>
          <w:sz w:val="24"/>
          <w:szCs w:val="24"/>
        </w:rPr>
        <w:t>during the 23</w:t>
      </w:r>
      <w:r>
        <w:rPr>
          <w:rFonts w:ascii="Times New Roman" w:hAnsi="Times New Roman" w:cs="Times New Roman"/>
          <w:sz w:val="24"/>
          <w:szCs w:val="24"/>
        </w:rPr>
        <w:t>-year period under study. I provide summary</w:t>
      </w:r>
      <w:r w:rsidR="004C4EF4">
        <w:rPr>
          <w:rFonts w:ascii="Times New Roman" w:hAnsi="Times New Roman" w:cs="Times New Roman"/>
          <w:sz w:val="24"/>
          <w:szCs w:val="24"/>
        </w:rPr>
        <w:t xml:space="preserve"> statistics and I also set forth, in a doctrinal fashion,</w:t>
      </w:r>
      <w:r>
        <w:rPr>
          <w:rFonts w:ascii="Times New Roman" w:hAnsi="Times New Roman" w:cs="Times New Roman"/>
          <w:sz w:val="24"/>
          <w:szCs w:val="24"/>
        </w:rPr>
        <w:t xml:space="preserve"> different typologies on how the Board analyzed </w:t>
      </w:r>
      <w:r w:rsidR="004C4EF4">
        <w:rPr>
          <w:rFonts w:ascii="Times New Roman" w:hAnsi="Times New Roman" w:cs="Times New Roman"/>
          <w:sz w:val="24"/>
          <w:szCs w:val="24"/>
        </w:rPr>
        <w:t xml:space="preserve">specific </w:t>
      </w:r>
      <w:r>
        <w:rPr>
          <w:rFonts w:ascii="Times New Roman" w:hAnsi="Times New Roman" w:cs="Times New Roman"/>
          <w:sz w:val="24"/>
          <w:szCs w:val="24"/>
        </w:rPr>
        <w:t>cases</w:t>
      </w:r>
      <w:r w:rsidR="00641DD3">
        <w:rPr>
          <w:rFonts w:ascii="Times New Roman" w:hAnsi="Times New Roman" w:cs="Times New Roman"/>
          <w:sz w:val="24"/>
          <w:szCs w:val="24"/>
        </w:rPr>
        <w:t>.</w:t>
      </w:r>
      <w:r>
        <w:rPr>
          <w:rFonts w:ascii="Times New Roman" w:hAnsi="Times New Roman" w:cs="Times New Roman"/>
          <w:sz w:val="24"/>
          <w:szCs w:val="24"/>
        </w:rPr>
        <w:t xml:space="preserve"> I next turn </w:t>
      </w:r>
      <w:r w:rsidR="00FA1980">
        <w:rPr>
          <w:rFonts w:ascii="Times New Roman" w:hAnsi="Times New Roman" w:cs="Times New Roman"/>
          <w:sz w:val="24"/>
          <w:szCs w:val="24"/>
        </w:rPr>
        <w:t xml:space="preserve">in Part II.D </w:t>
      </w:r>
      <w:r>
        <w:rPr>
          <w:rFonts w:ascii="Times New Roman" w:hAnsi="Times New Roman" w:cs="Times New Roman"/>
          <w:sz w:val="24"/>
          <w:szCs w:val="24"/>
        </w:rPr>
        <w:t xml:space="preserve">to an analysis of the statutory methodologies used by </w:t>
      </w:r>
      <w:r w:rsidR="00FA1980">
        <w:rPr>
          <w:rFonts w:ascii="Times New Roman" w:hAnsi="Times New Roman" w:cs="Times New Roman"/>
          <w:sz w:val="24"/>
          <w:szCs w:val="24"/>
        </w:rPr>
        <w:t>dissenting Board members to assess how the methods used by dissenting members differed from those used by the majority.</w:t>
      </w:r>
      <w:r w:rsidR="00414B23">
        <w:rPr>
          <w:rFonts w:ascii="Times New Roman" w:hAnsi="Times New Roman" w:cs="Times New Roman"/>
          <w:sz w:val="24"/>
          <w:szCs w:val="24"/>
        </w:rPr>
        <w:t xml:space="preserve"> I also analyze the extent to which the majority and dissent “dueled” with each other over statutory methods.</w:t>
      </w:r>
      <w:r w:rsidR="00FA1980">
        <w:rPr>
          <w:rFonts w:ascii="Times New Roman" w:hAnsi="Times New Roman" w:cs="Times New Roman"/>
          <w:sz w:val="24"/>
          <w:szCs w:val="24"/>
        </w:rPr>
        <w:t xml:space="preserve"> I move on in Part II.E to briefly review what met</w:t>
      </w:r>
      <w:r w:rsidR="00171C20">
        <w:rPr>
          <w:rFonts w:ascii="Times New Roman" w:hAnsi="Times New Roman" w:cs="Times New Roman"/>
          <w:sz w:val="24"/>
          <w:szCs w:val="24"/>
        </w:rPr>
        <w:t>hods appellate courts use in their</w:t>
      </w:r>
      <w:r w:rsidR="00FA1980">
        <w:rPr>
          <w:rFonts w:ascii="Times New Roman" w:hAnsi="Times New Roman" w:cs="Times New Roman"/>
          <w:sz w:val="24"/>
          <w:szCs w:val="24"/>
        </w:rPr>
        <w:t xml:space="preserve"> review of the NLRB’s statutory interpretation decisions</w:t>
      </w:r>
      <w:r>
        <w:rPr>
          <w:rFonts w:ascii="Times New Roman" w:hAnsi="Times New Roman" w:cs="Times New Roman"/>
          <w:sz w:val="24"/>
          <w:szCs w:val="24"/>
        </w:rPr>
        <w:t>. Finally, I devote Part III to discussing the analysis’s conclusions, before making policy recommendations and proposals in Part III.A and III.B, respectivel</w:t>
      </w:r>
      <w:r w:rsidR="00985D31">
        <w:rPr>
          <w:rFonts w:ascii="Times New Roman" w:hAnsi="Times New Roman" w:cs="Times New Roman"/>
          <w:sz w:val="24"/>
          <w:szCs w:val="24"/>
        </w:rPr>
        <w:t>y, to inform statutory decision</w:t>
      </w:r>
      <w:r w:rsidR="0021249D">
        <w:rPr>
          <w:rFonts w:ascii="Times New Roman" w:hAnsi="Times New Roman" w:cs="Times New Roman"/>
          <w:sz w:val="24"/>
          <w:szCs w:val="24"/>
        </w:rPr>
        <w:t>-</w:t>
      </w:r>
      <w:r>
        <w:rPr>
          <w:rFonts w:ascii="Times New Roman" w:hAnsi="Times New Roman" w:cs="Times New Roman"/>
          <w:sz w:val="24"/>
          <w:szCs w:val="24"/>
        </w:rPr>
        <w:t xml:space="preserve">making </w:t>
      </w:r>
      <w:r w:rsidR="00A62CC3">
        <w:rPr>
          <w:rFonts w:ascii="Times New Roman" w:hAnsi="Times New Roman" w:cs="Times New Roman"/>
          <w:sz w:val="24"/>
          <w:szCs w:val="24"/>
        </w:rPr>
        <w:t xml:space="preserve">for both </w:t>
      </w:r>
      <w:r>
        <w:rPr>
          <w:rFonts w:ascii="Times New Roman" w:hAnsi="Times New Roman" w:cs="Times New Roman"/>
          <w:sz w:val="24"/>
          <w:szCs w:val="24"/>
        </w:rPr>
        <w:t>the NL</w:t>
      </w:r>
      <w:r w:rsidR="00A62CC3">
        <w:rPr>
          <w:rFonts w:ascii="Times New Roman" w:hAnsi="Times New Roman" w:cs="Times New Roman"/>
          <w:sz w:val="24"/>
          <w:szCs w:val="24"/>
        </w:rPr>
        <w:t>RB and the administrative agencies generally</w:t>
      </w:r>
      <w:r>
        <w:rPr>
          <w:rFonts w:ascii="Times New Roman" w:hAnsi="Times New Roman" w:cs="Times New Roman"/>
          <w:sz w:val="24"/>
          <w:szCs w:val="24"/>
        </w:rPr>
        <w:t xml:space="preserve">. In so doing, </w:t>
      </w:r>
      <w:r w:rsidR="00080AA8" w:rsidRPr="00FC6F7D">
        <w:rPr>
          <w:rFonts w:ascii="Times New Roman" w:hAnsi="Times New Roman" w:cs="Times New Roman"/>
          <w:sz w:val="24"/>
          <w:szCs w:val="24"/>
        </w:rPr>
        <w:t xml:space="preserve">I present a normative argument about </w:t>
      </w:r>
      <w:r w:rsidR="00B10658" w:rsidRPr="00FC6F7D">
        <w:rPr>
          <w:rFonts w:ascii="Times New Roman" w:hAnsi="Times New Roman" w:cs="Times New Roman"/>
          <w:sz w:val="24"/>
          <w:szCs w:val="24"/>
        </w:rPr>
        <w:t xml:space="preserve">the role that statutory </w:t>
      </w:r>
      <w:r w:rsidR="00FA1980">
        <w:rPr>
          <w:rFonts w:ascii="Times New Roman" w:hAnsi="Times New Roman" w:cs="Times New Roman"/>
          <w:sz w:val="24"/>
          <w:szCs w:val="24"/>
        </w:rPr>
        <w:t>method</w:t>
      </w:r>
      <w:r w:rsidR="00B10658" w:rsidRPr="00FC6F7D">
        <w:rPr>
          <w:rFonts w:ascii="Times New Roman" w:hAnsi="Times New Roman" w:cs="Times New Roman"/>
          <w:sz w:val="24"/>
          <w:szCs w:val="24"/>
        </w:rPr>
        <w:t>s should play in</w:t>
      </w:r>
      <w:r w:rsidR="00FA1980">
        <w:rPr>
          <w:rFonts w:ascii="Times New Roman" w:hAnsi="Times New Roman" w:cs="Times New Roman"/>
          <w:sz w:val="24"/>
          <w:szCs w:val="24"/>
        </w:rPr>
        <w:t xml:space="preserve"> administrative decision</w:t>
      </w:r>
      <w:r w:rsidR="0021249D">
        <w:rPr>
          <w:rFonts w:ascii="Times New Roman" w:hAnsi="Times New Roman" w:cs="Times New Roman"/>
          <w:sz w:val="24"/>
          <w:szCs w:val="24"/>
        </w:rPr>
        <w:t>-</w:t>
      </w:r>
      <w:r w:rsidR="00FC6F7D">
        <w:rPr>
          <w:rFonts w:ascii="Times New Roman" w:hAnsi="Times New Roman" w:cs="Times New Roman"/>
          <w:sz w:val="24"/>
          <w:szCs w:val="24"/>
        </w:rPr>
        <w:t xml:space="preserve">making and I advocate that the Board embrace its policymaking role by </w:t>
      </w:r>
      <w:r w:rsidR="00E2466A">
        <w:rPr>
          <w:rFonts w:ascii="Times New Roman" w:hAnsi="Times New Roman" w:cs="Times New Roman"/>
          <w:sz w:val="24"/>
          <w:szCs w:val="24"/>
        </w:rPr>
        <w:t>basing its decisions more on</w:t>
      </w:r>
      <w:r w:rsidR="00FC6F7D">
        <w:rPr>
          <w:rFonts w:ascii="Times New Roman" w:hAnsi="Times New Roman" w:cs="Times New Roman"/>
          <w:sz w:val="24"/>
          <w:szCs w:val="24"/>
        </w:rPr>
        <w:t xml:space="preserve"> expert evidence on the ec</w:t>
      </w:r>
      <w:r w:rsidR="00E2466A">
        <w:rPr>
          <w:rFonts w:ascii="Times New Roman" w:hAnsi="Times New Roman" w:cs="Times New Roman"/>
          <w:sz w:val="24"/>
          <w:szCs w:val="24"/>
        </w:rPr>
        <w:t>onomic effects and ramifications of its policymaking.</w:t>
      </w:r>
      <w:r w:rsidR="00414B23">
        <w:rPr>
          <w:rFonts w:ascii="Times New Roman" w:hAnsi="Times New Roman" w:cs="Times New Roman"/>
          <w:sz w:val="24"/>
          <w:szCs w:val="24"/>
        </w:rPr>
        <w:t xml:space="preserve"> I also argue that the Board should reduce its reliance on legislative history and that it should more affirmatively embrace rulemaking as part of its policymaking mission.</w:t>
      </w:r>
      <w:r w:rsidR="00FA1980">
        <w:rPr>
          <w:rFonts w:ascii="Times New Roman" w:hAnsi="Times New Roman" w:cs="Times New Roman"/>
          <w:sz w:val="24"/>
          <w:szCs w:val="24"/>
        </w:rPr>
        <w:t xml:space="preserve"> </w:t>
      </w:r>
      <w:r w:rsidR="00414B23">
        <w:rPr>
          <w:rFonts w:ascii="Times New Roman" w:hAnsi="Times New Roman" w:cs="Times New Roman"/>
          <w:sz w:val="24"/>
          <w:szCs w:val="24"/>
        </w:rPr>
        <w:t>I end by arguing</w:t>
      </w:r>
      <w:r w:rsidR="005A4A8B">
        <w:rPr>
          <w:rFonts w:ascii="Times New Roman" w:hAnsi="Times New Roman" w:cs="Times New Roman"/>
          <w:sz w:val="24"/>
          <w:szCs w:val="24"/>
        </w:rPr>
        <w:t xml:space="preserve"> that appellate courts should in turn defer more to agencies and review statutory interpretation under the more deferential arbitrary and capricious standard of review.</w:t>
      </w:r>
      <w:r w:rsidR="00620868">
        <w:rPr>
          <w:rFonts w:ascii="Times New Roman" w:hAnsi="Times New Roman" w:cs="Times New Roman"/>
          <w:sz w:val="24"/>
          <w:szCs w:val="24"/>
        </w:rPr>
        <w:t xml:space="preserve"> </w:t>
      </w:r>
    </w:p>
    <w:p w14:paraId="76C36DF0" w14:textId="77777777" w:rsidR="00EC2473" w:rsidRDefault="00EC2473" w:rsidP="0021249D">
      <w:pPr>
        <w:spacing w:after="0" w:line="480" w:lineRule="auto"/>
        <w:ind w:firstLine="720"/>
        <w:rPr>
          <w:rFonts w:ascii="Times New Roman" w:hAnsi="Times New Roman" w:cs="Times New Roman"/>
          <w:sz w:val="24"/>
          <w:szCs w:val="24"/>
        </w:rPr>
      </w:pPr>
    </w:p>
    <w:p w14:paraId="425D86A6" w14:textId="77777777" w:rsidR="00EC2473" w:rsidRDefault="00EC2473" w:rsidP="0021249D">
      <w:pPr>
        <w:spacing w:after="0" w:line="480" w:lineRule="auto"/>
        <w:ind w:firstLine="720"/>
        <w:rPr>
          <w:rFonts w:ascii="Times New Roman" w:hAnsi="Times New Roman" w:cs="Times New Roman"/>
          <w:sz w:val="24"/>
          <w:szCs w:val="24"/>
        </w:rPr>
      </w:pPr>
    </w:p>
    <w:p w14:paraId="19036EE4" w14:textId="77777777" w:rsidR="00EC2473" w:rsidRDefault="00EC2473" w:rsidP="0021249D">
      <w:pPr>
        <w:spacing w:after="0" w:line="480" w:lineRule="auto"/>
        <w:ind w:firstLine="720"/>
        <w:rPr>
          <w:rFonts w:ascii="Times New Roman" w:hAnsi="Times New Roman" w:cs="Times New Roman"/>
          <w:sz w:val="24"/>
          <w:szCs w:val="24"/>
        </w:rPr>
      </w:pPr>
    </w:p>
    <w:p w14:paraId="33C1D97A" w14:textId="77777777" w:rsidR="00EC2473" w:rsidRDefault="00EC2473" w:rsidP="0021249D">
      <w:pPr>
        <w:spacing w:after="0" w:line="480" w:lineRule="auto"/>
        <w:ind w:firstLine="720"/>
        <w:rPr>
          <w:rFonts w:ascii="Times New Roman" w:hAnsi="Times New Roman" w:cs="Times New Roman"/>
          <w:sz w:val="24"/>
          <w:szCs w:val="24"/>
        </w:rPr>
      </w:pPr>
    </w:p>
    <w:p w14:paraId="4C634096" w14:textId="7CEDC46C" w:rsidR="00D80B55" w:rsidRPr="00620868" w:rsidRDefault="00D80B55" w:rsidP="00620868">
      <w:pPr>
        <w:pStyle w:val="ListParagraph"/>
        <w:numPr>
          <w:ilvl w:val="0"/>
          <w:numId w:val="22"/>
        </w:numPr>
        <w:spacing w:after="0" w:line="480" w:lineRule="auto"/>
        <w:rPr>
          <w:rFonts w:ascii="Times New Roman" w:hAnsi="Times New Roman" w:cs="Times New Roman"/>
          <w:b/>
          <w:sz w:val="24"/>
          <w:szCs w:val="24"/>
        </w:rPr>
      </w:pPr>
      <w:r w:rsidRPr="00620868">
        <w:rPr>
          <w:rFonts w:ascii="Times New Roman" w:hAnsi="Times New Roman" w:cs="Times New Roman"/>
          <w:b/>
          <w:sz w:val="24"/>
          <w:szCs w:val="24"/>
        </w:rPr>
        <w:lastRenderedPageBreak/>
        <w:t>Statutory Interpretative Metho</w:t>
      </w:r>
      <w:r w:rsidR="00FA1980" w:rsidRPr="00620868">
        <w:rPr>
          <w:rFonts w:ascii="Times New Roman" w:hAnsi="Times New Roman" w:cs="Times New Roman"/>
          <w:b/>
          <w:sz w:val="24"/>
          <w:szCs w:val="24"/>
        </w:rPr>
        <w:t xml:space="preserve">dologies </w:t>
      </w:r>
    </w:p>
    <w:p w14:paraId="16B1A86A" w14:textId="533D9747" w:rsidR="00D80B55" w:rsidRPr="00FA1980" w:rsidRDefault="00D80B55" w:rsidP="00FA1980">
      <w:pPr>
        <w:pStyle w:val="ListParagraph"/>
        <w:numPr>
          <w:ilvl w:val="0"/>
          <w:numId w:val="4"/>
        </w:numPr>
        <w:spacing w:after="0" w:line="480" w:lineRule="auto"/>
        <w:rPr>
          <w:rFonts w:ascii="Times New Roman" w:hAnsi="Times New Roman" w:cs="Times New Roman"/>
          <w:b/>
          <w:sz w:val="24"/>
          <w:szCs w:val="24"/>
        </w:rPr>
      </w:pPr>
      <w:r w:rsidRPr="00FA1980">
        <w:rPr>
          <w:rFonts w:ascii="Times New Roman" w:hAnsi="Times New Roman" w:cs="Times New Roman"/>
          <w:b/>
          <w:sz w:val="24"/>
          <w:szCs w:val="24"/>
        </w:rPr>
        <w:t>Background on S</w:t>
      </w:r>
      <w:r w:rsidR="0079362B">
        <w:rPr>
          <w:rFonts w:ascii="Times New Roman" w:hAnsi="Times New Roman" w:cs="Times New Roman"/>
          <w:b/>
          <w:sz w:val="24"/>
          <w:szCs w:val="24"/>
        </w:rPr>
        <w:t>tatutory Methods</w:t>
      </w:r>
    </w:p>
    <w:p w14:paraId="2B4F81FD" w14:textId="76CB6CB3" w:rsidR="00FA1980" w:rsidRDefault="005A4A8B" w:rsidP="005A4A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Scholars have debated how courts and other </w:t>
      </w:r>
      <w:r w:rsidR="00061547">
        <w:rPr>
          <w:rFonts w:ascii="Times New Roman" w:hAnsi="Times New Roman" w:cs="Times New Roman"/>
          <w:sz w:val="24"/>
          <w:szCs w:val="24"/>
        </w:rPr>
        <w:t xml:space="preserve">law-making bodies </w:t>
      </w:r>
      <w:r>
        <w:rPr>
          <w:rFonts w:ascii="Times New Roman" w:hAnsi="Times New Roman" w:cs="Times New Roman"/>
          <w:sz w:val="24"/>
          <w:szCs w:val="24"/>
        </w:rPr>
        <w:t>should construe statute</w:t>
      </w:r>
      <w:r w:rsidR="00E54013">
        <w:rPr>
          <w:rFonts w:ascii="Times New Roman" w:hAnsi="Times New Roman" w:cs="Times New Roman"/>
          <w:sz w:val="24"/>
          <w:szCs w:val="24"/>
        </w:rPr>
        <w:t>s</w:t>
      </w:r>
      <w:r>
        <w:rPr>
          <w:rFonts w:ascii="Times New Roman" w:hAnsi="Times New Roman" w:cs="Times New Roman"/>
          <w:sz w:val="24"/>
          <w:szCs w:val="24"/>
        </w:rPr>
        <w:t>.</w:t>
      </w:r>
      <w:r w:rsidR="00921CAE">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D80B55" w:rsidRPr="00FC6F7D">
        <w:rPr>
          <w:rFonts w:ascii="Times New Roman" w:hAnsi="Times New Roman" w:cs="Times New Roman"/>
          <w:sz w:val="24"/>
          <w:szCs w:val="24"/>
        </w:rPr>
        <w:t>The issue of statutory construction is often highlighted during Supreme Court confirmation hearings when Senators grill prospective justices on the statutory methodologies the</w:t>
      </w:r>
      <w:r w:rsidR="00F607FC">
        <w:rPr>
          <w:rFonts w:ascii="Times New Roman" w:hAnsi="Times New Roman" w:cs="Times New Roman"/>
          <w:sz w:val="24"/>
          <w:szCs w:val="24"/>
        </w:rPr>
        <w:t xml:space="preserve">y will use to interpret cases. </w:t>
      </w:r>
      <w:r w:rsidR="00D80B55" w:rsidRPr="00FC6F7D">
        <w:rPr>
          <w:rFonts w:ascii="Times New Roman" w:hAnsi="Times New Roman" w:cs="Times New Roman"/>
          <w:sz w:val="24"/>
          <w:szCs w:val="24"/>
        </w:rPr>
        <w:t xml:space="preserve">How a statute is construed </w:t>
      </w:r>
      <w:r w:rsidR="00134601">
        <w:rPr>
          <w:rFonts w:ascii="Times New Roman" w:hAnsi="Times New Roman" w:cs="Times New Roman"/>
          <w:sz w:val="24"/>
          <w:szCs w:val="24"/>
        </w:rPr>
        <w:t>can be</w:t>
      </w:r>
      <w:r w:rsidR="00D80B55" w:rsidRPr="00FC6F7D">
        <w:rPr>
          <w:rFonts w:ascii="Times New Roman" w:hAnsi="Times New Roman" w:cs="Times New Roman"/>
          <w:sz w:val="24"/>
          <w:szCs w:val="24"/>
        </w:rPr>
        <w:t xml:space="preserve"> critical to the outcome of a case; a narrow construction of a given term could foreclose relief to the plaintiff while a broad construction, relying on a full arsenal of materials like legislative history to back it up, could result in a decision in the opposite direction. </w:t>
      </w:r>
      <w:r w:rsidR="00E80340" w:rsidRPr="00FC6F7D">
        <w:rPr>
          <w:rFonts w:ascii="Times New Roman" w:hAnsi="Times New Roman" w:cs="Times New Roman"/>
          <w:sz w:val="24"/>
          <w:szCs w:val="24"/>
        </w:rPr>
        <w:t xml:space="preserve">Two </w:t>
      </w:r>
      <w:r w:rsidR="00D80B55" w:rsidRPr="00FC6F7D">
        <w:rPr>
          <w:rFonts w:ascii="Times New Roman" w:hAnsi="Times New Roman" w:cs="Times New Roman"/>
          <w:sz w:val="24"/>
          <w:szCs w:val="24"/>
        </w:rPr>
        <w:t>competing theories of statutor</w:t>
      </w:r>
      <w:r w:rsidR="00E80340" w:rsidRPr="00FC6F7D">
        <w:rPr>
          <w:rFonts w:ascii="Times New Roman" w:hAnsi="Times New Roman" w:cs="Times New Roman"/>
          <w:sz w:val="24"/>
          <w:szCs w:val="24"/>
        </w:rPr>
        <w:t>y construction dominate debat</w:t>
      </w:r>
      <w:r w:rsidR="00DC43F2">
        <w:rPr>
          <w:rFonts w:ascii="Times New Roman" w:hAnsi="Times New Roman" w:cs="Times New Roman"/>
          <w:sz w:val="24"/>
          <w:szCs w:val="24"/>
        </w:rPr>
        <w:t xml:space="preserve">e: textualism and purposivism. </w:t>
      </w:r>
      <w:r w:rsidR="00D80B55" w:rsidRPr="00FC6F7D">
        <w:rPr>
          <w:rFonts w:ascii="Times New Roman" w:hAnsi="Times New Roman" w:cs="Times New Roman"/>
          <w:sz w:val="24"/>
          <w:szCs w:val="24"/>
        </w:rPr>
        <w:t>The first theory, textualism, popularized by Justice Antonin Scalia, interpret</w:t>
      </w:r>
      <w:r w:rsidR="00DC43F2">
        <w:rPr>
          <w:rFonts w:ascii="Times New Roman" w:hAnsi="Times New Roman" w:cs="Times New Roman"/>
          <w:sz w:val="24"/>
          <w:szCs w:val="24"/>
        </w:rPr>
        <w:t>s</w:t>
      </w:r>
      <w:r w:rsidR="00D80B55" w:rsidRPr="00FC6F7D">
        <w:rPr>
          <w:rFonts w:ascii="Times New Roman" w:hAnsi="Times New Roman" w:cs="Times New Roman"/>
          <w:sz w:val="24"/>
          <w:szCs w:val="24"/>
        </w:rPr>
        <w:t xml:space="preserve"> statutes by looking </w:t>
      </w:r>
      <w:r w:rsidR="00EA1B6E">
        <w:rPr>
          <w:rFonts w:ascii="Times New Roman" w:hAnsi="Times New Roman" w:cs="Times New Roman"/>
          <w:sz w:val="24"/>
          <w:szCs w:val="24"/>
        </w:rPr>
        <w:t>at the text’s literal meaning.</w:t>
      </w:r>
      <w:bookmarkStart w:id="7" w:name="_Ref460546731"/>
      <w:r>
        <w:rPr>
          <w:rStyle w:val="FootnoteReference"/>
          <w:rFonts w:ascii="Times New Roman" w:hAnsi="Times New Roman" w:cs="Times New Roman"/>
          <w:sz w:val="24"/>
          <w:szCs w:val="24"/>
        </w:rPr>
        <w:footnoteReference w:id="21"/>
      </w:r>
      <w:bookmarkEnd w:id="7"/>
      <w:r w:rsidR="00EA1B6E">
        <w:rPr>
          <w:rFonts w:ascii="Times New Roman" w:hAnsi="Times New Roman" w:cs="Times New Roman"/>
          <w:sz w:val="24"/>
          <w:szCs w:val="24"/>
        </w:rPr>
        <w:t xml:space="preserve"> </w:t>
      </w:r>
      <w:r w:rsidR="00D80B55" w:rsidRPr="00FC6F7D">
        <w:rPr>
          <w:rFonts w:ascii="Times New Roman" w:hAnsi="Times New Roman" w:cs="Times New Roman"/>
          <w:sz w:val="24"/>
          <w:szCs w:val="24"/>
        </w:rPr>
        <w:t xml:space="preserve">Another view, purposivism, focuses more on interpreting the statute by looking at the overall </w:t>
      </w:r>
      <w:r w:rsidR="00E80340" w:rsidRPr="00FC6F7D">
        <w:rPr>
          <w:rFonts w:ascii="Times New Roman" w:hAnsi="Times New Roman" w:cs="Times New Roman"/>
          <w:sz w:val="24"/>
          <w:szCs w:val="24"/>
        </w:rPr>
        <w:t>purpose of the statutory scheme</w:t>
      </w:r>
      <w:r w:rsidR="00D80B55" w:rsidRPr="00FC6F7D">
        <w:rPr>
          <w:rFonts w:ascii="Times New Roman" w:hAnsi="Times New Roman" w:cs="Times New Roman"/>
          <w:sz w:val="24"/>
          <w:szCs w:val="24"/>
        </w:rPr>
        <w:t>.</w:t>
      </w:r>
      <w:bookmarkStart w:id="8" w:name="_Ref460546773"/>
      <w:r>
        <w:rPr>
          <w:rStyle w:val="FootnoteReference"/>
          <w:rFonts w:ascii="Times New Roman" w:hAnsi="Times New Roman" w:cs="Times New Roman"/>
          <w:sz w:val="24"/>
          <w:szCs w:val="24"/>
        </w:rPr>
        <w:footnoteReference w:id="22"/>
      </w:r>
      <w:bookmarkEnd w:id="8"/>
      <w:r w:rsidR="00EA1B6E">
        <w:rPr>
          <w:rFonts w:ascii="Times New Roman" w:hAnsi="Times New Roman" w:cs="Times New Roman"/>
          <w:sz w:val="24"/>
          <w:szCs w:val="24"/>
        </w:rPr>
        <w:t xml:space="preserve"> </w:t>
      </w:r>
    </w:p>
    <w:p w14:paraId="0B4EFDD5" w14:textId="092A3438" w:rsidR="0021249D" w:rsidRPr="0021249D" w:rsidRDefault="0021249D" w:rsidP="0021249D">
      <w:pPr>
        <w:pStyle w:val="ListParagraph"/>
        <w:numPr>
          <w:ilvl w:val="0"/>
          <w:numId w:val="27"/>
        </w:numPr>
        <w:spacing w:after="0" w:line="480" w:lineRule="auto"/>
        <w:rPr>
          <w:rFonts w:ascii="Times New Roman" w:hAnsi="Times New Roman" w:cs="Times New Roman"/>
          <w:b/>
          <w:sz w:val="24"/>
          <w:szCs w:val="24"/>
        </w:rPr>
      </w:pPr>
      <w:r>
        <w:rPr>
          <w:rFonts w:ascii="Times New Roman" w:hAnsi="Times New Roman" w:cs="Times New Roman"/>
          <w:b/>
          <w:sz w:val="24"/>
          <w:szCs w:val="24"/>
        </w:rPr>
        <w:t>Textualism</w:t>
      </w:r>
    </w:p>
    <w:p w14:paraId="69D81C4D" w14:textId="61EBE835" w:rsidR="005A4A8B" w:rsidRDefault="00E80340" w:rsidP="005A4A8B">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T</w:t>
      </w:r>
      <w:r w:rsidR="00D80B55" w:rsidRPr="00FC6F7D">
        <w:rPr>
          <w:rFonts w:ascii="Times New Roman" w:hAnsi="Times New Roman" w:cs="Times New Roman"/>
          <w:sz w:val="24"/>
          <w:szCs w:val="24"/>
        </w:rPr>
        <w:t>extualism places an emphasis on the statute’</w:t>
      </w:r>
      <w:r w:rsidR="001F6309">
        <w:rPr>
          <w:rFonts w:ascii="Times New Roman" w:hAnsi="Times New Roman" w:cs="Times New Roman"/>
          <w:sz w:val="24"/>
          <w:szCs w:val="24"/>
        </w:rPr>
        <w:t>s text, looking only to find</w:t>
      </w:r>
      <w:r w:rsidR="00D80B55" w:rsidRPr="00FC6F7D">
        <w:rPr>
          <w:rFonts w:ascii="Times New Roman" w:hAnsi="Times New Roman" w:cs="Times New Roman"/>
          <w:sz w:val="24"/>
          <w:szCs w:val="24"/>
        </w:rPr>
        <w:t xml:space="preserve"> “objective meaning.”</w:t>
      </w:r>
      <w:r w:rsidR="00D80B55" w:rsidRPr="00FC6F7D">
        <w:rPr>
          <w:rStyle w:val="FootnoteReference"/>
          <w:rFonts w:ascii="Times New Roman" w:hAnsi="Times New Roman" w:cs="Times New Roman"/>
          <w:sz w:val="24"/>
          <w:szCs w:val="24"/>
        </w:rPr>
        <w:footnoteReference w:id="23"/>
      </w:r>
      <w:r w:rsidR="00D80B55" w:rsidRPr="00FC6F7D">
        <w:rPr>
          <w:rFonts w:ascii="Times New Roman" w:hAnsi="Times New Roman" w:cs="Times New Roman"/>
          <w:sz w:val="24"/>
          <w:szCs w:val="24"/>
        </w:rPr>
        <w:t xml:space="preserve"> It calls for judges to look at the ordinary meaning, at the time of enactment, of the statutory term in question, putting an emphasis on predictability and constancy.</w:t>
      </w:r>
      <w:bookmarkStart w:id="9" w:name="_Ref461029659"/>
      <w:r w:rsidR="00D80B55" w:rsidRPr="00FC6F7D">
        <w:rPr>
          <w:rStyle w:val="FootnoteReference"/>
          <w:rFonts w:ascii="Times New Roman" w:hAnsi="Times New Roman" w:cs="Times New Roman"/>
          <w:sz w:val="24"/>
          <w:szCs w:val="24"/>
        </w:rPr>
        <w:footnoteReference w:id="24"/>
      </w:r>
      <w:bookmarkEnd w:id="9"/>
      <w:r w:rsidR="00AD4813">
        <w:rPr>
          <w:rFonts w:ascii="Times New Roman" w:hAnsi="Times New Roman" w:cs="Times New Roman"/>
          <w:sz w:val="24"/>
          <w:szCs w:val="24"/>
        </w:rPr>
        <w:t xml:space="preserve"> </w:t>
      </w:r>
      <w:r w:rsidR="007C1838">
        <w:rPr>
          <w:rFonts w:ascii="Times New Roman" w:hAnsi="Times New Roman" w:cs="Times New Roman"/>
          <w:sz w:val="24"/>
          <w:szCs w:val="24"/>
        </w:rPr>
        <w:t xml:space="preserve">A “pure </w:t>
      </w:r>
      <w:r w:rsidR="007C1838">
        <w:rPr>
          <w:rFonts w:ascii="Times New Roman" w:hAnsi="Times New Roman" w:cs="Times New Roman"/>
          <w:sz w:val="24"/>
          <w:szCs w:val="24"/>
        </w:rPr>
        <w:lastRenderedPageBreak/>
        <w:t>textualist” would see the statute as a “command[] from the sole politically legitimate statutory law-creating body,” and as such the role of the judge is “simply to apply the command verbatim” such that “[i]nterpretation that goes beyond statutory text operates in an extra-legal domain.”</w:t>
      </w:r>
      <w:r w:rsidR="007C1838">
        <w:rPr>
          <w:rStyle w:val="FootnoteReference"/>
          <w:rFonts w:ascii="Times New Roman" w:hAnsi="Times New Roman" w:cs="Times New Roman"/>
          <w:sz w:val="24"/>
          <w:szCs w:val="24"/>
        </w:rPr>
        <w:footnoteReference w:id="25"/>
      </w:r>
      <w:r w:rsidR="007C1838">
        <w:rPr>
          <w:rFonts w:ascii="Times New Roman" w:hAnsi="Times New Roman" w:cs="Times New Roman"/>
          <w:sz w:val="24"/>
          <w:szCs w:val="24"/>
        </w:rPr>
        <w:t xml:space="preserve"> </w:t>
      </w:r>
      <w:r w:rsidR="00D80B55" w:rsidRPr="00FC6F7D">
        <w:rPr>
          <w:rFonts w:ascii="Times New Roman" w:hAnsi="Times New Roman" w:cs="Times New Roman"/>
          <w:sz w:val="24"/>
          <w:szCs w:val="24"/>
        </w:rPr>
        <w:t>Textualists dismiss the role of the legislative process as a resource to discern statutory meaning</w:t>
      </w:r>
      <w:r w:rsidR="002D4758">
        <w:rPr>
          <w:rFonts w:ascii="Times New Roman" w:hAnsi="Times New Roman" w:cs="Times New Roman"/>
          <w:sz w:val="24"/>
          <w:szCs w:val="24"/>
        </w:rPr>
        <w:t xml:space="preserve"> </w:t>
      </w:r>
      <w:r w:rsidRPr="00FC6F7D">
        <w:rPr>
          <w:rFonts w:ascii="Times New Roman" w:hAnsi="Times New Roman" w:cs="Times New Roman"/>
          <w:sz w:val="24"/>
          <w:szCs w:val="24"/>
        </w:rPr>
        <w:t>and as such they do not consider legislative history as important.</w:t>
      </w:r>
      <w:r w:rsidRPr="00FC6F7D">
        <w:rPr>
          <w:rStyle w:val="FootnoteReference"/>
          <w:rFonts w:ascii="Times New Roman" w:hAnsi="Times New Roman" w:cs="Times New Roman"/>
          <w:sz w:val="24"/>
          <w:szCs w:val="24"/>
        </w:rPr>
        <w:footnoteReference w:id="26"/>
      </w:r>
      <w:r w:rsidR="00DD410A">
        <w:rPr>
          <w:rFonts w:ascii="Times New Roman" w:hAnsi="Times New Roman" w:cs="Times New Roman"/>
          <w:sz w:val="24"/>
          <w:szCs w:val="24"/>
        </w:rPr>
        <w:t xml:space="preserve"> </w:t>
      </w:r>
      <w:r w:rsidRPr="00FC6F7D">
        <w:rPr>
          <w:rFonts w:ascii="Times New Roman" w:hAnsi="Times New Roman" w:cs="Times New Roman"/>
          <w:sz w:val="24"/>
          <w:szCs w:val="24"/>
        </w:rPr>
        <w:t>Textualists believe that legislative p</w:t>
      </w:r>
      <w:r w:rsidR="00D80B55" w:rsidRPr="00FC6F7D">
        <w:rPr>
          <w:rFonts w:ascii="Times New Roman" w:hAnsi="Times New Roman" w:cs="Times New Roman"/>
          <w:sz w:val="24"/>
          <w:szCs w:val="24"/>
        </w:rPr>
        <w:t>roponents of a given view, for instance, could pick and choose what piece of legislative history</w:t>
      </w:r>
      <w:r w:rsidRPr="00FC6F7D">
        <w:rPr>
          <w:rFonts w:ascii="Times New Roman" w:hAnsi="Times New Roman" w:cs="Times New Roman"/>
          <w:sz w:val="24"/>
          <w:szCs w:val="24"/>
        </w:rPr>
        <w:t xml:space="preserve"> to use to advance certain policy preferences.</w:t>
      </w:r>
      <w:r w:rsidRPr="00FC6F7D">
        <w:rPr>
          <w:rStyle w:val="FootnoteReference"/>
          <w:rFonts w:ascii="Times New Roman" w:hAnsi="Times New Roman" w:cs="Times New Roman"/>
          <w:sz w:val="24"/>
          <w:szCs w:val="24"/>
        </w:rPr>
        <w:footnoteReference w:id="27"/>
      </w:r>
      <w:r w:rsidRPr="00FC6F7D">
        <w:rPr>
          <w:rFonts w:ascii="Times New Roman" w:hAnsi="Times New Roman" w:cs="Times New Roman"/>
          <w:sz w:val="24"/>
          <w:szCs w:val="24"/>
        </w:rPr>
        <w:t xml:space="preserve"> Moreover, general legislative purpose may be so “general and malleable” so as to be effectively meaningless in informing statutory meaning.</w:t>
      </w:r>
      <w:r w:rsidRPr="00FC6F7D">
        <w:rPr>
          <w:rStyle w:val="FootnoteReference"/>
          <w:rFonts w:ascii="Times New Roman" w:hAnsi="Times New Roman" w:cs="Times New Roman"/>
          <w:sz w:val="24"/>
          <w:szCs w:val="24"/>
        </w:rPr>
        <w:footnoteReference w:id="28"/>
      </w:r>
      <w:r w:rsidR="00E8271F">
        <w:rPr>
          <w:rFonts w:ascii="Times New Roman" w:hAnsi="Times New Roman" w:cs="Times New Roman"/>
          <w:sz w:val="24"/>
          <w:szCs w:val="24"/>
        </w:rPr>
        <w:t xml:space="preserve"> </w:t>
      </w:r>
      <w:r w:rsidR="00FA1980">
        <w:rPr>
          <w:rFonts w:ascii="Times New Roman" w:hAnsi="Times New Roman" w:cs="Times New Roman"/>
          <w:sz w:val="24"/>
          <w:szCs w:val="24"/>
        </w:rPr>
        <w:t>Textualists</w:t>
      </w:r>
      <w:r w:rsidRPr="00FC6F7D">
        <w:rPr>
          <w:rFonts w:ascii="Times New Roman" w:hAnsi="Times New Roman" w:cs="Times New Roman"/>
          <w:sz w:val="24"/>
          <w:szCs w:val="24"/>
        </w:rPr>
        <w:t xml:space="preserve"> think </w:t>
      </w:r>
      <w:r w:rsidR="00D80B55" w:rsidRPr="00FC6F7D">
        <w:rPr>
          <w:rFonts w:ascii="Times New Roman" w:hAnsi="Times New Roman" w:cs="Times New Roman"/>
          <w:sz w:val="24"/>
          <w:szCs w:val="24"/>
        </w:rPr>
        <w:t>that it is near impossible to discern any singular “legislative intent” given the multiplicity of political actors involved in a statute’s construction.</w:t>
      </w:r>
      <w:r w:rsidRPr="00FC6F7D">
        <w:rPr>
          <w:rStyle w:val="FootnoteReference"/>
          <w:rFonts w:ascii="Times New Roman" w:hAnsi="Times New Roman" w:cs="Times New Roman"/>
          <w:sz w:val="24"/>
          <w:szCs w:val="24"/>
        </w:rPr>
        <w:footnoteReference w:id="29"/>
      </w:r>
      <w:r w:rsidR="00F607FC">
        <w:rPr>
          <w:rFonts w:ascii="Times New Roman" w:hAnsi="Times New Roman" w:cs="Times New Roman"/>
          <w:sz w:val="24"/>
          <w:szCs w:val="24"/>
        </w:rPr>
        <w:t xml:space="preserve"> </w:t>
      </w:r>
    </w:p>
    <w:p w14:paraId="7E1D4A85" w14:textId="0A65F739" w:rsidR="005A4A8B" w:rsidRDefault="00D80B55" w:rsidP="00223052">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 xml:space="preserve">Textualists embrace </w:t>
      </w:r>
      <w:r w:rsidR="004C2000">
        <w:rPr>
          <w:rFonts w:ascii="Times New Roman" w:hAnsi="Times New Roman" w:cs="Times New Roman"/>
          <w:sz w:val="24"/>
          <w:szCs w:val="24"/>
        </w:rPr>
        <w:t xml:space="preserve">textual or semantic </w:t>
      </w:r>
      <w:r w:rsidRPr="00FC6F7D">
        <w:rPr>
          <w:rFonts w:ascii="Times New Roman" w:hAnsi="Times New Roman" w:cs="Times New Roman"/>
          <w:sz w:val="24"/>
          <w:szCs w:val="24"/>
        </w:rPr>
        <w:t>statutory canons as tools that enhance predictability.</w:t>
      </w:r>
      <w:r w:rsidRPr="00FC6F7D">
        <w:rPr>
          <w:rStyle w:val="FootnoteReference"/>
          <w:rFonts w:ascii="Times New Roman" w:hAnsi="Times New Roman" w:cs="Times New Roman"/>
          <w:sz w:val="24"/>
          <w:szCs w:val="24"/>
        </w:rPr>
        <w:footnoteReference w:id="30"/>
      </w:r>
      <w:r w:rsidRPr="00FC6F7D">
        <w:rPr>
          <w:rFonts w:ascii="Times New Roman" w:hAnsi="Times New Roman" w:cs="Times New Roman"/>
          <w:sz w:val="24"/>
          <w:szCs w:val="24"/>
        </w:rPr>
        <w:t xml:space="preserve"> </w:t>
      </w:r>
      <w:r w:rsidR="005A4A8B" w:rsidRPr="00FC6F7D">
        <w:rPr>
          <w:rFonts w:ascii="Times New Roman" w:hAnsi="Times New Roman" w:cs="Times New Roman"/>
          <w:sz w:val="24"/>
          <w:szCs w:val="24"/>
        </w:rPr>
        <w:t>Textualist</w:t>
      </w:r>
      <w:r w:rsidR="00C07F1F">
        <w:rPr>
          <w:rFonts w:ascii="Times New Roman" w:hAnsi="Times New Roman" w:cs="Times New Roman"/>
          <w:sz w:val="24"/>
          <w:szCs w:val="24"/>
        </w:rPr>
        <w:t>s</w:t>
      </w:r>
      <w:r w:rsidR="005A4A8B" w:rsidRPr="00FC6F7D">
        <w:rPr>
          <w:rFonts w:ascii="Times New Roman" w:hAnsi="Times New Roman" w:cs="Times New Roman"/>
          <w:sz w:val="24"/>
          <w:szCs w:val="24"/>
        </w:rPr>
        <w:t xml:space="preserve"> </w:t>
      </w:r>
      <w:r w:rsidR="0021249D">
        <w:rPr>
          <w:rFonts w:ascii="Times New Roman" w:hAnsi="Times New Roman" w:cs="Times New Roman"/>
          <w:sz w:val="24"/>
          <w:szCs w:val="24"/>
        </w:rPr>
        <w:t>often rely on “textualist canons” to serve</w:t>
      </w:r>
      <w:r w:rsidR="008002AB">
        <w:rPr>
          <w:rFonts w:ascii="Times New Roman" w:hAnsi="Times New Roman" w:cs="Times New Roman"/>
          <w:sz w:val="24"/>
          <w:szCs w:val="24"/>
        </w:rPr>
        <w:t xml:space="preserve"> as</w:t>
      </w:r>
      <w:r w:rsidR="0021249D">
        <w:rPr>
          <w:rFonts w:ascii="Times New Roman" w:hAnsi="Times New Roman" w:cs="Times New Roman"/>
          <w:sz w:val="24"/>
          <w:szCs w:val="24"/>
        </w:rPr>
        <w:t xml:space="preserve"> </w:t>
      </w:r>
      <w:r w:rsidR="005A4A8B" w:rsidRPr="00FC6F7D">
        <w:rPr>
          <w:rFonts w:ascii="Times New Roman" w:hAnsi="Times New Roman" w:cs="Times New Roman"/>
          <w:sz w:val="24"/>
          <w:szCs w:val="24"/>
        </w:rPr>
        <w:t>“rules of thumb” in how</w:t>
      </w:r>
      <w:r w:rsidR="005A4A8B">
        <w:rPr>
          <w:rFonts w:ascii="Times New Roman" w:hAnsi="Times New Roman" w:cs="Times New Roman"/>
          <w:sz w:val="24"/>
          <w:szCs w:val="24"/>
        </w:rPr>
        <w:t xml:space="preserve"> to interpret the actual text.</w:t>
      </w:r>
      <w:r w:rsidR="004C2000">
        <w:rPr>
          <w:rStyle w:val="FootnoteReference"/>
          <w:rFonts w:ascii="Times New Roman" w:hAnsi="Times New Roman" w:cs="Times New Roman"/>
          <w:sz w:val="24"/>
          <w:szCs w:val="24"/>
        </w:rPr>
        <w:footnoteReference w:id="31"/>
      </w:r>
      <w:r w:rsidR="005A4A8B">
        <w:rPr>
          <w:rFonts w:ascii="Times New Roman" w:hAnsi="Times New Roman" w:cs="Times New Roman"/>
          <w:sz w:val="24"/>
          <w:szCs w:val="24"/>
        </w:rPr>
        <w:t xml:space="preserve"> </w:t>
      </w:r>
      <w:r w:rsidR="005A4A8B" w:rsidRPr="00FC6F7D">
        <w:rPr>
          <w:rFonts w:ascii="Times New Roman" w:hAnsi="Times New Roman" w:cs="Times New Roman"/>
          <w:sz w:val="24"/>
          <w:szCs w:val="24"/>
        </w:rPr>
        <w:t>The most common textualist canon is the “plain meaning rule” whereas the reviewing body will interpret the words according to their eve</w:t>
      </w:r>
      <w:r w:rsidR="005A4A8B">
        <w:rPr>
          <w:rFonts w:ascii="Times New Roman" w:hAnsi="Times New Roman" w:cs="Times New Roman"/>
          <w:sz w:val="24"/>
          <w:szCs w:val="24"/>
        </w:rPr>
        <w:t>ryday meaning.</w:t>
      </w:r>
      <w:r w:rsidR="004C2000">
        <w:rPr>
          <w:rStyle w:val="FootnoteReference"/>
          <w:rFonts w:ascii="Times New Roman" w:hAnsi="Times New Roman" w:cs="Times New Roman"/>
          <w:sz w:val="24"/>
          <w:szCs w:val="24"/>
        </w:rPr>
        <w:footnoteReference w:id="32"/>
      </w:r>
      <w:r w:rsidR="005A4A8B">
        <w:rPr>
          <w:rFonts w:ascii="Times New Roman" w:hAnsi="Times New Roman" w:cs="Times New Roman"/>
          <w:sz w:val="24"/>
          <w:szCs w:val="24"/>
        </w:rPr>
        <w:t xml:space="preserve"> Other textualist</w:t>
      </w:r>
      <w:r w:rsidR="004C2000">
        <w:rPr>
          <w:rFonts w:ascii="Times New Roman" w:hAnsi="Times New Roman" w:cs="Times New Roman"/>
          <w:sz w:val="24"/>
          <w:szCs w:val="24"/>
        </w:rPr>
        <w:t xml:space="preserve"> canons concern a rule against superfluities so as to construe statutes to avoid redundancy and to give independent meaning to overlapping terms</w:t>
      </w:r>
      <w:r w:rsidR="005A4A8B">
        <w:rPr>
          <w:rFonts w:ascii="Times New Roman" w:hAnsi="Times New Roman" w:cs="Times New Roman"/>
          <w:sz w:val="24"/>
          <w:szCs w:val="24"/>
        </w:rPr>
        <w:t>.</w:t>
      </w:r>
      <w:r w:rsidR="004C2000">
        <w:rPr>
          <w:rStyle w:val="FootnoteReference"/>
          <w:rFonts w:ascii="Times New Roman" w:hAnsi="Times New Roman" w:cs="Times New Roman"/>
          <w:sz w:val="24"/>
          <w:szCs w:val="24"/>
        </w:rPr>
        <w:footnoteReference w:id="33"/>
      </w:r>
      <w:r w:rsidR="005A4A8B">
        <w:rPr>
          <w:rFonts w:ascii="Times New Roman" w:hAnsi="Times New Roman" w:cs="Times New Roman"/>
          <w:sz w:val="24"/>
          <w:szCs w:val="24"/>
        </w:rPr>
        <w:t xml:space="preserve"> </w:t>
      </w:r>
      <w:r w:rsidR="005A4A8B" w:rsidRPr="00FC6F7D">
        <w:rPr>
          <w:rFonts w:ascii="Times New Roman" w:hAnsi="Times New Roman" w:cs="Times New Roman"/>
          <w:sz w:val="24"/>
          <w:szCs w:val="24"/>
        </w:rPr>
        <w:t xml:space="preserve">There are also </w:t>
      </w:r>
      <w:r w:rsidR="00171C20">
        <w:rPr>
          <w:rFonts w:ascii="Times New Roman" w:hAnsi="Times New Roman" w:cs="Times New Roman"/>
          <w:sz w:val="24"/>
          <w:szCs w:val="24"/>
        </w:rPr>
        <w:t xml:space="preserve">a host of </w:t>
      </w:r>
      <w:r w:rsidR="00171C20">
        <w:rPr>
          <w:rFonts w:ascii="Times New Roman" w:hAnsi="Times New Roman" w:cs="Times New Roman"/>
          <w:sz w:val="24"/>
          <w:szCs w:val="24"/>
        </w:rPr>
        <w:lastRenderedPageBreak/>
        <w:t>Latin-named textualist</w:t>
      </w:r>
      <w:r w:rsidR="005A4A8B" w:rsidRPr="00FC6F7D">
        <w:rPr>
          <w:rFonts w:ascii="Times New Roman" w:hAnsi="Times New Roman" w:cs="Times New Roman"/>
          <w:sz w:val="24"/>
          <w:szCs w:val="24"/>
        </w:rPr>
        <w:t xml:space="preserve"> canons: </w:t>
      </w:r>
      <w:r w:rsidR="005A4A8B" w:rsidRPr="00FC6F7D">
        <w:rPr>
          <w:rFonts w:ascii="Times New Roman" w:hAnsi="Times New Roman" w:cs="Times New Roman"/>
          <w:i/>
          <w:sz w:val="24"/>
          <w:szCs w:val="24"/>
        </w:rPr>
        <w:t>ejusdem generis</w:t>
      </w:r>
      <w:r w:rsidR="005A4A8B" w:rsidRPr="00FC6F7D">
        <w:rPr>
          <w:rFonts w:ascii="Times New Roman" w:hAnsi="Times New Roman" w:cs="Times New Roman"/>
          <w:sz w:val="24"/>
          <w:szCs w:val="24"/>
        </w:rPr>
        <w:t>,</w:t>
      </w:r>
      <w:r w:rsidR="004C2000">
        <w:rPr>
          <w:rStyle w:val="FootnoteReference"/>
          <w:rFonts w:ascii="Times New Roman" w:hAnsi="Times New Roman" w:cs="Times New Roman"/>
          <w:sz w:val="24"/>
          <w:szCs w:val="24"/>
        </w:rPr>
        <w:footnoteReference w:id="34"/>
      </w:r>
      <w:r w:rsidR="005A4A8B" w:rsidRPr="00FC6F7D">
        <w:rPr>
          <w:rFonts w:ascii="Times New Roman" w:hAnsi="Times New Roman" w:cs="Times New Roman"/>
          <w:sz w:val="24"/>
          <w:szCs w:val="24"/>
        </w:rPr>
        <w:t xml:space="preserve"> which states that when there is a list of two or more specific descriptors followed by general descriptors,</w:t>
      </w:r>
      <w:bookmarkStart w:id="10" w:name="_Ref460546962"/>
      <w:r w:rsidR="005A4A8B" w:rsidRPr="00FC6F7D">
        <w:rPr>
          <w:rStyle w:val="FootnoteReference"/>
          <w:rFonts w:ascii="Times New Roman" w:hAnsi="Times New Roman" w:cs="Times New Roman"/>
          <w:sz w:val="24"/>
          <w:szCs w:val="24"/>
        </w:rPr>
        <w:footnoteReference w:id="35"/>
      </w:r>
      <w:bookmarkEnd w:id="10"/>
      <w:r w:rsidR="005A4A8B" w:rsidRPr="00FC6F7D">
        <w:rPr>
          <w:rFonts w:ascii="Times New Roman" w:hAnsi="Times New Roman" w:cs="Times New Roman"/>
          <w:sz w:val="24"/>
          <w:szCs w:val="24"/>
        </w:rPr>
        <w:t xml:space="preserve"> the general descriptors must be restricted to the same class; </w:t>
      </w:r>
      <w:r w:rsidR="004C2000">
        <w:rPr>
          <w:rFonts w:ascii="Times New Roman" w:hAnsi="Times New Roman" w:cs="Times New Roman"/>
          <w:i/>
          <w:sz w:val="24"/>
          <w:szCs w:val="24"/>
        </w:rPr>
        <w:t>expressio/inclusio</w:t>
      </w:r>
      <w:r w:rsidR="005A4A8B" w:rsidRPr="00FC6F7D">
        <w:rPr>
          <w:rFonts w:ascii="Times New Roman" w:hAnsi="Times New Roman" w:cs="Times New Roman"/>
          <w:i/>
          <w:sz w:val="24"/>
          <w:szCs w:val="24"/>
        </w:rPr>
        <w:t xml:space="preserve"> unius est </w:t>
      </w:r>
      <w:r w:rsidR="004C2000">
        <w:rPr>
          <w:rFonts w:ascii="Times New Roman" w:hAnsi="Times New Roman" w:cs="Times New Roman"/>
          <w:i/>
          <w:sz w:val="24"/>
          <w:szCs w:val="24"/>
        </w:rPr>
        <w:t>exclusio</w:t>
      </w:r>
      <w:r w:rsidR="005A4A8B" w:rsidRPr="00FC6F7D">
        <w:rPr>
          <w:rFonts w:ascii="Times New Roman" w:hAnsi="Times New Roman" w:cs="Times New Roman"/>
          <w:sz w:val="24"/>
          <w:szCs w:val="24"/>
        </w:rPr>
        <w:t>, which states that items not on a list are implied</w:t>
      </w:r>
      <w:r w:rsidR="005A4A8B">
        <w:rPr>
          <w:rFonts w:ascii="Times New Roman" w:hAnsi="Times New Roman" w:cs="Times New Roman"/>
          <w:sz w:val="24"/>
          <w:szCs w:val="24"/>
        </w:rPr>
        <w:t>l</w:t>
      </w:r>
      <w:r w:rsidR="005A4A8B" w:rsidRPr="00FC6F7D">
        <w:rPr>
          <w:rFonts w:ascii="Times New Roman" w:hAnsi="Times New Roman" w:cs="Times New Roman"/>
          <w:sz w:val="24"/>
          <w:szCs w:val="24"/>
        </w:rPr>
        <w:t xml:space="preserve">y assumed to be excluded; </w:t>
      </w:r>
      <w:r w:rsidR="005A4A8B" w:rsidRPr="00FC6F7D">
        <w:rPr>
          <w:rFonts w:ascii="Times New Roman" w:hAnsi="Times New Roman" w:cs="Times New Roman"/>
          <w:i/>
          <w:sz w:val="24"/>
          <w:szCs w:val="24"/>
        </w:rPr>
        <w:t>in pari materi</w:t>
      </w:r>
      <w:r w:rsidR="005A4A8B" w:rsidRPr="00FC6F7D">
        <w:rPr>
          <w:rFonts w:ascii="Times New Roman" w:hAnsi="Times New Roman" w:cs="Times New Roman"/>
          <w:sz w:val="24"/>
          <w:szCs w:val="24"/>
        </w:rPr>
        <w:t>, which states</w:t>
      </w:r>
      <w:r w:rsidR="004C2000">
        <w:rPr>
          <w:rFonts w:ascii="Times New Roman" w:hAnsi="Times New Roman" w:cs="Times New Roman"/>
          <w:sz w:val="24"/>
          <w:szCs w:val="24"/>
        </w:rPr>
        <w:t xml:space="preserve"> similar statutory provisions should be interpreted in a similar way</w:t>
      </w:r>
      <w:r w:rsidR="005A4A8B" w:rsidRPr="00FC6F7D">
        <w:rPr>
          <w:rFonts w:ascii="Times New Roman" w:hAnsi="Times New Roman" w:cs="Times New Roman"/>
          <w:sz w:val="24"/>
          <w:szCs w:val="24"/>
        </w:rPr>
        <w:t xml:space="preserve">; and </w:t>
      </w:r>
      <w:r w:rsidR="005A4A8B" w:rsidRPr="00FC6F7D">
        <w:rPr>
          <w:rFonts w:ascii="Times New Roman" w:hAnsi="Times New Roman" w:cs="Times New Roman"/>
          <w:i/>
          <w:sz w:val="24"/>
          <w:szCs w:val="24"/>
        </w:rPr>
        <w:t>noscitur a sociis</w:t>
      </w:r>
      <w:r w:rsidR="005A4A8B" w:rsidRPr="00FC6F7D">
        <w:rPr>
          <w:rFonts w:ascii="Times New Roman" w:hAnsi="Times New Roman" w:cs="Times New Roman"/>
          <w:sz w:val="24"/>
          <w:szCs w:val="24"/>
        </w:rPr>
        <w:t xml:space="preserve">, which states that when a word is ambiguous, one should discern its meaning by looking at references </w:t>
      </w:r>
      <w:r w:rsidR="005A4A8B">
        <w:rPr>
          <w:rFonts w:ascii="Times New Roman" w:hAnsi="Times New Roman" w:cs="Times New Roman"/>
          <w:sz w:val="24"/>
          <w:szCs w:val="24"/>
        </w:rPr>
        <w:t>to the surrounding text</w:t>
      </w:r>
      <w:r w:rsidR="005A4A8B" w:rsidRPr="00FC6F7D">
        <w:rPr>
          <w:rFonts w:ascii="Times New Roman" w:hAnsi="Times New Roman" w:cs="Times New Roman"/>
          <w:sz w:val="24"/>
          <w:szCs w:val="24"/>
        </w:rPr>
        <w:t>.</w:t>
      </w:r>
      <w:r w:rsidR="004C2000">
        <w:rPr>
          <w:rStyle w:val="FootnoteReference"/>
          <w:rFonts w:ascii="Times New Roman" w:hAnsi="Times New Roman" w:cs="Times New Roman"/>
          <w:sz w:val="24"/>
          <w:szCs w:val="24"/>
        </w:rPr>
        <w:footnoteReference w:id="36"/>
      </w:r>
      <w:r w:rsidR="005A4A8B">
        <w:rPr>
          <w:rFonts w:ascii="Times New Roman" w:hAnsi="Times New Roman" w:cs="Times New Roman"/>
          <w:sz w:val="24"/>
          <w:szCs w:val="24"/>
        </w:rPr>
        <w:t xml:space="preserve"> </w:t>
      </w:r>
      <w:r w:rsidR="005A4A8B" w:rsidRPr="00FC6F7D">
        <w:rPr>
          <w:rFonts w:ascii="Times New Roman" w:hAnsi="Times New Roman" w:cs="Times New Roman"/>
          <w:sz w:val="24"/>
          <w:szCs w:val="24"/>
        </w:rPr>
        <w:t>Another interpretive tool looks at the way courts in other cases have interpreted simi</w:t>
      </w:r>
      <w:r w:rsidR="0079362B">
        <w:rPr>
          <w:rFonts w:ascii="Times New Roman" w:hAnsi="Times New Roman" w:cs="Times New Roman"/>
          <w:sz w:val="24"/>
          <w:szCs w:val="24"/>
        </w:rPr>
        <w:t>lar language in other statutes</w:t>
      </w:r>
      <w:r w:rsidR="005A4A8B">
        <w:rPr>
          <w:rFonts w:ascii="Times New Roman" w:hAnsi="Times New Roman" w:cs="Times New Roman"/>
          <w:sz w:val="24"/>
          <w:szCs w:val="24"/>
        </w:rPr>
        <w:t>—</w:t>
      </w:r>
      <w:r w:rsidR="005A4A8B" w:rsidRPr="00FC6F7D">
        <w:rPr>
          <w:rFonts w:ascii="Times New Roman" w:hAnsi="Times New Roman" w:cs="Times New Roman"/>
          <w:sz w:val="24"/>
          <w:szCs w:val="24"/>
        </w:rPr>
        <w:t>the whole code rule.</w:t>
      </w:r>
      <w:r w:rsidR="005A4A8B" w:rsidRPr="00FC6F7D">
        <w:rPr>
          <w:rStyle w:val="FootnoteReference"/>
          <w:rFonts w:ascii="Times New Roman" w:hAnsi="Times New Roman" w:cs="Times New Roman"/>
          <w:sz w:val="24"/>
          <w:szCs w:val="24"/>
        </w:rPr>
        <w:footnoteReference w:id="37"/>
      </w:r>
      <w:r w:rsidR="005A4A8B">
        <w:rPr>
          <w:rFonts w:ascii="Times New Roman" w:hAnsi="Times New Roman" w:cs="Times New Roman"/>
          <w:sz w:val="24"/>
          <w:szCs w:val="24"/>
        </w:rPr>
        <w:t xml:space="preserve"> </w:t>
      </w:r>
      <w:r w:rsidR="005A4A8B" w:rsidRPr="00FC6F7D">
        <w:rPr>
          <w:rFonts w:ascii="Times New Roman" w:hAnsi="Times New Roman" w:cs="Times New Roman"/>
          <w:sz w:val="24"/>
          <w:szCs w:val="24"/>
        </w:rPr>
        <w:t>Likewise, the whole act rule refers to the inferences a reviewing court may make about the meaning of one section of a statute based on how other sections are structured.</w:t>
      </w:r>
      <w:r w:rsidR="005A4A8B" w:rsidRPr="00FC6F7D">
        <w:rPr>
          <w:rStyle w:val="FootnoteReference"/>
          <w:rFonts w:ascii="Times New Roman" w:hAnsi="Times New Roman" w:cs="Times New Roman"/>
          <w:sz w:val="24"/>
          <w:szCs w:val="24"/>
        </w:rPr>
        <w:footnoteReference w:id="38"/>
      </w:r>
      <w:r w:rsidR="005A4A8B">
        <w:rPr>
          <w:rFonts w:ascii="Times New Roman" w:hAnsi="Times New Roman" w:cs="Times New Roman"/>
          <w:sz w:val="24"/>
          <w:szCs w:val="24"/>
        </w:rPr>
        <w:t xml:space="preserve"> </w:t>
      </w:r>
      <w:r w:rsidR="005A4A8B" w:rsidRPr="00FC6F7D">
        <w:rPr>
          <w:rFonts w:ascii="Times New Roman" w:hAnsi="Times New Roman" w:cs="Times New Roman"/>
          <w:sz w:val="24"/>
          <w:szCs w:val="24"/>
        </w:rPr>
        <w:t>It calls for reviewing courts to assume that differences in similar or parallel statutory provisions to be deemed</w:t>
      </w:r>
      <w:r w:rsidR="004C2000">
        <w:rPr>
          <w:rFonts w:ascii="Times New Roman" w:hAnsi="Times New Roman" w:cs="Times New Roman"/>
          <w:sz w:val="24"/>
          <w:szCs w:val="24"/>
        </w:rPr>
        <w:t xml:space="preserve"> deliberate and to presume that statutory provisions have consistent meaning through the statute</w:t>
      </w:r>
      <w:r w:rsidR="005A4A8B" w:rsidRPr="00FC6F7D">
        <w:rPr>
          <w:rFonts w:ascii="Times New Roman" w:hAnsi="Times New Roman" w:cs="Times New Roman"/>
          <w:sz w:val="24"/>
          <w:szCs w:val="24"/>
        </w:rPr>
        <w:t>.</w:t>
      </w:r>
      <w:r w:rsidR="005A4A8B" w:rsidRPr="00FC6F7D">
        <w:rPr>
          <w:rStyle w:val="FootnoteReference"/>
          <w:rFonts w:ascii="Times New Roman" w:hAnsi="Times New Roman" w:cs="Times New Roman"/>
          <w:sz w:val="24"/>
          <w:szCs w:val="24"/>
        </w:rPr>
        <w:footnoteReference w:id="39"/>
      </w:r>
      <w:r w:rsidR="005A4A8B" w:rsidRPr="00DA7650">
        <w:rPr>
          <w:rFonts w:ascii="Times New Roman" w:hAnsi="Times New Roman" w:cs="Times New Roman"/>
          <w:sz w:val="24"/>
          <w:szCs w:val="24"/>
        </w:rPr>
        <w:t xml:space="preserve"> </w:t>
      </w:r>
    </w:p>
    <w:p w14:paraId="1332FB83" w14:textId="11FF3FF6" w:rsidR="0021249D" w:rsidRPr="0021249D" w:rsidRDefault="0021249D" w:rsidP="0021249D">
      <w:pPr>
        <w:pStyle w:val="ListParagraph"/>
        <w:numPr>
          <w:ilvl w:val="0"/>
          <w:numId w:val="27"/>
        </w:numPr>
        <w:spacing w:after="0" w:line="480" w:lineRule="auto"/>
        <w:rPr>
          <w:rFonts w:ascii="Times New Roman" w:hAnsi="Times New Roman" w:cs="Times New Roman"/>
          <w:b/>
          <w:sz w:val="24"/>
          <w:szCs w:val="24"/>
        </w:rPr>
      </w:pPr>
      <w:r w:rsidRPr="0021249D">
        <w:rPr>
          <w:rFonts w:ascii="Times New Roman" w:hAnsi="Times New Roman" w:cs="Times New Roman"/>
          <w:b/>
          <w:sz w:val="24"/>
          <w:szCs w:val="24"/>
        </w:rPr>
        <w:t>Purposivism</w:t>
      </w:r>
    </w:p>
    <w:p w14:paraId="2D928A82" w14:textId="422B7A49" w:rsidR="00D80B55" w:rsidRPr="00FC6F7D" w:rsidRDefault="00D80B55" w:rsidP="002B2676">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Although the theory can have many variations,</w:t>
      </w:r>
      <w:r w:rsidRPr="00FC6F7D">
        <w:rPr>
          <w:rStyle w:val="FootnoteReference"/>
          <w:rFonts w:ascii="Times New Roman" w:hAnsi="Times New Roman" w:cs="Times New Roman"/>
          <w:sz w:val="24"/>
          <w:szCs w:val="24"/>
        </w:rPr>
        <w:footnoteReference w:id="40"/>
      </w:r>
      <w:r w:rsidR="001D0E7F" w:rsidRPr="00FC6F7D">
        <w:rPr>
          <w:rFonts w:ascii="Times New Roman" w:hAnsi="Times New Roman" w:cs="Times New Roman"/>
          <w:sz w:val="24"/>
          <w:szCs w:val="24"/>
        </w:rPr>
        <w:t xml:space="preserve"> t</w:t>
      </w:r>
      <w:r w:rsidRPr="00FC6F7D">
        <w:rPr>
          <w:rFonts w:ascii="Times New Roman" w:hAnsi="Times New Roman" w:cs="Times New Roman"/>
          <w:sz w:val="24"/>
          <w:szCs w:val="24"/>
        </w:rPr>
        <w:t>he second approach, purposivism or dynamic interpretation as popular</w:t>
      </w:r>
      <w:r w:rsidR="002B2676">
        <w:rPr>
          <w:rFonts w:ascii="Times New Roman" w:hAnsi="Times New Roman" w:cs="Times New Roman"/>
          <w:sz w:val="24"/>
          <w:szCs w:val="24"/>
        </w:rPr>
        <w:t>ized by William Eskridge</w:t>
      </w:r>
      <w:r w:rsidR="005A4A8B">
        <w:rPr>
          <w:rFonts w:ascii="Times New Roman" w:hAnsi="Times New Roman" w:cs="Times New Roman"/>
          <w:sz w:val="24"/>
          <w:szCs w:val="24"/>
        </w:rPr>
        <w:t>,</w:t>
      </w:r>
      <w:bookmarkStart w:id="11" w:name="_Ref460547183"/>
      <w:r w:rsidRPr="00FC6F7D">
        <w:rPr>
          <w:rStyle w:val="FootnoteReference"/>
          <w:rFonts w:ascii="Times New Roman" w:hAnsi="Times New Roman" w:cs="Times New Roman"/>
          <w:sz w:val="24"/>
          <w:szCs w:val="24"/>
        </w:rPr>
        <w:footnoteReference w:id="41"/>
      </w:r>
      <w:bookmarkEnd w:id="11"/>
      <w:r w:rsidR="00F607FC">
        <w:rPr>
          <w:rFonts w:ascii="Times New Roman" w:hAnsi="Times New Roman" w:cs="Times New Roman"/>
          <w:sz w:val="24"/>
          <w:szCs w:val="24"/>
        </w:rPr>
        <w:t xml:space="preserve"> </w:t>
      </w:r>
      <w:r w:rsidR="005A4A8B">
        <w:rPr>
          <w:rFonts w:ascii="Times New Roman" w:hAnsi="Times New Roman" w:cs="Times New Roman"/>
          <w:sz w:val="24"/>
          <w:szCs w:val="24"/>
        </w:rPr>
        <w:t xml:space="preserve">contends that </w:t>
      </w:r>
      <w:r w:rsidR="00922E5A" w:rsidRPr="00FC6F7D">
        <w:rPr>
          <w:rFonts w:ascii="Times New Roman" w:hAnsi="Times New Roman" w:cs="Times New Roman"/>
          <w:sz w:val="24"/>
          <w:szCs w:val="24"/>
        </w:rPr>
        <w:t>inte</w:t>
      </w:r>
      <w:r w:rsidR="002B2676">
        <w:rPr>
          <w:rFonts w:ascii="Times New Roman" w:hAnsi="Times New Roman" w:cs="Times New Roman"/>
          <w:sz w:val="24"/>
          <w:szCs w:val="24"/>
        </w:rPr>
        <w:t>rpreter</w:t>
      </w:r>
      <w:r w:rsidR="00922E5A" w:rsidRPr="00FC6F7D">
        <w:rPr>
          <w:rFonts w:ascii="Times New Roman" w:hAnsi="Times New Roman" w:cs="Times New Roman"/>
          <w:sz w:val="24"/>
          <w:szCs w:val="24"/>
        </w:rPr>
        <w:t>s should take public values into consideration and construe statutes dynamically to reflect current social, political and legal contexts.</w:t>
      </w:r>
      <w:bookmarkStart w:id="12" w:name="_Ref460547054"/>
      <w:r w:rsidR="00922E5A" w:rsidRPr="00FC6F7D">
        <w:rPr>
          <w:rStyle w:val="FootnoteReference"/>
          <w:rFonts w:ascii="Times New Roman" w:hAnsi="Times New Roman" w:cs="Times New Roman"/>
          <w:sz w:val="24"/>
          <w:szCs w:val="24"/>
        </w:rPr>
        <w:footnoteReference w:id="42"/>
      </w:r>
      <w:bookmarkEnd w:id="12"/>
      <w:r w:rsidR="00F607FC">
        <w:rPr>
          <w:rFonts w:ascii="Times New Roman" w:hAnsi="Times New Roman" w:cs="Times New Roman"/>
          <w:sz w:val="24"/>
          <w:szCs w:val="24"/>
        </w:rPr>
        <w:t xml:space="preserve"> </w:t>
      </w:r>
      <w:r w:rsidR="002D4758">
        <w:rPr>
          <w:rFonts w:ascii="Times New Roman" w:hAnsi="Times New Roman" w:cs="Times New Roman"/>
          <w:sz w:val="24"/>
          <w:szCs w:val="24"/>
        </w:rPr>
        <w:t>For purposivists</w:t>
      </w:r>
      <w:r w:rsidRPr="00FC6F7D">
        <w:rPr>
          <w:rFonts w:ascii="Times New Roman" w:hAnsi="Times New Roman" w:cs="Times New Roman"/>
          <w:sz w:val="24"/>
          <w:szCs w:val="24"/>
        </w:rPr>
        <w:t>, the inte</w:t>
      </w:r>
      <w:r w:rsidR="005A4A8B">
        <w:rPr>
          <w:rFonts w:ascii="Times New Roman" w:hAnsi="Times New Roman" w:cs="Times New Roman"/>
          <w:sz w:val="24"/>
          <w:szCs w:val="24"/>
        </w:rPr>
        <w:t>rprete</w:t>
      </w:r>
      <w:r w:rsidR="001D0E7F" w:rsidRPr="00FC6F7D">
        <w:rPr>
          <w:rFonts w:ascii="Times New Roman" w:hAnsi="Times New Roman" w:cs="Times New Roman"/>
          <w:sz w:val="24"/>
          <w:szCs w:val="24"/>
        </w:rPr>
        <w:t>r looks at three perspecti</w:t>
      </w:r>
      <w:r w:rsidRPr="00FC6F7D">
        <w:rPr>
          <w:rFonts w:ascii="Times New Roman" w:hAnsi="Times New Roman" w:cs="Times New Roman"/>
          <w:sz w:val="24"/>
          <w:szCs w:val="24"/>
        </w:rPr>
        <w:t xml:space="preserve">ves: 1) the </w:t>
      </w:r>
      <w:r w:rsidRPr="00FC6F7D">
        <w:rPr>
          <w:rFonts w:ascii="Times New Roman" w:hAnsi="Times New Roman" w:cs="Times New Roman"/>
          <w:sz w:val="24"/>
          <w:szCs w:val="24"/>
        </w:rPr>
        <w:lastRenderedPageBreak/>
        <w:t>statutory text; 2) the historical perspective as reflected in the original legislature’s explorations of policy; and 3) the evolutive perspective considering the evolution of the statute and the present role that the statute’s plays in the world, with a p</w:t>
      </w:r>
      <w:r w:rsidR="006E3956">
        <w:rPr>
          <w:rFonts w:ascii="Times New Roman" w:hAnsi="Times New Roman" w:cs="Times New Roman"/>
          <w:sz w:val="24"/>
          <w:szCs w:val="24"/>
        </w:rPr>
        <w:t>articular emphasis on</w:t>
      </w:r>
      <w:r w:rsidRPr="00FC6F7D">
        <w:rPr>
          <w:rFonts w:ascii="Times New Roman" w:hAnsi="Times New Roman" w:cs="Times New Roman"/>
          <w:sz w:val="24"/>
          <w:szCs w:val="24"/>
        </w:rPr>
        <w:t xml:space="preserve"> how the statue fits in with the current societal and legal environment.</w:t>
      </w:r>
      <w:r w:rsidRPr="00FC6F7D">
        <w:rPr>
          <w:rStyle w:val="FootnoteReference"/>
          <w:rFonts w:ascii="Times New Roman" w:hAnsi="Times New Roman" w:cs="Times New Roman"/>
          <w:sz w:val="24"/>
          <w:szCs w:val="24"/>
        </w:rPr>
        <w:footnoteReference w:id="43"/>
      </w:r>
      <w:r w:rsidRPr="00FC6F7D">
        <w:rPr>
          <w:rFonts w:ascii="Times New Roman" w:hAnsi="Times New Roman" w:cs="Times New Roman"/>
          <w:sz w:val="24"/>
          <w:szCs w:val="24"/>
        </w:rPr>
        <w:t xml:space="preserve"> Unlike textualists, purposivists argue that judges should discern statutory meaning by first identifying the purpose of the statute and then selecting the meaning that best effectuates the stated (or implied) purpose.</w:t>
      </w:r>
      <w:r w:rsidRPr="00FC6F7D">
        <w:rPr>
          <w:rStyle w:val="FootnoteReference"/>
          <w:rFonts w:ascii="Times New Roman" w:hAnsi="Times New Roman" w:cs="Times New Roman"/>
          <w:sz w:val="24"/>
          <w:szCs w:val="24"/>
        </w:rPr>
        <w:footnoteReference w:id="44"/>
      </w:r>
      <w:r w:rsidR="006E3956">
        <w:rPr>
          <w:rFonts w:ascii="Times New Roman" w:hAnsi="Times New Roman" w:cs="Times New Roman"/>
          <w:sz w:val="24"/>
          <w:szCs w:val="24"/>
        </w:rPr>
        <w:t xml:space="preserve"> Purposivists argue that this</w:t>
      </w:r>
      <w:r w:rsidRPr="00FC6F7D">
        <w:rPr>
          <w:rFonts w:ascii="Times New Roman" w:hAnsi="Times New Roman" w:cs="Times New Roman"/>
          <w:sz w:val="24"/>
          <w:szCs w:val="24"/>
        </w:rPr>
        <w:t xml:space="preserve"> view defer</w:t>
      </w:r>
      <w:r w:rsidR="006E3956">
        <w:rPr>
          <w:rFonts w:ascii="Times New Roman" w:hAnsi="Times New Roman" w:cs="Times New Roman"/>
          <w:sz w:val="24"/>
          <w:szCs w:val="24"/>
        </w:rPr>
        <w:t>s</w:t>
      </w:r>
      <w:r w:rsidRPr="00FC6F7D">
        <w:rPr>
          <w:rFonts w:ascii="Times New Roman" w:hAnsi="Times New Roman" w:cs="Times New Roman"/>
          <w:sz w:val="24"/>
          <w:szCs w:val="24"/>
        </w:rPr>
        <w:t xml:space="preserve"> more to the views of the democratically-elected branches, placing more emphasis on democratic accountability.</w:t>
      </w:r>
      <w:r w:rsidRPr="00FC6F7D">
        <w:rPr>
          <w:rStyle w:val="FootnoteReference"/>
          <w:rFonts w:ascii="Times New Roman" w:hAnsi="Times New Roman" w:cs="Times New Roman"/>
          <w:sz w:val="24"/>
          <w:szCs w:val="24"/>
        </w:rPr>
        <w:footnoteReference w:id="45"/>
      </w:r>
      <w:r w:rsidRPr="00FC6F7D">
        <w:rPr>
          <w:rFonts w:ascii="Times New Roman" w:hAnsi="Times New Roman" w:cs="Times New Roman"/>
          <w:sz w:val="24"/>
          <w:szCs w:val="24"/>
        </w:rPr>
        <w:t xml:space="preserve"> As </w:t>
      </w:r>
      <w:r w:rsidR="008F573D">
        <w:rPr>
          <w:rFonts w:ascii="Times New Roman" w:hAnsi="Times New Roman" w:cs="Times New Roman"/>
          <w:sz w:val="24"/>
          <w:szCs w:val="24"/>
        </w:rPr>
        <w:t>Stephen Breye</w:t>
      </w:r>
      <w:r w:rsidRPr="00FC6F7D">
        <w:rPr>
          <w:rFonts w:ascii="Times New Roman" w:hAnsi="Times New Roman" w:cs="Times New Roman"/>
          <w:sz w:val="24"/>
          <w:szCs w:val="24"/>
        </w:rPr>
        <w:t>r notes, “overemphasis on text can lead courts a</w:t>
      </w:r>
      <w:r w:rsidR="00DE59EB">
        <w:rPr>
          <w:rFonts w:ascii="Times New Roman" w:hAnsi="Times New Roman" w:cs="Times New Roman"/>
          <w:sz w:val="24"/>
          <w:szCs w:val="24"/>
        </w:rPr>
        <w:t>stray, divorcing law from life—</w:t>
      </w:r>
      <w:r w:rsidRPr="00FC6F7D">
        <w:rPr>
          <w:rFonts w:ascii="Times New Roman" w:hAnsi="Times New Roman" w:cs="Times New Roman"/>
          <w:sz w:val="24"/>
          <w:szCs w:val="24"/>
        </w:rPr>
        <w:t>indeed, creating la</w:t>
      </w:r>
      <w:r w:rsidR="002B2676">
        <w:rPr>
          <w:rFonts w:ascii="Times New Roman" w:hAnsi="Times New Roman" w:cs="Times New Roman"/>
          <w:sz w:val="24"/>
          <w:szCs w:val="24"/>
        </w:rPr>
        <w:t>w that harms those whom Congress</w:t>
      </w:r>
      <w:r w:rsidRPr="00FC6F7D">
        <w:rPr>
          <w:rFonts w:ascii="Times New Roman" w:hAnsi="Times New Roman" w:cs="Times New Roman"/>
          <w:sz w:val="24"/>
          <w:szCs w:val="24"/>
        </w:rPr>
        <w:t xml:space="preserve"> meant to help.”</w:t>
      </w:r>
      <w:r w:rsidRPr="00FC6F7D">
        <w:rPr>
          <w:rStyle w:val="FootnoteReference"/>
          <w:rFonts w:ascii="Times New Roman" w:hAnsi="Times New Roman" w:cs="Times New Roman"/>
          <w:sz w:val="24"/>
          <w:szCs w:val="24"/>
        </w:rPr>
        <w:footnoteReference w:id="46"/>
      </w:r>
      <w:r w:rsidR="006E3956">
        <w:rPr>
          <w:rFonts w:ascii="Times New Roman" w:hAnsi="Times New Roman" w:cs="Times New Roman"/>
          <w:sz w:val="24"/>
          <w:szCs w:val="24"/>
        </w:rPr>
        <w:t xml:space="preserve"> </w:t>
      </w:r>
      <w:r w:rsidRPr="00FC6F7D">
        <w:rPr>
          <w:rFonts w:ascii="Times New Roman" w:hAnsi="Times New Roman" w:cs="Times New Roman"/>
          <w:sz w:val="24"/>
          <w:szCs w:val="24"/>
        </w:rPr>
        <w:t>Dynamists elevate courts to be the primary arbiters of how the law should be interpreted with the emphasis on evolving legal principles as well as chang</w:t>
      </w:r>
      <w:r w:rsidR="00922E5A" w:rsidRPr="00FC6F7D">
        <w:rPr>
          <w:rFonts w:ascii="Times New Roman" w:hAnsi="Times New Roman" w:cs="Times New Roman"/>
          <w:sz w:val="24"/>
          <w:szCs w:val="24"/>
        </w:rPr>
        <w:t>ing social and economic changes</w:t>
      </w:r>
      <w:r w:rsidR="0021249D">
        <w:rPr>
          <w:rFonts w:ascii="Times New Roman" w:hAnsi="Times New Roman" w:cs="Times New Roman"/>
          <w:sz w:val="24"/>
          <w:szCs w:val="24"/>
        </w:rPr>
        <w:t>.</w:t>
      </w:r>
      <w:r w:rsidR="00922E5A" w:rsidRPr="00FC6F7D">
        <w:rPr>
          <w:rStyle w:val="FootnoteReference"/>
          <w:rFonts w:ascii="Times New Roman" w:hAnsi="Times New Roman" w:cs="Times New Roman"/>
          <w:sz w:val="24"/>
          <w:szCs w:val="24"/>
        </w:rPr>
        <w:footnoteReference w:id="47"/>
      </w:r>
      <w:r w:rsidR="00922E5A" w:rsidRPr="00FC6F7D">
        <w:rPr>
          <w:rFonts w:ascii="Times New Roman" w:hAnsi="Times New Roman" w:cs="Times New Roman"/>
          <w:sz w:val="24"/>
          <w:szCs w:val="24"/>
        </w:rPr>
        <w:t xml:space="preserve"> </w:t>
      </w:r>
      <w:r w:rsidRPr="00FC6F7D">
        <w:rPr>
          <w:rFonts w:ascii="Times New Roman" w:hAnsi="Times New Roman" w:cs="Times New Roman"/>
          <w:sz w:val="24"/>
          <w:szCs w:val="24"/>
        </w:rPr>
        <w:t>As such, the interpretation given by a dynamic court could conceivably differ much from what the enacting coalition might want.</w:t>
      </w:r>
      <w:r w:rsidRPr="00FC6F7D">
        <w:rPr>
          <w:rStyle w:val="FootnoteReference"/>
          <w:rFonts w:ascii="Times New Roman" w:hAnsi="Times New Roman" w:cs="Times New Roman"/>
          <w:sz w:val="24"/>
          <w:szCs w:val="24"/>
        </w:rPr>
        <w:footnoteReference w:id="48"/>
      </w:r>
      <w:r w:rsidR="00F607FC">
        <w:rPr>
          <w:rFonts w:ascii="Times New Roman" w:hAnsi="Times New Roman" w:cs="Times New Roman"/>
          <w:sz w:val="24"/>
          <w:szCs w:val="24"/>
        </w:rPr>
        <w:t xml:space="preserve"> </w:t>
      </w:r>
      <w:r w:rsidRPr="00FC6F7D">
        <w:rPr>
          <w:rFonts w:ascii="Times New Roman" w:hAnsi="Times New Roman" w:cs="Times New Roman"/>
          <w:sz w:val="24"/>
          <w:szCs w:val="24"/>
        </w:rPr>
        <w:t>Such an approach can foster greater judicial autonomy because courts have the power to elevate their own policy preferences ahead of the preferences of th</w:t>
      </w:r>
      <w:r w:rsidR="00F607FC">
        <w:rPr>
          <w:rFonts w:ascii="Times New Roman" w:hAnsi="Times New Roman" w:cs="Times New Roman"/>
          <w:sz w:val="24"/>
          <w:szCs w:val="24"/>
        </w:rPr>
        <w:t xml:space="preserve">e original enacting coalition. </w:t>
      </w:r>
    </w:p>
    <w:p w14:paraId="6B19BD33" w14:textId="317600C2" w:rsidR="00D80B55" w:rsidRDefault="00A7331D" w:rsidP="00FA19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Purposivism has its limitations</w:t>
      </w:r>
      <w:r w:rsidR="00F607FC">
        <w:rPr>
          <w:rFonts w:ascii="Times New Roman" w:hAnsi="Times New Roman" w:cs="Times New Roman"/>
          <w:sz w:val="24"/>
          <w:szCs w:val="24"/>
        </w:rPr>
        <w:t xml:space="preserve">. </w:t>
      </w:r>
      <w:r w:rsidR="00922E5A" w:rsidRPr="00FC6F7D">
        <w:rPr>
          <w:rFonts w:ascii="Times New Roman" w:hAnsi="Times New Roman" w:cs="Times New Roman"/>
          <w:sz w:val="24"/>
          <w:szCs w:val="24"/>
        </w:rPr>
        <w:t>Most particularly, it can be difficult</w:t>
      </w:r>
      <w:r w:rsidR="006E3956">
        <w:rPr>
          <w:rFonts w:ascii="Times New Roman" w:hAnsi="Times New Roman" w:cs="Times New Roman"/>
          <w:sz w:val="24"/>
          <w:szCs w:val="24"/>
        </w:rPr>
        <w:t xml:space="preserve"> to discern statutory meaning. </w:t>
      </w:r>
      <w:r w:rsidR="00A7195E">
        <w:rPr>
          <w:rFonts w:ascii="Times New Roman" w:hAnsi="Times New Roman" w:cs="Times New Roman"/>
          <w:sz w:val="24"/>
          <w:szCs w:val="24"/>
        </w:rPr>
        <w:t>A statute can have multiple and cross-cutting purposes</w:t>
      </w:r>
      <w:r w:rsidR="00C07F1F">
        <w:rPr>
          <w:rFonts w:ascii="Times New Roman" w:hAnsi="Times New Roman" w:cs="Times New Roman"/>
          <w:sz w:val="24"/>
          <w:szCs w:val="24"/>
        </w:rPr>
        <w:t>.</w:t>
      </w:r>
      <w:r w:rsidR="00C07F1F">
        <w:rPr>
          <w:rStyle w:val="FootnoteReference"/>
          <w:rFonts w:ascii="Times New Roman" w:hAnsi="Times New Roman" w:cs="Times New Roman"/>
          <w:sz w:val="24"/>
          <w:szCs w:val="24"/>
        </w:rPr>
        <w:footnoteReference w:id="49"/>
      </w:r>
      <w:r w:rsidR="00A7195E">
        <w:rPr>
          <w:rFonts w:ascii="Times New Roman" w:hAnsi="Times New Roman" w:cs="Times New Roman"/>
          <w:sz w:val="24"/>
          <w:szCs w:val="24"/>
        </w:rPr>
        <w:t xml:space="preserve"> Moreover, reliance on </w:t>
      </w:r>
      <w:r w:rsidR="00A7195E">
        <w:rPr>
          <w:rFonts w:ascii="Times New Roman" w:hAnsi="Times New Roman" w:cs="Times New Roman"/>
          <w:sz w:val="24"/>
          <w:szCs w:val="24"/>
        </w:rPr>
        <w:lastRenderedPageBreak/>
        <w:t>legislative history to guide in discerning that purpose can be problematic.</w:t>
      </w:r>
      <w:r w:rsidR="00922E5A" w:rsidRPr="00FC6F7D">
        <w:rPr>
          <w:rFonts w:ascii="Times New Roman" w:hAnsi="Times New Roman" w:cs="Times New Roman"/>
          <w:sz w:val="24"/>
          <w:szCs w:val="24"/>
        </w:rPr>
        <w:t xml:space="preserve"> Legislative his</w:t>
      </w:r>
      <w:r w:rsidR="002D6C12">
        <w:rPr>
          <w:rFonts w:ascii="Times New Roman" w:hAnsi="Times New Roman" w:cs="Times New Roman"/>
          <w:sz w:val="24"/>
          <w:szCs w:val="24"/>
        </w:rPr>
        <w:t>tory may not always be reliable as</w:t>
      </w:r>
      <w:r w:rsidR="00922E5A" w:rsidRPr="00FC6F7D">
        <w:rPr>
          <w:rFonts w:ascii="Times New Roman" w:hAnsi="Times New Roman" w:cs="Times New Roman"/>
          <w:sz w:val="24"/>
          <w:szCs w:val="24"/>
        </w:rPr>
        <w:t xml:space="preserve"> staff can hide the true intent behind a bill with the use of clever language</w:t>
      </w:r>
      <w:r w:rsidR="000551AC">
        <w:rPr>
          <w:rFonts w:ascii="Times New Roman" w:hAnsi="Times New Roman" w:cs="Times New Roman"/>
          <w:sz w:val="24"/>
          <w:szCs w:val="24"/>
        </w:rPr>
        <w:t>.</w:t>
      </w:r>
      <w:r w:rsidR="000551AC">
        <w:rPr>
          <w:rStyle w:val="FootnoteReference"/>
          <w:rFonts w:ascii="Times New Roman" w:hAnsi="Times New Roman" w:cs="Times New Roman"/>
          <w:sz w:val="24"/>
          <w:szCs w:val="24"/>
        </w:rPr>
        <w:footnoteReference w:id="50"/>
      </w:r>
      <w:r w:rsidR="000551AC">
        <w:rPr>
          <w:rFonts w:ascii="Times New Roman" w:hAnsi="Times New Roman" w:cs="Times New Roman"/>
          <w:sz w:val="24"/>
          <w:szCs w:val="24"/>
        </w:rPr>
        <w:t xml:space="preserve"> </w:t>
      </w:r>
      <w:r w:rsidR="00922E5A" w:rsidRPr="00FC6F7D">
        <w:rPr>
          <w:rFonts w:ascii="Times New Roman" w:hAnsi="Times New Roman" w:cs="Times New Roman"/>
          <w:sz w:val="24"/>
          <w:szCs w:val="24"/>
        </w:rPr>
        <w:t>Statements in legis</w:t>
      </w:r>
      <w:r w:rsidR="002D6C12">
        <w:rPr>
          <w:rFonts w:ascii="Times New Roman" w:hAnsi="Times New Roman" w:cs="Times New Roman"/>
          <w:sz w:val="24"/>
          <w:szCs w:val="24"/>
        </w:rPr>
        <w:t xml:space="preserve">lative history could be </w:t>
      </w:r>
      <w:r w:rsidR="00922E5A" w:rsidRPr="00FC6F7D">
        <w:rPr>
          <w:rFonts w:ascii="Times New Roman" w:hAnsi="Times New Roman" w:cs="Times New Roman"/>
          <w:sz w:val="24"/>
          <w:szCs w:val="24"/>
        </w:rPr>
        <w:t>a tool to provide political cover rather than a blueprint on what the original enacting coalition intended the statute to mean.</w:t>
      </w:r>
      <w:r w:rsidR="00C07F1F">
        <w:rPr>
          <w:rStyle w:val="FootnoteReference"/>
          <w:rFonts w:ascii="Times New Roman" w:hAnsi="Times New Roman" w:cs="Times New Roman"/>
          <w:sz w:val="24"/>
          <w:szCs w:val="24"/>
        </w:rPr>
        <w:footnoteReference w:id="51"/>
      </w:r>
      <w:r w:rsidR="00922E5A" w:rsidRPr="00FC6F7D">
        <w:rPr>
          <w:rFonts w:ascii="Times New Roman" w:hAnsi="Times New Roman" w:cs="Times New Roman"/>
          <w:sz w:val="24"/>
          <w:szCs w:val="24"/>
        </w:rPr>
        <w:t xml:space="preserve"> Moreover, legislati</w:t>
      </w:r>
      <w:r w:rsidR="00A7195E">
        <w:rPr>
          <w:rFonts w:ascii="Times New Roman" w:hAnsi="Times New Roman" w:cs="Times New Roman"/>
          <w:sz w:val="24"/>
          <w:szCs w:val="24"/>
        </w:rPr>
        <w:t>ve history can take many forms</w:t>
      </w:r>
      <w:r w:rsidR="00830BC1">
        <w:rPr>
          <w:rFonts w:ascii="Times New Roman" w:hAnsi="Times New Roman" w:cs="Times New Roman"/>
          <w:sz w:val="24"/>
          <w:szCs w:val="24"/>
        </w:rPr>
        <w:t>—</w:t>
      </w:r>
      <w:r w:rsidR="00922E5A" w:rsidRPr="00FC6F7D">
        <w:rPr>
          <w:rFonts w:ascii="Times New Roman" w:hAnsi="Times New Roman" w:cs="Times New Roman"/>
          <w:sz w:val="24"/>
          <w:szCs w:val="24"/>
        </w:rPr>
        <w:t xml:space="preserve">ranging from conference committee reports to stray remarks made by Congressman on the House floor </w:t>
      </w:r>
      <w:r w:rsidR="002D6C12">
        <w:rPr>
          <w:rFonts w:ascii="Times New Roman" w:hAnsi="Times New Roman" w:cs="Times New Roman"/>
          <w:sz w:val="24"/>
          <w:szCs w:val="24"/>
        </w:rPr>
        <w:t>or in the Congressional Record.</w:t>
      </w:r>
      <w:r w:rsidR="00922E5A" w:rsidRPr="00FC6F7D">
        <w:rPr>
          <w:rFonts w:ascii="Times New Roman" w:hAnsi="Times New Roman" w:cs="Times New Roman"/>
          <w:sz w:val="24"/>
          <w:szCs w:val="24"/>
        </w:rPr>
        <w:t xml:space="preserve"> Committee reports are often seen as the most authoritative source of legislative history, followed by conference reports yet the context can often matter.</w:t>
      </w:r>
      <w:r w:rsidR="00922E5A" w:rsidRPr="00FC6F7D">
        <w:rPr>
          <w:rStyle w:val="FootnoteReference"/>
          <w:rFonts w:ascii="Times New Roman" w:hAnsi="Times New Roman" w:cs="Times New Roman"/>
          <w:sz w:val="24"/>
          <w:szCs w:val="24"/>
        </w:rPr>
        <w:footnoteReference w:id="52"/>
      </w:r>
      <w:r w:rsidR="00FD741E">
        <w:rPr>
          <w:rFonts w:ascii="Times New Roman" w:hAnsi="Times New Roman" w:cs="Times New Roman"/>
          <w:sz w:val="24"/>
          <w:szCs w:val="24"/>
        </w:rPr>
        <w:t xml:space="preserve"> Who actually says the remarks can also matter, with statements by party leadership seen as least reliable.</w:t>
      </w:r>
      <w:r w:rsidR="00FD741E">
        <w:rPr>
          <w:rStyle w:val="FootnoteReference"/>
          <w:rFonts w:ascii="Times New Roman" w:hAnsi="Times New Roman" w:cs="Times New Roman"/>
          <w:sz w:val="24"/>
          <w:szCs w:val="24"/>
        </w:rPr>
        <w:footnoteReference w:id="53"/>
      </w:r>
      <w:r w:rsidR="0075634A">
        <w:rPr>
          <w:rFonts w:ascii="Times New Roman" w:hAnsi="Times New Roman" w:cs="Times New Roman"/>
          <w:sz w:val="24"/>
          <w:szCs w:val="24"/>
        </w:rPr>
        <w:t xml:space="preserve"> Floor statements by those opposed to the bill are often seen as the least reliable.</w:t>
      </w:r>
      <w:r w:rsidR="0075634A">
        <w:rPr>
          <w:rStyle w:val="FootnoteReference"/>
          <w:rFonts w:ascii="Times New Roman" w:hAnsi="Times New Roman" w:cs="Times New Roman"/>
          <w:sz w:val="24"/>
          <w:szCs w:val="24"/>
        </w:rPr>
        <w:footnoteReference w:id="54"/>
      </w:r>
      <w:r w:rsidR="00A7195E">
        <w:rPr>
          <w:rFonts w:ascii="Times New Roman" w:hAnsi="Times New Roman" w:cs="Times New Roman"/>
          <w:sz w:val="24"/>
          <w:szCs w:val="24"/>
        </w:rPr>
        <w:t xml:space="preserve"> </w:t>
      </w:r>
      <w:r w:rsidR="0075634A">
        <w:rPr>
          <w:rFonts w:ascii="Times New Roman" w:hAnsi="Times New Roman" w:cs="Times New Roman"/>
          <w:sz w:val="24"/>
          <w:szCs w:val="24"/>
        </w:rPr>
        <w:t>In all, legislative history that takes the form of showing a “shared consensus” is often seen as most reliable.</w:t>
      </w:r>
      <w:r w:rsidR="0075634A">
        <w:rPr>
          <w:rStyle w:val="FootnoteReference"/>
          <w:rFonts w:ascii="Times New Roman" w:hAnsi="Times New Roman" w:cs="Times New Roman"/>
          <w:sz w:val="24"/>
          <w:szCs w:val="24"/>
        </w:rPr>
        <w:footnoteReference w:id="55"/>
      </w:r>
    </w:p>
    <w:p w14:paraId="7D319433" w14:textId="59478012" w:rsidR="00F05479" w:rsidRPr="0079362B" w:rsidRDefault="00F05479" w:rsidP="00F05479">
      <w:pPr>
        <w:pStyle w:val="ListParagraph"/>
        <w:numPr>
          <w:ilvl w:val="0"/>
          <w:numId w:val="27"/>
        </w:numPr>
        <w:spacing w:after="0" w:line="480" w:lineRule="auto"/>
        <w:rPr>
          <w:rFonts w:ascii="Times New Roman" w:hAnsi="Times New Roman" w:cs="Times New Roman"/>
          <w:b/>
          <w:sz w:val="24"/>
          <w:szCs w:val="24"/>
        </w:rPr>
      </w:pPr>
      <w:r w:rsidRPr="0079362B">
        <w:rPr>
          <w:rFonts w:ascii="Times New Roman" w:hAnsi="Times New Roman" w:cs="Times New Roman"/>
          <w:b/>
          <w:sz w:val="24"/>
          <w:szCs w:val="24"/>
        </w:rPr>
        <w:t>Substantive Canons</w:t>
      </w:r>
    </w:p>
    <w:p w14:paraId="557C3F7E" w14:textId="4AE5ED8F" w:rsidR="00D80B55" w:rsidRPr="00FC6F7D" w:rsidRDefault="00D80B55" w:rsidP="00D80B55">
      <w:pPr>
        <w:spacing w:after="0" w:line="480" w:lineRule="auto"/>
        <w:rPr>
          <w:rFonts w:ascii="Times New Roman" w:hAnsi="Times New Roman" w:cs="Times New Roman"/>
          <w:sz w:val="24"/>
          <w:szCs w:val="24"/>
        </w:rPr>
      </w:pPr>
      <w:r w:rsidRPr="00FC6F7D">
        <w:rPr>
          <w:rFonts w:ascii="Times New Roman" w:hAnsi="Times New Roman" w:cs="Times New Roman"/>
          <w:b/>
          <w:sz w:val="24"/>
          <w:szCs w:val="24"/>
        </w:rPr>
        <w:tab/>
      </w:r>
      <w:r w:rsidR="005A4A8B">
        <w:rPr>
          <w:rFonts w:ascii="Times New Roman" w:hAnsi="Times New Roman" w:cs="Times New Roman"/>
          <w:sz w:val="24"/>
          <w:szCs w:val="24"/>
        </w:rPr>
        <w:t xml:space="preserve">Furthermore, any </w:t>
      </w:r>
      <w:r w:rsidRPr="00FC6F7D">
        <w:rPr>
          <w:rFonts w:ascii="Times New Roman" w:hAnsi="Times New Roman" w:cs="Times New Roman"/>
          <w:sz w:val="24"/>
          <w:szCs w:val="24"/>
        </w:rPr>
        <w:t>empirical examination of statutory construction would not be complete without</w:t>
      </w:r>
      <w:r w:rsidR="005A4A8B">
        <w:rPr>
          <w:rFonts w:ascii="Times New Roman" w:hAnsi="Times New Roman" w:cs="Times New Roman"/>
          <w:sz w:val="24"/>
          <w:szCs w:val="24"/>
        </w:rPr>
        <w:t xml:space="preserve"> mentioning the use of substantive canons</w:t>
      </w:r>
      <w:r w:rsidR="00F607FC">
        <w:rPr>
          <w:rFonts w:ascii="Times New Roman" w:hAnsi="Times New Roman" w:cs="Times New Roman"/>
          <w:sz w:val="24"/>
          <w:szCs w:val="24"/>
        </w:rPr>
        <w:t xml:space="preserve">. </w:t>
      </w:r>
      <w:r w:rsidRPr="00FC6F7D">
        <w:rPr>
          <w:rFonts w:ascii="Times New Roman" w:hAnsi="Times New Roman" w:cs="Times New Roman"/>
          <w:sz w:val="24"/>
          <w:szCs w:val="24"/>
        </w:rPr>
        <w:t xml:space="preserve">Substantive canons are judicially-created </w:t>
      </w:r>
      <w:r w:rsidRPr="00FC6F7D">
        <w:rPr>
          <w:rFonts w:ascii="Times New Roman" w:hAnsi="Times New Roman" w:cs="Times New Roman"/>
          <w:sz w:val="24"/>
          <w:szCs w:val="24"/>
        </w:rPr>
        <w:lastRenderedPageBreak/>
        <w:t>“rules of thumb” based on overriding legal norms, policies and conventions.</w:t>
      </w:r>
      <w:bookmarkStart w:id="13" w:name="_Ref460547342"/>
      <w:r w:rsidRPr="00FC6F7D">
        <w:rPr>
          <w:rStyle w:val="FootnoteReference"/>
          <w:rFonts w:ascii="Times New Roman" w:hAnsi="Times New Roman" w:cs="Times New Roman"/>
          <w:sz w:val="24"/>
          <w:szCs w:val="24"/>
        </w:rPr>
        <w:footnoteReference w:id="56"/>
      </w:r>
      <w:bookmarkEnd w:id="13"/>
      <w:r w:rsidRPr="00FC6F7D">
        <w:rPr>
          <w:rFonts w:ascii="Times New Roman" w:hAnsi="Times New Roman" w:cs="Times New Roman"/>
          <w:sz w:val="24"/>
          <w:szCs w:val="24"/>
        </w:rPr>
        <w:t xml:space="preserve"> </w:t>
      </w:r>
      <w:r w:rsidR="001A7172">
        <w:rPr>
          <w:rFonts w:ascii="Times New Roman" w:hAnsi="Times New Roman" w:cs="Times New Roman"/>
          <w:sz w:val="24"/>
          <w:szCs w:val="24"/>
        </w:rPr>
        <w:t>All told, there are more than 100 substantive canons.</w:t>
      </w:r>
      <w:r w:rsidR="001A7172">
        <w:rPr>
          <w:rStyle w:val="FootnoteReference"/>
          <w:rFonts w:ascii="Times New Roman" w:hAnsi="Times New Roman" w:cs="Times New Roman"/>
          <w:sz w:val="24"/>
          <w:szCs w:val="24"/>
        </w:rPr>
        <w:footnoteReference w:id="57"/>
      </w:r>
      <w:r w:rsidR="001A7172">
        <w:rPr>
          <w:rFonts w:ascii="Times New Roman" w:hAnsi="Times New Roman" w:cs="Times New Roman"/>
          <w:sz w:val="24"/>
          <w:szCs w:val="24"/>
        </w:rPr>
        <w:t xml:space="preserve"> </w:t>
      </w:r>
      <w:r w:rsidRPr="00FC6F7D">
        <w:rPr>
          <w:rFonts w:ascii="Times New Roman" w:hAnsi="Times New Roman" w:cs="Times New Roman"/>
          <w:sz w:val="24"/>
          <w:szCs w:val="24"/>
        </w:rPr>
        <w:t xml:space="preserve">For instance, </w:t>
      </w:r>
      <w:r w:rsidR="00BF6439">
        <w:rPr>
          <w:rFonts w:ascii="Times New Roman" w:hAnsi="Times New Roman" w:cs="Times New Roman"/>
          <w:sz w:val="24"/>
          <w:szCs w:val="24"/>
        </w:rPr>
        <w:t xml:space="preserve">the </w:t>
      </w:r>
      <w:r w:rsidRPr="00FC6F7D">
        <w:rPr>
          <w:rFonts w:ascii="Times New Roman" w:hAnsi="Times New Roman" w:cs="Times New Roman"/>
          <w:sz w:val="24"/>
          <w:szCs w:val="24"/>
        </w:rPr>
        <w:t>“Rule of Lenity” espouses that any ambiguity be resol</w:t>
      </w:r>
      <w:r w:rsidR="00F607FC">
        <w:rPr>
          <w:rFonts w:ascii="Times New Roman" w:hAnsi="Times New Roman" w:cs="Times New Roman"/>
          <w:sz w:val="24"/>
          <w:szCs w:val="24"/>
        </w:rPr>
        <w:t>ved in favor of the defendant.</w:t>
      </w:r>
      <w:r w:rsidR="00BF6439">
        <w:rPr>
          <w:rStyle w:val="FootnoteReference"/>
          <w:rFonts w:ascii="Times New Roman" w:hAnsi="Times New Roman" w:cs="Times New Roman"/>
          <w:sz w:val="24"/>
          <w:szCs w:val="24"/>
        </w:rPr>
        <w:footnoteReference w:id="58"/>
      </w:r>
      <w:r w:rsidR="00F607FC">
        <w:rPr>
          <w:rFonts w:ascii="Times New Roman" w:hAnsi="Times New Roman" w:cs="Times New Roman"/>
          <w:sz w:val="24"/>
          <w:szCs w:val="24"/>
        </w:rPr>
        <w:t xml:space="preserve"> </w:t>
      </w:r>
      <w:r w:rsidRPr="00FC6F7D">
        <w:rPr>
          <w:rFonts w:ascii="Times New Roman" w:hAnsi="Times New Roman" w:cs="Times New Roman"/>
          <w:sz w:val="24"/>
          <w:szCs w:val="24"/>
        </w:rPr>
        <w:t>The oddly named “Charming Betsy” doctrine states that national statutes be construed so as to not co</w:t>
      </w:r>
      <w:r w:rsidR="00F607FC">
        <w:rPr>
          <w:rFonts w:ascii="Times New Roman" w:hAnsi="Times New Roman" w:cs="Times New Roman"/>
          <w:sz w:val="24"/>
          <w:szCs w:val="24"/>
        </w:rPr>
        <w:t xml:space="preserve">nflict with international law. </w:t>
      </w:r>
      <w:r w:rsidRPr="00FC6F7D">
        <w:rPr>
          <w:rFonts w:ascii="Times New Roman" w:hAnsi="Times New Roman" w:cs="Times New Roman"/>
          <w:sz w:val="24"/>
          <w:szCs w:val="24"/>
        </w:rPr>
        <w:t xml:space="preserve">Other statutory canons opine that statutes be interpreted so as to not violate so-called “fundamental values,” or so as to </w:t>
      </w:r>
      <w:r w:rsidR="00092ECC">
        <w:rPr>
          <w:rFonts w:ascii="Times New Roman" w:hAnsi="Times New Roman" w:cs="Times New Roman"/>
          <w:sz w:val="24"/>
          <w:szCs w:val="24"/>
        </w:rPr>
        <w:t>not abrogate sovereign immunity or not to preempt state law.</w:t>
      </w:r>
      <w:r w:rsidR="00092ECC">
        <w:rPr>
          <w:rStyle w:val="FootnoteReference"/>
          <w:rFonts w:ascii="Times New Roman" w:hAnsi="Times New Roman" w:cs="Times New Roman"/>
          <w:sz w:val="24"/>
          <w:szCs w:val="24"/>
        </w:rPr>
        <w:footnoteReference w:id="59"/>
      </w:r>
    </w:p>
    <w:p w14:paraId="0DE0D7B9" w14:textId="651C4C4A" w:rsidR="00AD4813" w:rsidRPr="005A4A8B" w:rsidRDefault="008571B5" w:rsidP="005A4A8B">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Recent </w:t>
      </w:r>
      <w:r w:rsidR="000B63BA" w:rsidRPr="005A4A8B">
        <w:rPr>
          <w:rFonts w:ascii="Times New Roman" w:hAnsi="Times New Roman" w:cs="Times New Roman"/>
          <w:b/>
          <w:sz w:val="24"/>
          <w:szCs w:val="24"/>
        </w:rPr>
        <w:t>Empirical Studies of Statutory Interpretation</w:t>
      </w:r>
    </w:p>
    <w:p w14:paraId="077D1565" w14:textId="4A7D23F0" w:rsidR="00056D6E" w:rsidRDefault="00EC32FD" w:rsidP="00F054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32DD5">
        <w:rPr>
          <w:rFonts w:ascii="Times New Roman" w:hAnsi="Times New Roman" w:cs="Times New Roman"/>
          <w:sz w:val="24"/>
          <w:szCs w:val="24"/>
        </w:rPr>
        <w:t>scholarship</w:t>
      </w:r>
      <w:r>
        <w:rPr>
          <w:rFonts w:ascii="Times New Roman" w:hAnsi="Times New Roman" w:cs="Times New Roman"/>
          <w:sz w:val="24"/>
          <w:szCs w:val="24"/>
        </w:rPr>
        <w:t>, particularly the empirical-oriented scholarship,</w:t>
      </w:r>
      <w:r w:rsidR="00A32DD5">
        <w:rPr>
          <w:rFonts w:ascii="Times New Roman" w:hAnsi="Times New Roman" w:cs="Times New Roman"/>
          <w:sz w:val="24"/>
          <w:szCs w:val="24"/>
        </w:rPr>
        <w:t xml:space="preserve"> analyzing statutory </w:t>
      </w:r>
      <w:r w:rsidR="001F6309">
        <w:rPr>
          <w:rFonts w:ascii="Times New Roman" w:hAnsi="Times New Roman" w:cs="Times New Roman"/>
          <w:sz w:val="24"/>
          <w:szCs w:val="24"/>
        </w:rPr>
        <w:t xml:space="preserve">methods </w:t>
      </w:r>
      <w:r w:rsidR="00A32DD5">
        <w:rPr>
          <w:rFonts w:ascii="Times New Roman" w:hAnsi="Times New Roman" w:cs="Times New Roman"/>
          <w:sz w:val="24"/>
          <w:szCs w:val="24"/>
        </w:rPr>
        <w:t>f</w:t>
      </w:r>
      <w:r w:rsidR="00DA7650" w:rsidRPr="00FC6F7D">
        <w:rPr>
          <w:rFonts w:ascii="Times New Roman" w:hAnsi="Times New Roman" w:cs="Times New Roman"/>
          <w:sz w:val="24"/>
          <w:szCs w:val="24"/>
        </w:rPr>
        <w:t>alls</w:t>
      </w:r>
      <w:r w:rsidR="00E834F7">
        <w:rPr>
          <w:rFonts w:ascii="Times New Roman" w:hAnsi="Times New Roman" w:cs="Times New Roman"/>
          <w:sz w:val="24"/>
          <w:szCs w:val="24"/>
        </w:rPr>
        <w:t xml:space="preserve"> into two</w:t>
      </w:r>
      <w:r>
        <w:rPr>
          <w:rFonts w:ascii="Times New Roman" w:hAnsi="Times New Roman" w:cs="Times New Roman"/>
          <w:sz w:val="24"/>
          <w:szCs w:val="24"/>
        </w:rPr>
        <w:t xml:space="preserve"> </w:t>
      </w:r>
      <w:r w:rsidR="00A32DD5">
        <w:rPr>
          <w:rFonts w:ascii="Times New Roman" w:hAnsi="Times New Roman" w:cs="Times New Roman"/>
          <w:sz w:val="24"/>
          <w:szCs w:val="24"/>
        </w:rPr>
        <w:t>camps.</w:t>
      </w:r>
      <w:bookmarkStart w:id="14" w:name="_Ref460547532"/>
      <w:r w:rsidR="00B9356F" w:rsidRPr="00FC6F7D">
        <w:rPr>
          <w:rStyle w:val="FootnoteReference"/>
          <w:rFonts w:ascii="Times New Roman" w:hAnsi="Times New Roman" w:cs="Times New Roman"/>
          <w:sz w:val="24"/>
          <w:szCs w:val="24"/>
        </w:rPr>
        <w:footnoteReference w:id="60"/>
      </w:r>
      <w:bookmarkEnd w:id="14"/>
      <w:r w:rsidR="0079758B">
        <w:rPr>
          <w:rFonts w:ascii="Times New Roman" w:hAnsi="Times New Roman" w:cs="Times New Roman"/>
          <w:sz w:val="24"/>
          <w:szCs w:val="24"/>
        </w:rPr>
        <w:t xml:space="preserve"> </w:t>
      </w:r>
      <w:r w:rsidR="006824AF">
        <w:rPr>
          <w:rFonts w:ascii="Times New Roman" w:hAnsi="Times New Roman" w:cs="Times New Roman"/>
          <w:sz w:val="24"/>
          <w:szCs w:val="24"/>
        </w:rPr>
        <w:t xml:space="preserve">Traditionally, </w:t>
      </w:r>
      <w:r w:rsidR="0079758B">
        <w:rPr>
          <w:rFonts w:ascii="Times New Roman" w:hAnsi="Times New Roman" w:cs="Times New Roman"/>
          <w:sz w:val="24"/>
          <w:szCs w:val="24"/>
        </w:rPr>
        <w:t xml:space="preserve">scholars </w:t>
      </w:r>
      <w:r w:rsidR="002D6C12">
        <w:rPr>
          <w:rFonts w:ascii="Times New Roman" w:hAnsi="Times New Roman" w:cs="Times New Roman"/>
          <w:sz w:val="24"/>
          <w:szCs w:val="24"/>
        </w:rPr>
        <w:t>focus the</w:t>
      </w:r>
      <w:r w:rsidR="008002AB">
        <w:rPr>
          <w:rFonts w:ascii="Times New Roman" w:hAnsi="Times New Roman" w:cs="Times New Roman"/>
          <w:sz w:val="24"/>
          <w:szCs w:val="24"/>
        </w:rPr>
        <w:t>ir</w:t>
      </w:r>
      <w:r w:rsidR="002D6C12">
        <w:rPr>
          <w:rFonts w:ascii="Times New Roman" w:hAnsi="Times New Roman" w:cs="Times New Roman"/>
          <w:sz w:val="24"/>
          <w:szCs w:val="24"/>
        </w:rPr>
        <w:t xml:space="preserve"> empirical study on how the </w:t>
      </w:r>
      <w:r w:rsidR="00CA770B">
        <w:rPr>
          <w:rFonts w:ascii="Times New Roman" w:hAnsi="Times New Roman" w:cs="Times New Roman"/>
          <w:sz w:val="24"/>
          <w:szCs w:val="24"/>
        </w:rPr>
        <w:t>Supreme Court interprets statutes</w:t>
      </w:r>
      <w:r w:rsidR="0079758B" w:rsidRPr="00FC6F7D">
        <w:rPr>
          <w:rFonts w:ascii="Times New Roman" w:hAnsi="Times New Roman" w:cs="Times New Roman"/>
          <w:sz w:val="24"/>
          <w:szCs w:val="24"/>
        </w:rPr>
        <w:t>.</w:t>
      </w:r>
      <w:r w:rsidRPr="00FC6F7D">
        <w:rPr>
          <w:rStyle w:val="FootnoteReference"/>
          <w:rFonts w:ascii="Times New Roman" w:hAnsi="Times New Roman" w:cs="Times New Roman"/>
          <w:sz w:val="24"/>
          <w:szCs w:val="24"/>
        </w:rPr>
        <w:footnoteReference w:id="61"/>
      </w:r>
      <w:r w:rsidRPr="00FC6F7D">
        <w:rPr>
          <w:rFonts w:ascii="Times New Roman" w:hAnsi="Times New Roman" w:cs="Times New Roman"/>
          <w:sz w:val="24"/>
          <w:szCs w:val="24"/>
        </w:rPr>
        <w:t xml:space="preserve"> </w:t>
      </w:r>
      <w:r w:rsidR="00C639CD">
        <w:rPr>
          <w:rFonts w:ascii="Times New Roman" w:hAnsi="Times New Roman" w:cs="Times New Roman"/>
          <w:sz w:val="24"/>
          <w:szCs w:val="24"/>
        </w:rPr>
        <w:t xml:space="preserve">In the past few years, </w:t>
      </w:r>
      <w:r w:rsidR="0064287A">
        <w:rPr>
          <w:rFonts w:ascii="Times New Roman" w:hAnsi="Times New Roman" w:cs="Times New Roman"/>
          <w:sz w:val="24"/>
          <w:szCs w:val="24"/>
        </w:rPr>
        <w:t xml:space="preserve">however, </w:t>
      </w:r>
      <w:r w:rsidR="00C639CD">
        <w:rPr>
          <w:rFonts w:ascii="Times New Roman" w:hAnsi="Times New Roman" w:cs="Times New Roman"/>
          <w:sz w:val="24"/>
          <w:szCs w:val="24"/>
        </w:rPr>
        <w:t>scholars have shifted t</w:t>
      </w:r>
      <w:r w:rsidR="000C4B1B">
        <w:rPr>
          <w:rFonts w:ascii="Times New Roman" w:hAnsi="Times New Roman" w:cs="Times New Roman"/>
          <w:sz w:val="24"/>
          <w:szCs w:val="24"/>
        </w:rPr>
        <w:t>he focus beyond the Supreme Court to</w:t>
      </w:r>
      <w:r w:rsidR="00063020">
        <w:rPr>
          <w:rFonts w:ascii="Times New Roman" w:hAnsi="Times New Roman" w:cs="Times New Roman"/>
          <w:sz w:val="24"/>
          <w:szCs w:val="24"/>
        </w:rPr>
        <w:t xml:space="preserve"> </w:t>
      </w:r>
      <w:r>
        <w:rPr>
          <w:rFonts w:ascii="Times New Roman" w:hAnsi="Times New Roman" w:cs="Times New Roman"/>
          <w:sz w:val="24"/>
          <w:szCs w:val="24"/>
        </w:rPr>
        <w:t>asses</w:t>
      </w:r>
      <w:r w:rsidR="0079362B">
        <w:rPr>
          <w:rFonts w:ascii="Times New Roman" w:hAnsi="Times New Roman" w:cs="Times New Roman"/>
          <w:sz w:val="24"/>
          <w:szCs w:val="24"/>
        </w:rPr>
        <w:t>s</w:t>
      </w:r>
      <w:r>
        <w:rPr>
          <w:rFonts w:ascii="Times New Roman" w:hAnsi="Times New Roman" w:cs="Times New Roman"/>
          <w:sz w:val="24"/>
          <w:szCs w:val="24"/>
        </w:rPr>
        <w:t xml:space="preserve"> in a quantitative fashion</w:t>
      </w:r>
      <w:r w:rsidR="00063020">
        <w:rPr>
          <w:rFonts w:ascii="Times New Roman" w:hAnsi="Times New Roman" w:cs="Times New Roman"/>
          <w:sz w:val="24"/>
          <w:szCs w:val="24"/>
        </w:rPr>
        <w:t xml:space="preserve"> how administrative agencies interpret statutes</w:t>
      </w:r>
      <w:r w:rsidR="00C639CD">
        <w:rPr>
          <w:rFonts w:ascii="Times New Roman" w:hAnsi="Times New Roman" w:cs="Times New Roman"/>
          <w:sz w:val="24"/>
          <w:szCs w:val="24"/>
        </w:rPr>
        <w:t>.</w:t>
      </w:r>
      <w:r w:rsidR="00AB0633">
        <w:rPr>
          <w:rStyle w:val="FootnoteReference"/>
          <w:rFonts w:ascii="Times New Roman" w:hAnsi="Times New Roman" w:cs="Times New Roman"/>
          <w:sz w:val="24"/>
          <w:szCs w:val="24"/>
        </w:rPr>
        <w:footnoteReference w:id="62"/>
      </w:r>
      <w:r w:rsidR="00C639CD">
        <w:rPr>
          <w:rFonts w:ascii="Times New Roman" w:hAnsi="Times New Roman" w:cs="Times New Roman"/>
          <w:sz w:val="24"/>
          <w:szCs w:val="24"/>
        </w:rPr>
        <w:t xml:space="preserve"> </w:t>
      </w:r>
      <w:r w:rsidR="00DE142F">
        <w:rPr>
          <w:rFonts w:ascii="Times New Roman" w:hAnsi="Times New Roman" w:cs="Times New Roman"/>
          <w:sz w:val="24"/>
          <w:szCs w:val="24"/>
        </w:rPr>
        <w:t xml:space="preserve">Some </w:t>
      </w:r>
      <w:r w:rsidR="00DA7650" w:rsidRPr="00FC6F7D">
        <w:rPr>
          <w:rFonts w:ascii="Times New Roman" w:hAnsi="Times New Roman" w:cs="Times New Roman"/>
          <w:sz w:val="24"/>
          <w:szCs w:val="24"/>
        </w:rPr>
        <w:t>investigate how administrative agencies interpret statutes through the use of surveys asked of administrators and congressional staff</w:t>
      </w:r>
      <w:r w:rsidR="008B3B64">
        <w:rPr>
          <w:rFonts w:ascii="Times New Roman" w:hAnsi="Times New Roman" w:cs="Times New Roman"/>
          <w:sz w:val="24"/>
          <w:szCs w:val="24"/>
        </w:rPr>
        <w:t>,</w:t>
      </w:r>
      <w:r w:rsidR="00DA7650">
        <w:rPr>
          <w:rStyle w:val="FootnoteReference"/>
          <w:rFonts w:ascii="Times New Roman" w:hAnsi="Times New Roman" w:cs="Times New Roman"/>
          <w:sz w:val="24"/>
          <w:szCs w:val="24"/>
        </w:rPr>
        <w:footnoteReference w:id="63"/>
      </w:r>
      <w:r w:rsidR="00DA7650" w:rsidRPr="00FC6F7D">
        <w:rPr>
          <w:rFonts w:ascii="Times New Roman" w:hAnsi="Times New Roman" w:cs="Times New Roman"/>
          <w:sz w:val="24"/>
          <w:szCs w:val="24"/>
        </w:rPr>
        <w:t xml:space="preserve"> </w:t>
      </w:r>
      <w:r w:rsidR="008B3B64">
        <w:rPr>
          <w:rFonts w:ascii="Times New Roman" w:hAnsi="Times New Roman" w:cs="Times New Roman"/>
          <w:sz w:val="24"/>
          <w:szCs w:val="24"/>
        </w:rPr>
        <w:t xml:space="preserve">while others embark on a more </w:t>
      </w:r>
      <w:r w:rsidR="008B3B64">
        <w:rPr>
          <w:rFonts w:ascii="Times New Roman" w:hAnsi="Times New Roman" w:cs="Times New Roman"/>
          <w:sz w:val="24"/>
          <w:szCs w:val="24"/>
        </w:rPr>
        <w:lastRenderedPageBreak/>
        <w:t>qualitative analysis of agency-sp</w:t>
      </w:r>
      <w:r w:rsidR="00516C3D">
        <w:rPr>
          <w:rFonts w:ascii="Times New Roman" w:hAnsi="Times New Roman" w:cs="Times New Roman"/>
          <w:sz w:val="24"/>
          <w:szCs w:val="24"/>
        </w:rPr>
        <w:t xml:space="preserve">ecific statutory interpretations, </w:t>
      </w:r>
      <w:r w:rsidR="00516C3D" w:rsidRPr="00FC6F7D">
        <w:rPr>
          <w:rFonts w:ascii="Times New Roman" w:hAnsi="Times New Roman" w:cs="Times New Roman"/>
          <w:sz w:val="24"/>
          <w:szCs w:val="24"/>
        </w:rPr>
        <w:t>picking out a few examples of actual cases to illustrate given points.</w:t>
      </w:r>
      <w:bookmarkStart w:id="15" w:name="_Ref460643326"/>
      <w:r w:rsidR="00516C3D" w:rsidRPr="00FC6F7D">
        <w:rPr>
          <w:rStyle w:val="FootnoteReference"/>
          <w:rFonts w:ascii="Times New Roman" w:hAnsi="Times New Roman" w:cs="Times New Roman"/>
          <w:sz w:val="24"/>
          <w:szCs w:val="24"/>
        </w:rPr>
        <w:footnoteReference w:id="64"/>
      </w:r>
      <w:bookmarkEnd w:id="15"/>
      <w:r w:rsidR="00516C3D" w:rsidRPr="00FC6F7D">
        <w:rPr>
          <w:rFonts w:ascii="Times New Roman" w:hAnsi="Times New Roman" w:cs="Times New Roman"/>
          <w:sz w:val="24"/>
          <w:szCs w:val="24"/>
        </w:rPr>
        <w:t xml:space="preserve"> </w:t>
      </w:r>
      <w:r w:rsidRPr="00FC6F7D">
        <w:rPr>
          <w:rFonts w:ascii="Times New Roman" w:hAnsi="Times New Roman" w:cs="Times New Roman"/>
          <w:sz w:val="24"/>
          <w:szCs w:val="24"/>
        </w:rPr>
        <w:t xml:space="preserve">No study has yet merged the various lines of inquiry to see how </w:t>
      </w:r>
      <w:r w:rsidR="00664218">
        <w:rPr>
          <w:rFonts w:ascii="Times New Roman" w:hAnsi="Times New Roman" w:cs="Times New Roman"/>
          <w:sz w:val="24"/>
          <w:szCs w:val="24"/>
        </w:rPr>
        <w:t xml:space="preserve">administrative agencies </w:t>
      </w:r>
      <w:r w:rsidR="00E05A56">
        <w:rPr>
          <w:rFonts w:ascii="Times New Roman" w:hAnsi="Times New Roman" w:cs="Times New Roman"/>
          <w:sz w:val="24"/>
          <w:szCs w:val="24"/>
        </w:rPr>
        <w:t xml:space="preserve">use </w:t>
      </w:r>
      <w:r w:rsidR="001F6309">
        <w:rPr>
          <w:rFonts w:ascii="Times New Roman" w:hAnsi="Times New Roman" w:cs="Times New Roman"/>
          <w:sz w:val="24"/>
          <w:szCs w:val="24"/>
        </w:rPr>
        <w:t>statutory methods</w:t>
      </w:r>
      <w:r w:rsidRPr="00FC6F7D">
        <w:rPr>
          <w:rFonts w:ascii="Times New Roman" w:hAnsi="Times New Roman" w:cs="Times New Roman"/>
          <w:sz w:val="24"/>
          <w:szCs w:val="24"/>
        </w:rPr>
        <w:t xml:space="preserve"> in their day-to-day decision</w:t>
      </w:r>
      <w:r w:rsidR="00F05479">
        <w:rPr>
          <w:rFonts w:ascii="Times New Roman" w:hAnsi="Times New Roman" w:cs="Times New Roman"/>
          <w:sz w:val="24"/>
          <w:szCs w:val="24"/>
        </w:rPr>
        <w:t>-</w:t>
      </w:r>
      <w:r w:rsidRPr="00FC6F7D">
        <w:rPr>
          <w:rFonts w:ascii="Times New Roman" w:hAnsi="Times New Roman" w:cs="Times New Roman"/>
          <w:sz w:val="24"/>
          <w:szCs w:val="24"/>
        </w:rPr>
        <w:t>making in any sort of systematic way. Moreover, no study has examined how political principals (such as higher-level appellate courts) charged to oversee the legal decision</w:t>
      </w:r>
      <w:r w:rsidR="00F05479">
        <w:rPr>
          <w:rFonts w:ascii="Times New Roman" w:hAnsi="Times New Roman" w:cs="Times New Roman"/>
          <w:sz w:val="24"/>
          <w:szCs w:val="24"/>
        </w:rPr>
        <w:t>-</w:t>
      </w:r>
      <w:r w:rsidRPr="00FC6F7D">
        <w:rPr>
          <w:rFonts w:ascii="Times New Roman" w:hAnsi="Times New Roman" w:cs="Times New Roman"/>
          <w:sz w:val="24"/>
          <w:szCs w:val="24"/>
        </w:rPr>
        <w:t>making body oversee the use of statutory canons employed by the decision</w:t>
      </w:r>
      <w:r w:rsidR="00F05479">
        <w:rPr>
          <w:rFonts w:ascii="Times New Roman" w:hAnsi="Times New Roman" w:cs="Times New Roman"/>
          <w:sz w:val="24"/>
          <w:szCs w:val="24"/>
        </w:rPr>
        <w:t>-</w:t>
      </w:r>
      <w:r w:rsidR="008002AB">
        <w:rPr>
          <w:rFonts w:ascii="Times New Roman" w:hAnsi="Times New Roman" w:cs="Times New Roman"/>
          <w:sz w:val="24"/>
          <w:szCs w:val="24"/>
        </w:rPr>
        <w:t>maker.</w:t>
      </w:r>
    </w:p>
    <w:p w14:paraId="52EB7877" w14:textId="3A3617AA" w:rsidR="005A4A8B" w:rsidRPr="00056D6E" w:rsidRDefault="005A4A8B" w:rsidP="001D5DAE">
      <w:pPr>
        <w:pStyle w:val="ListParagraph"/>
        <w:numPr>
          <w:ilvl w:val="0"/>
          <w:numId w:val="11"/>
        </w:numPr>
        <w:spacing w:after="0" w:line="480" w:lineRule="auto"/>
        <w:rPr>
          <w:rFonts w:ascii="Times New Roman" w:hAnsi="Times New Roman" w:cs="Times New Roman"/>
          <w:b/>
          <w:sz w:val="24"/>
          <w:szCs w:val="24"/>
        </w:rPr>
      </w:pPr>
      <w:r w:rsidRPr="00056D6E">
        <w:rPr>
          <w:rFonts w:ascii="Times New Roman" w:hAnsi="Times New Roman" w:cs="Times New Roman"/>
          <w:b/>
          <w:sz w:val="24"/>
          <w:szCs w:val="24"/>
        </w:rPr>
        <w:t>Statutory Analysis of Supreme Court Decisions</w:t>
      </w:r>
    </w:p>
    <w:p w14:paraId="1FDE695E" w14:textId="16851509" w:rsidR="00F05479" w:rsidRDefault="008571B5" w:rsidP="00B935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have been many excellent studies of statutory analysis at the Supreme Court</w:t>
      </w:r>
      <w:r w:rsidR="008002AB">
        <w:rPr>
          <w:rFonts w:ascii="Times New Roman" w:hAnsi="Times New Roman" w:cs="Times New Roman"/>
          <w:sz w:val="24"/>
          <w:szCs w:val="24"/>
        </w:rPr>
        <w:t xml:space="preserve"> and the federal courts generally</w:t>
      </w:r>
      <w:r w:rsidR="00F756D3">
        <w:rPr>
          <w:rFonts w:ascii="Times New Roman" w:hAnsi="Times New Roman" w:cs="Times New Roman"/>
          <w:sz w:val="24"/>
          <w:szCs w:val="24"/>
        </w:rPr>
        <w:t>, with most of the analysis focused on deference as opposed to statutory construction</w:t>
      </w:r>
      <w:r>
        <w:rPr>
          <w:rFonts w:ascii="Times New Roman" w:hAnsi="Times New Roman" w:cs="Times New Roman"/>
          <w:sz w:val="24"/>
          <w:szCs w:val="24"/>
        </w:rPr>
        <w:t>. William Eskridge and Lauren</w:t>
      </w:r>
      <w:r w:rsidR="009C0D6E">
        <w:rPr>
          <w:rFonts w:ascii="Times New Roman" w:hAnsi="Times New Roman" w:cs="Times New Roman"/>
          <w:sz w:val="24"/>
          <w:szCs w:val="24"/>
        </w:rPr>
        <w:t xml:space="preserve"> Bauer compiled a comprehensive dataset of Supreme Court decisions involving a statutory interpretation issue between the time </w:t>
      </w:r>
      <w:r w:rsidR="009C0D6E" w:rsidRPr="00A7195E">
        <w:rPr>
          <w:rFonts w:ascii="Times New Roman" w:hAnsi="Times New Roman" w:cs="Times New Roman"/>
          <w:i/>
          <w:sz w:val="24"/>
          <w:szCs w:val="24"/>
        </w:rPr>
        <w:t>Chevron</w:t>
      </w:r>
      <w:r w:rsidR="009C0D6E">
        <w:rPr>
          <w:rFonts w:ascii="Times New Roman" w:hAnsi="Times New Roman" w:cs="Times New Roman"/>
          <w:sz w:val="24"/>
          <w:szCs w:val="24"/>
        </w:rPr>
        <w:t xml:space="preserve"> was decided in 1984 and the end of 2005</w:t>
      </w:r>
      <w:r>
        <w:rPr>
          <w:rFonts w:ascii="Times New Roman" w:hAnsi="Times New Roman" w:cs="Times New Roman"/>
          <w:sz w:val="24"/>
          <w:szCs w:val="24"/>
        </w:rPr>
        <w:t>.</w:t>
      </w:r>
      <w:bookmarkStart w:id="16" w:name="_Ref460640140"/>
      <w:r w:rsidR="00921CAE">
        <w:rPr>
          <w:rStyle w:val="FootnoteReference"/>
          <w:rFonts w:ascii="Times New Roman" w:hAnsi="Times New Roman" w:cs="Times New Roman"/>
          <w:sz w:val="24"/>
          <w:szCs w:val="24"/>
        </w:rPr>
        <w:footnoteReference w:id="65"/>
      </w:r>
      <w:bookmarkEnd w:id="16"/>
      <w:r w:rsidR="001D3D8F">
        <w:rPr>
          <w:rFonts w:ascii="Times New Roman" w:hAnsi="Times New Roman" w:cs="Times New Roman"/>
          <w:sz w:val="24"/>
          <w:szCs w:val="24"/>
        </w:rPr>
        <w:t xml:space="preserve"> </w:t>
      </w:r>
      <w:r w:rsidR="009C0D6E">
        <w:rPr>
          <w:rFonts w:ascii="Times New Roman" w:hAnsi="Times New Roman" w:cs="Times New Roman"/>
          <w:sz w:val="24"/>
          <w:szCs w:val="24"/>
        </w:rPr>
        <w:t>They found no evidence to indicate when the Court will invoke particular deference regimes</w:t>
      </w:r>
      <w:r w:rsidR="00F756D3">
        <w:rPr>
          <w:rFonts w:ascii="Times New Roman" w:hAnsi="Times New Roman" w:cs="Times New Roman"/>
          <w:sz w:val="24"/>
          <w:szCs w:val="24"/>
        </w:rPr>
        <w:t xml:space="preserve"> in whether to defer to the agency</w:t>
      </w:r>
      <w:r w:rsidR="009C0D6E">
        <w:rPr>
          <w:rFonts w:ascii="Times New Roman" w:hAnsi="Times New Roman" w:cs="Times New Roman"/>
          <w:sz w:val="24"/>
          <w:szCs w:val="24"/>
        </w:rPr>
        <w:t>.</w:t>
      </w:r>
      <w:r w:rsidR="009C0D6E">
        <w:rPr>
          <w:rStyle w:val="FootnoteReference"/>
          <w:rFonts w:ascii="Times New Roman" w:hAnsi="Times New Roman" w:cs="Times New Roman"/>
          <w:sz w:val="24"/>
          <w:szCs w:val="24"/>
        </w:rPr>
        <w:footnoteReference w:id="66"/>
      </w:r>
      <w:r w:rsidR="009C0D6E">
        <w:rPr>
          <w:rFonts w:ascii="Times New Roman" w:hAnsi="Times New Roman" w:cs="Times New Roman"/>
          <w:sz w:val="24"/>
          <w:szCs w:val="24"/>
        </w:rPr>
        <w:t xml:space="preserve"> </w:t>
      </w:r>
      <w:r w:rsidR="001D3D8F">
        <w:rPr>
          <w:rFonts w:ascii="Times New Roman" w:hAnsi="Times New Roman" w:cs="Times New Roman"/>
          <w:sz w:val="24"/>
          <w:szCs w:val="24"/>
        </w:rPr>
        <w:t>Moreover, there have been many</w:t>
      </w:r>
      <w:r w:rsidR="00A7195E">
        <w:rPr>
          <w:rFonts w:ascii="Times New Roman" w:hAnsi="Times New Roman" w:cs="Times New Roman"/>
          <w:sz w:val="24"/>
          <w:szCs w:val="24"/>
        </w:rPr>
        <w:t xml:space="preserve"> follow-up</w:t>
      </w:r>
      <w:r w:rsidR="001D3D8F">
        <w:rPr>
          <w:rFonts w:ascii="Times New Roman" w:hAnsi="Times New Roman" w:cs="Times New Roman"/>
          <w:sz w:val="24"/>
          <w:szCs w:val="24"/>
        </w:rPr>
        <w:t xml:space="preserve"> studies studying how federal courts apply </w:t>
      </w:r>
      <w:r w:rsidR="001D3D8F" w:rsidRPr="008002AB">
        <w:rPr>
          <w:rFonts w:ascii="Times New Roman" w:hAnsi="Times New Roman" w:cs="Times New Roman"/>
          <w:i/>
          <w:sz w:val="24"/>
          <w:szCs w:val="24"/>
        </w:rPr>
        <w:t>Chevron</w:t>
      </w:r>
      <w:r w:rsidR="001D3D8F">
        <w:rPr>
          <w:rFonts w:ascii="Times New Roman" w:hAnsi="Times New Roman" w:cs="Times New Roman"/>
          <w:sz w:val="24"/>
          <w:szCs w:val="24"/>
        </w:rPr>
        <w:t>.</w:t>
      </w:r>
      <w:r w:rsidR="001D3D8F">
        <w:rPr>
          <w:rStyle w:val="FootnoteReference"/>
          <w:rFonts w:ascii="Times New Roman" w:hAnsi="Times New Roman" w:cs="Times New Roman"/>
          <w:sz w:val="24"/>
          <w:szCs w:val="24"/>
        </w:rPr>
        <w:footnoteReference w:id="67"/>
      </w:r>
      <w:r w:rsidR="001D3D8F">
        <w:rPr>
          <w:rFonts w:ascii="Times New Roman" w:hAnsi="Times New Roman" w:cs="Times New Roman"/>
          <w:sz w:val="24"/>
          <w:szCs w:val="24"/>
        </w:rPr>
        <w:t xml:space="preserve"> </w:t>
      </w:r>
      <w:r w:rsidR="00B9356F">
        <w:rPr>
          <w:rFonts w:ascii="Times New Roman" w:hAnsi="Times New Roman" w:cs="Times New Roman"/>
          <w:sz w:val="24"/>
          <w:szCs w:val="24"/>
        </w:rPr>
        <w:t xml:space="preserve"> </w:t>
      </w:r>
    </w:p>
    <w:p w14:paraId="09273E5F" w14:textId="77777777" w:rsidR="00297D38" w:rsidRDefault="00F756D3" w:rsidP="00B935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addition to the </w:t>
      </w:r>
      <w:r>
        <w:rPr>
          <w:rFonts w:ascii="Times New Roman" w:hAnsi="Times New Roman" w:cs="Times New Roman"/>
          <w:i/>
          <w:sz w:val="24"/>
          <w:szCs w:val="24"/>
        </w:rPr>
        <w:t>Chevron-</w:t>
      </w:r>
      <w:r>
        <w:rPr>
          <w:rFonts w:ascii="Times New Roman" w:hAnsi="Times New Roman" w:cs="Times New Roman"/>
          <w:sz w:val="24"/>
          <w:szCs w:val="24"/>
        </w:rPr>
        <w:t>inspired literature, a</w:t>
      </w:r>
      <w:r w:rsidR="004E5B13">
        <w:rPr>
          <w:rFonts w:ascii="Times New Roman" w:hAnsi="Times New Roman" w:cs="Times New Roman"/>
          <w:sz w:val="24"/>
          <w:szCs w:val="24"/>
        </w:rPr>
        <w:t>nother strain of the literature looks at how federal judges use tools of statutory construction, such as canons and legislative history, to assess how those sources constrain judges from reaching outcomes in apposite to what one would predict from looking at their political background. In a book, Frank Cross tested plain meaning and legislative history methods finding that legislative history was more constraining than plain meaning.</w:t>
      </w:r>
      <w:r w:rsidR="004E5B13">
        <w:rPr>
          <w:rStyle w:val="FootnoteReference"/>
          <w:rFonts w:ascii="Times New Roman" w:hAnsi="Times New Roman" w:cs="Times New Roman"/>
          <w:sz w:val="24"/>
          <w:szCs w:val="24"/>
        </w:rPr>
        <w:footnoteReference w:id="68"/>
      </w:r>
      <w:r w:rsidR="004E5B13">
        <w:rPr>
          <w:rFonts w:ascii="Times New Roman" w:hAnsi="Times New Roman" w:cs="Times New Roman"/>
          <w:sz w:val="24"/>
          <w:szCs w:val="24"/>
        </w:rPr>
        <w:t xml:space="preserve"> </w:t>
      </w:r>
      <w:r w:rsidR="008A0D15">
        <w:rPr>
          <w:rFonts w:ascii="Times New Roman" w:hAnsi="Times New Roman" w:cs="Times New Roman"/>
          <w:sz w:val="24"/>
          <w:szCs w:val="24"/>
        </w:rPr>
        <w:t>He also found a marked increase in the use of pragmatism in the federal circuit courts.</w:t>
      </w:r>
      <w:r w:rsidR="008A0D15">
        <w:rPr>
          <w:rStyle w:val="FootnoteReference"/>
          <w:rFonts w:ascii="Times New Roman" w:hAnsi="Times New Roman" w:cs="Times New Roman"/>
          <w:sz w:val="24"/>
          <w:szCs w:val="24"/>
        </w:rPr>
        <w:footnoteReference w:id="69"/>
      </w:r>
      <w:r w:rsidR="008A0D15">
        <w:rPr>
          <w:rFonts w:ascii="Times New Roman" w:hAnsi="Times New Roman" w:cs="Times New Roman"/>
          <w:sz w:val="24"/>
          <w:szCs w:val="24"/>
        </w:rPr>
        <w:t xml:space="preserve"> </w:t>
      </w:r>
      <w:r w:rsidR="00297D38">
        <w:rPr>
          <w:rFonts w:ascii="Times New Roman" w:hAnsi="Times New Roman" w:cs="Times New Roman"/>
          <w:sz w:val="24"/>
          <w:szCs w:val="24"/>
        </w:rPr>
        <w:t>Cross further traced the use of linguistic canons over time and that found a distinct increase in their usage between 1990 and 2000, a period that corresponded to the time when the use of legislative history was on the decline.</w:t>
      </w:r>
      <w:r w:rsidR="00297D38">
        <w:rPr>
          <w:rStyle w:val="FootnoteReference"/>
          <w:rFonts w:ascii="Times New Roman" w:hAnsi="Times New Roman" w:cs="Times New Roman"/>
          <w:sz w:val="24"/>
          <w:szCs w:val="24"/>
        </w:rPr>
        <w:footnoteReference w:id="70"/>
      </w:r>
      <w:r w:rsidR="00297D38">
        <w:rPr>
          <w:rFonts w:ascii="Times New Roman" w:hAnsi="Times New Roman" w:cs="Times New Roman"/>
          <w:sz w:val="24"/>
          <w:szCs w:val="24"/>
        </w:rPr>
        <w:t xml:space="preserve"> </w:t>
      </w:r>
    </w:p>
    <w:p w14:paraId="49687DA9" w14:textId="41906953" w:rsidR="00F06378" w:rsidRPr="00FC6F7D" w:rsidRDefault="001D5DAE" w:rsidP="00B935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few of the studies look</w:t>
      </w:r>
      <w:r w:rsidR="008571B5">
        <w:rPr>
          <w:rFonts w:ascii="Times New Roman" w:hAnsi="Times New Roman" w:cs="Times New Roman"/>
          <w:sz w:val="24"/>
          <w:szCs w:val="24"/>
        </w:rPr>
        <w:t xml:space="preserve"> specifically at interpretive canons, and in particular, rates of dueling canons in majority and dissenting opinions. </w:t>
      </w:r>
      <w:r w:rsidR="00F06378" w:rsidRPr="00FC6F7D">
        <w:rPr>
          <w:rFonts w:ascii="Times New Roman" w:hAnsi="Times New Roman" w:cs="Times New Roman"/>
          <w:sz w:val="24"/>
          <w:szCs w:val="24"/>
        </w:rPr>
        <w:t>One study, by James Brudney and Corey Ditslear, looked at interpretive canons in every Supreme Court decision in workplace matters from 1969-2003.</w:t>
      </w:r>
      <w:r w:rsidR="003678EA">
        <w:rPr>
          <w:rStyle w:val="FootnoteReference"/>
          <w:rFonts w:ascii="Times New Roman" w:hAnsi="Times New Roman" w:cs="Times New Roman"/>
          <w:sz w:val="24"/>
          <w:szCs w:val="24"/>
        </w:rPr>
        <w:footnoteReference w:id="71"/>
      </w:r>
      <w:r w:rsidR="00F06378" w:rsidRPr="00FC6F7D">
        <w:rPr>
          <w:rFonts w:ascii="Times New Roman" w:hAnsi="Times New Roman" w:cs="Times New Roman"/>
          <w:sz w:val="24"/>
          <w:szCs w:val="24"/>
        </w:rPr>
        <w:t xml:space="preserve"> In the limited subject matter studied, they notably found there to be no relationship between ideology and the canons employed </w:t>
      </w:r>
      <w:r w:rsidR="003678EA">
        <w:rPr>
          <w:rFonts w:ascii="Times New Roman" w:hAnsi="Times New Roman" w:cs="Times New Roman"/>
          <w:sz w:val="24"/>
          <w:szCs w:val="24"/>
        </w:rPr>
        <w:t>by a justice, concluding that “</w:t>
      </w:r>
      <w:r w:rsidR="00F06378" w:rsidRPr="00FC6F7D">
        <w:rPr>
          <w:rFonts w:ascii="Times New Roman" w:hAnsi="Times New Roman" w:cs="Times New Roman"/>
          <w:sz w:val="24"/>
          <w:szCs w:val="24"/>
        </w:rPr>
        <w:t>in divided decisions, the Justices themselves are more prone to view the canons as reasonable amenable to supporting either side.”</w:t>
      </w:r>
      <w:r w:rsidR="003678EA">
        <w:rPr>
          <w:rStyle w:val="FootnoteReference"/>
          <w:rFonts w:ascii="Times New Roman" w:hAnsi="Times New Roman" w:cs="Times New Roman"/>
          <w:sz w:val="24"/>
          <w:szCs w:val="24"/>
        </w:rPr>
        <w:footnoteReference w:id="72"/>
      </w:r>
      <w:r w:rsidR="00F06378" w:rsidRPr="00FC6F7D">
        <w:rPr>
          <w:rFonts w:ascii="Times New Roman" w:hAnsi="Times New Roman" w:cs="Times New Roman"/>
          <w:sz w:val="24"/>
          <w:szCs w:val="24"/>
        </w:rPr>
        <w:t xml:space="preserve"> Nonetheless, the</w:t>
      </w:r>
      <w:r w:rsidR="00F756D3">
        <w:rPr>
          <w:rFonts w:ascii="Times New Roman" w:hAnsi="Times New Roman" w:cs="Times New Roman"/>
          <w:sz w:val="24"/>
          <w:szCs w:val="24"/>
        </w:rPr>
        <w:t>y</w:t>
      </w:r>
      <w:r w:rsidR="00F06378" w:rsidRPr="00FC6F7D">
        <w:rPr>
          <w:rFonts w:ascii="Times New Roman" w:hAnsi="Times New Roman" w:cs="Times New Roman"/>
          <w:sz w:val="24"/>
          <w:szCs w:val="24"/>
        </w:rPr>
        <w:t xml:space="preserve"> found that conservative justices tend to use canons to reach conservative outcomes, while liberal justices often use the same canon to reach a liberal result.</w:t>
      </w:r>
      <w:r w:rsidR="001F6309">
        <w:rPr>
          <w:rStyle w:val="FootnoteReference"/>
          <w:rFonts w:ascii="Times New Roman" w:hAnsi="Times New Roman" w:cs="Times New Roman"/>
          <w:sz w:val="24"/>
          <w:szCs w:val="24"/>
        </w:rPr>
        <w:footnoteReference w:id="73"/>
      </w:r>
      <w:r w:rsidR="00F06378" w:rsidRPr="00FC6F7D">
        <w:rPr>
          <w:rFonts w:ascii="Times New Roman" w:hAnsi="Times New Roman" w:cs="Times New Roman"/>
          <w:sz w:val="24"/>
          <w:szCs w:val="24"/>
        </w:rPr>
        <w:t xml:space="preserve"> In follow-up work, they narrowed their claim a bit, finding that liberal justices were </w:t>
      </w:r>
      <w:r w:rsidR="00F06378" w:rsidRPr="00FC6F7D">
        <w:rPr>
          <w:rFonts w:ascii="Times New Roman" w:hAnsi="Times New Roman" w:cs="Times New Roman"/>
          <w:sz w:val="24"/>
          <w:szCs w:val="24"/>
        </w:rPr>
        <w:lastRenderedPageBreak/>
        <w:t>more likely to vote in favor of employer interest when emp</w:t>
      </w:r>
      <w:r w:rsidR="00F06378">
        <w:rPr>
          <w:rFonts w:ascii="Times New Roman" w:hAnsi="Times New Roman" w:cs="Times New Roman"/>
          <w:sz w:val="24"/>
          <w:szCs w:val="24"/>
        </w:rPr>
        <w:t>loyi</w:t>
      </w:r>
      <w:r w:rsidR="00F06378" w:rsidRPr="00FC6F7D">
        <w:rPr>
          <w:rFonts w:ascii="Times New Roman" w:hAnsi="Times New Roman" w:cs="Times New Roman"/>
          <w:sz w:val="24"/>
          <w:szCs w:val="24"/>
        </w:rPr>
        <w:t>ng legislative history but that the use of canons and legislative history by conservatives was more mixed.</w:t>
      </w:r>
      <w:r w:rsidR="001F6309">
        <w:rPr>
          <w:rStyle w:val="FootnoteReference"/>
          <w:rFonts w:ascii="Times New Roman" w:hAnsi="Times New Roman" w:cs="Times New Roman"/>
          <w:sz w:val="24"/>
          <w:szCs w:val="24"/>
        </w:rPr>
        <w:footnoteReference w:id="74"/>
      </w:r>
      <w:r w:rsidR="001F6309" w:rsidRPr="00FC6F7D">
        <w:rPr>
          <w:rFonts w:ascii="Times New Roman" w:hAnsi="Times New Roman" w:cs="Times New Roman"/>
          <w:sz w:val="24"/>
          <w:szCs w:val="24"/>
        </w:rPr>
        <w:t xml:space="preserve"> </w:t>
      </w:r>
    </w:p>
    <w:p w14:paraId="3E4EA673" w14:textId="12605FCC" w:rsidR="00F06378" w:rsidRPr="00FC6F7D" w:rsidRDefault="00F06378" w:rsidP="00F06378">
      <w:pPr>
        <w:spacing w:after="0" w:line="480" w:lineRule="auto"/>
        <w:rPr>
          <w:rFonts w:ascii="Times New Roman" w:hAnsi="Times New Roman" w:cs="Times New Roman"/>
          <w:sz w:val="24"/>
          <w:szCs w:val="24"/>
        </w:rPr>
      </w:pPr>
      <w:r w:rsidRPr="00FC6F7D">
        <w:rPr>
          <w:rFonts w:ascii="Times New Roman" w:hAnsi="Times New Roman" w:cs="Times New Roman"/>
          <w:sz w:val="24"/>
          <w:szCs w:val="24"/>
        </w:rPr>
        <w:tab/>
        <w:t>Another study by David Law and David Zaring analyzes the use of legislative history in Supreme Court cases from 1953 to 2006.</w:t>
      </w:r>
      <w:r w:rsidR="001F6309">
        <w:rPr>
          <w:rStyle w:val="FootnoteReference"/>
          <w:rFonts w:ascii="Times New Roman" w:hAnsi="Times New Roman" w:cs="Times New Roman"/>
          <w:sz w:val="24"/>
          <w:szCs w:val="24"/>
        </w:rPr>
        <w:footnoteReference w:id="75"/>
      </w:r>
      <w:r w:rsidR="00796B4E">
        <w:rPr>
          <w:rFonts w:ascii="Times New Roman" w:hAnsi="Times New Roman" w:cs="Times New Roman"/>
          <w:sz w:val="24"/>
          <w:szCs w:val="24"/>
        </w:rPr>
        <w:t xml:space="preserve"> They looked at legal factors that impacted what made the Court rely on legislative history.</w:t>
      </w:r>
      <w:r w:rsidR="00796B4E">
        <w:rPr>
          <w:rStyle w:val="FootnoteReference"/>
          <w:rFonts w:ascii="Times New Roman" w:hAnsi="Times New Roman" w:cs="Times New Roman"/>
          <w:sz w:val="24"/>
          <w:szCs w:val="24"/>
        </w:rPr>
        <w:footnoteReference w:id="76"/>
      </w:r>
      <w:r w:rsidR="007C6A0A">
        <w:rPr>
          <w:rFonts w:ascii="Times New Roman" w:hAnsi="Times New Roman" w:cs="Times New Roman"/>
          <w:sz w:val="24"/>
          <w:szCs w:val="24"/>
        </w:rPr>
        <w:t xml:space="preserve"> </w:t>
      </w:r>
      <w:r w:rsidR="00796B4E">
        <w:rPr>
          <w:rFonts w:ascii="Times New Roman" w:hAnsi="Times New Roman" w:cs="Times New Roman"/>
          <w:sz w:val="24"/>
          <w:szCs w:val="24"/>
        </w:rPr>
        <w:t>They found that dissenting judges were more likely to cite legislative history when a majority opinion also cited legislative history, thus suggesting that judges are sensitive to their colleagues’ arguments.</w:t>
      </w:r>
      <w:r w:rsidR="00796B4E">
        <w:rPr>
          <w:rStyle w:val="FootnoteReference"/>
          <w:rFonts w:ascii="Times New Roman" w:hAnsi="Times New Roman" w:cs="Times New Roman"/>
          <w:sz w:val="24"/>
          <w:szCs w:val="24"/>
        </w:rPr>
        <w:footnoteReference w:id="77"/>
      </w:r>
    </w:p>
    <w:p w14:paraId="5BE05D4F" w14:textId="6EF23BF6" w:rsidR="00F06378" w:rsidRDefault="00F06378" w:rsidP="00F06378">
      <w:pPr>
        <w:spacing w:after="0" w:line="480" w:lineRule="auto"/>
        <w:rPr>
          <w:rFonts w:ascii="Times New Roman" w:hAnsi="Times New Roman" w:cs="Times New Roman"/>
          <w:sz w:val="24"/>
          <w:szCs w:val="24"/>
        </w:rPr>
      </w:pPr>
      <w:r w:rsidRPr="00FC6F7D">
        <w:rPr>
          <w:rFonts w:ascii="Times New Roman" w:hAnsi="Times New Roman" w:cs="Times New Roman"/>
          <w:sz w:val="24"/>
          <w:szCs w:val="24"/>
        </w:rPr>
        <w:tab/>
        <w:t>More recently, Anita K</w:t>
      </w:r>
      <w:r w:rsidR="00796B4E">
        <w:rPr>
          <w:rFonts w:ascii="Times New Roman" w:hAnsi="Times New Roman" w:cs="Times New Roman"/>
          <w:sz w:val="24"/>
          <w:szCs w:val="24"/>
        </w:rPr>
        <w:t>rishnakumar</w:t>
      </w:r>
      <w:r w:rsidRPr="00FC6F7D">
        <w:rPr>
          <w:rFonts w:ascii="Times New Roman" w:hAnsi="Times New Roman" w:cs="Times New Roman"/>
          <w:sz w:val="24"/>
          <w:szCs w:val="24"/>
        </w:rPr>
        <w:t xml:space="preserve"> analyzed the role that “dueling canons” played in Supreme Court decisions in the Roberts court from 2005 through 2010.</w:t>
      </w:r>
      <w:r w:rsidR="00A13E2D">
        <w:rPr>
          <w:rStyle w:val="FootnoteReference"/>
          <w:rFonts w:ascii="Times New Roman" w:hAnsi="Times New Roman" w:cs="Times New Roman"/>
          <w:sz w:val="24"/>
          <w:szCs w:val="24"/>
        </w:rPr>
        <w:footnoteReference w:id="78"/>
      </w:r>
      <w:r w:rsidR="00796B4E">
        <w:rPr>
          <w:rFonts w:ascii="Times New Roman" w:hAnsi="Times New Roman" w:cs="Times New Roman"/>
          <w:sz w:val="24"/>
          <w:szCs w:val="24"/>
        </w:rPr>
        <w:t xml:space="preserve"> She found there to</w:t>
      </w:r>
      <w:r w:rsidRPr="00FC6F7D">
        <w:rPr>
          <w:rFonts w:ascii="Times New Roman" w:hAnsi="Times New Roman" w:cs="Times New Roman"/>
          <w:sz w:val="24"/>
          <w:szCs w:val="24"/>
        </w:rPr>
        <w:t xml:space="preserve"> be a strong correlation between ideology and use of interpretive canons, wi</w:t>
      </w:r>
      <w:r w:rsidR="00796B4E">
        <w:rPr>
          <w:rFonts w:ascii="Times New Roman" w:hAnsi="Times New Roman" w:cs="Times New Roman"/>
          <w:sz w:val="24"/>
          <w:szCs w:val="24"/>
        </w:rPr>
        <w:t xml:space="preserve">th conservative justices in </w:t>
      </w:r>
      <w:r w:rsidR="001F6309">
        <w:rPr>
          <w:rFonts w:ascii="Times New Roman" w:hAnsi="Times New Roman" w:cs="Times New Roman"/>
          <w:sz w:val="24"/>
          <w:szCs w:val="24"/>
        </w:rPr>
        <w:t>particular using the canons</w:t>
      </w:r>
      <w:r w:rsidRPr="00FC6F7D">
        <w:rPr>
          <w:rFonts w:ascii="Times New Roman" w:hAnsi="Times New Roman" w:cs="Times New Roman"/>
          <w:sz w:val="24"/>
          <w:szCs w:val="24"/>
        </w:rPr>
        <w:t xml:space="preserve"> to reach conservative outcomes in about 60% of cases, while conservative justices using those same </w:t>
      </w:r>
      <w:r w:rsidR="001F6309">
        <w:rPr>
          <w:rFonts w:ascii="Times New Roman" w:hAnsi="Times New Roman" w:cs="Times New Roman"/>
          <w:sz w:val="24"/>
          <w:szCs w:val="24"/>
        </w:rPr>
        <w:t>canons</w:t>
      </w:r>
      <w:r w:rsidRPr="00FC6F7D">
        <w:rPr>
          <w:rFonts w:ascii="Times New Roman" w:hAnsi="Times New Roman" w:cs="Times New Roman"/>
          <w:sz w:val="24"/>
          <w:szCs w:val="24"/>
        </w:rPr>
        <w:t xml:space="preserve"> to reach a </w:t>
      </w:r>
      <w:r w:rsidR="00F756D3">
        <w:rPr>
          <w:rFonts w:ascii="Times New Roman" w:hAnsi="Times New Roman" w:cs="Times New Roman"/>
          <w:sz w:val="24"/>
          <w:szCs w:val="24"/>
        </w:rPr>
        <w:t>liberal outcome</w:t>
      </w:r>
      <w:r w:rsidRPr="00FC6F7D">
        <w:rPr>
          <w:rFonts w:ascii="Times New Roman" w:hAnsi="Times New Roman" w:cs="Times New Roman"/>
          <w:sz w:val="24"/>
          <w:szCs w:val="24"/>
        </w:rPr>
        <w:t>.</w:t>
      </w:r>
      <w:r w:rsidR="00796B4E">
        <w:rPr>
          <w:rStyle w:val="FootnoteReference"/>
          <w:rFonts w:ascii="Times New Roman" w:hAnsi="Times New Roman" w:cs="Times New Roman"/>
          <w:sz w:val="24"/>
          <w:szCs w:val="24"/>
        </w:rPr>
        <w:footnoteReference w:id="79"/>
      </w:r>
      <w:r w:rsidR="00796B4E">
        <w:rPr>
          <w:rFonts w:ascii="Times New Roman" w:hAnsi="Times New Roman" w:cs="Times New Roman"/>
          <w:sz w:val="24"/>
          <w:szCs w:val="24"/>
        </w:rPr>
        <w:t xml:space="preserve"> She also found that the canons do not constrain the judges to vote against their ideology and </w:t>
      </w:r>
      <w:r w:rsidR="00F756D3">
        <w:rPr>
          <w:rFonts w:ascii="Times New Roman" w:hAnsi="Times New Roman" w:cs="Times New Roman"/>
          <w:sz w:val="24"/>
          <w:szCs w:val="24"/>
        </w:rPr>
        <w:t xml:space="preserve">that </w:t>
      </w:r>
      <w:r w:rsidR="00796B4E">
        <w:rPr>
          <w:rFonts w:ascii="Times New Roman" w:hAnsi="Times New Roman" w:cs="Times New Roman"/>
          <w:sz w:val="24"/>
          <w:szCs w:val="24"/>
        </w:rPr>
        <w:t>practical reasoning led to greater rates of dueling than traditional methods of construction.</w:t>
      </w:r>
      <w:r w:rsidR="00796B4E">
        <w:rPr>
          <w:rStyle w:val="FootnoteReference"/>
          <w:rFonts w:ascii="Times New Roman" w:hAnsi="Times New Roman" w:cs="Times New Roman"/>
          <w:sz w:val="24"/>
          <w:szCs w:val="24"/>
        </w:rPr>
        <w:footnoteReference w:id="80"/>
      </w:r>
      <w:r w:rsidR="00E34F39">
        <w:rPr>
          <w:rFonts w:ascii="Times New Roman" w:hAnsi="Times New Roman" w:cs="Times New Roman"/>
          <w:sz w:val="24"/>
          <w:szCs w:val="24"/>
        </w:rPr>
        <w:t xml:space="preserve"> </w:t>
      </w:r>
    </w:p>
    <w:p w14:paraId="140831F3" w14:textId="6809C3EE" w:rsidR="00E834F7" w:rsidRPr="0095489B" w:rsidRDefault="00E834F7" w:rsidP="0095489B">
      <w:pPr>
        <w:pStyle w:val="ListParagraph"/>
        <w:numPr>
          <w:ilvl w:val="0"/>
          <w:numId w:val="11"/>
        </w:numPr>
        <w:spacing w:after="0" w:line="480" w:lineRule="auto"/>
        <w:rPr>
          <w:rFonts w:ascii="Times New Roman" w:hAnsi="Times New Roman" w:cs="Times New Roman"/>
          <w:b/>
          <w:sz w:val="24"/>
          <w:szCs w:val="24"/>
        </w:rPr>
      </w:pPr>
      <w:r w:rsidRPr="0095489B">
        <w:rPr>
          <w:rFonts w:ascii="Times New Roman" w:hAnsi="Times New Roman" w:cs="Times New Roman"/>
          <w:b/>
          <w:sz w:val="24"/>
          <w:szCs w:val="24"/>
        </w:rPr>
        <w:t>Empirical Studies of Administrative Law</w:t>
      </w:r>
    </w:p>
    <w:p w14:paraId="16CD9640" w14:textId="48A8F201" w:rsidR="0095489B" w:rsidRPr="00297D38" w:rsidRDefault="0095489B" w:rsidP="0095489B">
      <w:pPr>
        <w:pStyle w:val="ListParagraph"/>
        <w:numPr>
          <w:ilvl w:val="0"/>
          <w:numId w:val="29"/>
        </w:numPr>
        <w:spacing w:after="0" w:line="480" w:lineRule="auto"/>
        <w:rPr>
          <w:rFonts w:ascii="Times New Roman" w:hAnsi="Times New Roman" w:cs="Times New Roman"/>
          <w:b/>
          <w:sz w:val="24"/>
          <w:szCs w:val="24"/>
        </w:rPr>
      </w:pPr>
      <w:r w:rsidRPr="00297D38">
        <w:rPr>
          <w:rFonts w:ascii="Times New Roman" w:hAnsi="Times New Roman" w:cs="Times New Roman"/>
          <w:b/>
          <w:sz w:val="24"/>
          <w:szCs w:val="24"/>
        </w:rPr>
        <w:t>Theoretical Accounts</w:t>
      </w:r>
    </w:p>
    <w:p w14:paraId="1422934C" w14:textId="77777777" w:rsidR="00A7195E" w:rsidRDefault="0095489B" w:rsidP="00A7195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Scholars have offered some solutions for how to tackle the puzzle of how agencies, a</w:t>
      </w:r>
      <w:r w:rsidR="00A7195E">
        <w:rPr>
          <w:rFonts w:ascii="Times New Roman" w:hAnsi="Times New Roman" w:cs="Times New Roman"/>
          <w:sz w:val="24"/>
          <w:szCs w:val="24"/>
        </w:rPr>
        <w:t xml:space="preserve">s </w:t>
      </w:r>
    </w:p>
    <w:p w14:paraId="01FE890D" w14:textId="4FBCAC15" w:rsidR="00A7195E" w:rsidRPr="008E53DD" w:rsidRDefault="0095489B" w:rsidP="00A7195E">
      <w:pPr>
        <w:spacing w:after="0" w:line="480" w:lineRule="auto"/>
        <w:rPr>
          <w:rFonts w:ascii="Times New Roman" w:hAnsi="Times New Roman" w:cs="Times New Roman"/>
          <w:sz w:val="24"/>
          <w:szCs w:val="24"/>
        </w:rPr>
      </w:pPr>
      <w:r>
        <w:rPr>
          <w:rFonts w:ascii="Times New Roman" w:hAnsi="Times New Roman" w:cs="Times New Roman"/>
          <w:sz w:val="24"/>
          <w:szCs w:val="24"/>
        </w:rPr>
        <w:t>opposed to courts, should interpret statutes. Jerry Mashaw and Peter Strass argue that we should not expect agencies to necessarily construe statutes like courts do.</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00A7195E">
        <w:rPr>
          <w:rFonts w:ascii="Times New Roman" w:hAnsi="Times New Roman" w:cs="Times New Roman"/>
          <w:sz w:val="24"/>
          <w:szCs w:val="24"/>
        </w:rPr>
        <w:t xml:space="preserve">Mashaw sets forth normative </w:t>
      </w:r>
      <w:r w:rsidR="00A7195E">
        <w:rPr>
          <w:rFonts w:ascii="Times New Roman" w:hAnsi="Times New Roman" w:cs="Times New Roman"/>
          <w:sz w:val="24"/>
          <w:szCs w:val="24"/>
        </w:rPr>
        <w:lastRenderedPageBreak/>
        <w:t>guidelines for how an agency should interpret a statute differently than a court as a result of its unique constitutional role and practical necessity.</w:t>
      </w:r>
      <w:r w:rsidR="00A7195E">
        <w:rPr>
          <w:rStyle w:val="FootnoteReference"/>
          <w:rFonts w:ascii="Times New Roman" w:hAnsi="Times New Roman" w:cs="Times New Roman"/>
          <w:sz w:val="24"/>
          <w:szCs w:val="24"/>
        </w:rPr>
        <w:footnoteReference w:id="82"/>
      </w:r>
      <w:r w:rsidR="00A7195E">
        <w:rPr>
          <w:rFonts w:ascii="Times New Roman" w:hAnsi="Times New Roman" w:cs="Times New Roman"/>
          <w:sz w:val="24"/>
          <w:szCs w:val="24"/>
        </w:rPr>
        <w:t xml:space="preserve"> Rather, Mashaw contends we might expect agencies to “energize” a statutory </w:t>
      </w:r>
      <w:r w:rsidR="00A7195E" w:rsidRPr="008E53DD">
        <w:rPr>
          <w:rFonts w:ascii="Times New Roman" w:hAnsi="Times New Roman" w:cs="Times New Roman"/>
          <w:sz w:val="24"/>
          <w:szCs w:val="24"/>
        </w:rPr>
        <w:t>program and engage in more activist policymaking in line with the wishes of political principals.</w:t>
      </w:r>
      <w:r w:rsidR="00A7195E" w:rsidRPr="008E53DD">
        <w:rPr>
          <w:rStyle w:val="FootnoteReference"/>
          <w:rFonts w:ascii="Times New Roman" w:hAnsi="Times New Roman" w:cs="Times New Roman"/>
          <w:sz w:val="24"/>
          <w:szCs w:val="24"/>
        </w:rPr>
        <w:footnoteReference w:id="83"/>
      </w:r>
      <w:r w:rsidR="00A7195E" w:rsidRPr="008E53DD">
        <w:rPr>
          <w:rFonts w:ascii="Times New Roman" w:hAnsi="Times New Roman" w:cs="Times New Roman"/>
          <w:sz w:val="24"/>
          <w:szCs w:val="24"/>
        </w:rPr>
        <w:t xml:space="preserve"> Mashaw also argues that unlike courts, who are more constrained by norms like </w:t>
      </w:r>
      <w:r w:rsidR="00A7195E" w:rsidRPr="008E53DD">
        <w:rPr>
          <w:rFonts w:ascii="Times New Roman" w:hAnsi="Times New Roman" w:cs="Times New Roman"/>
          <w:i/>
          <w:sz w:val="24"/>
          <w:szCs w:val="24"/>
        </w:rPr>
        <w:t>stare decisis</w:t>
      </w:r>
      <w:r w:rsidR="00A7195E" w:rsidRPr="008E53DD">
        <w:rPr>
          <w:rFonts w:ascii="Times New Roman" w:hAnsi="Times New Roman" w:cs="Times New Roman"/>
          <w:sz w:val="24"/>
          <w:szCs w:val="24"/>
        </w:rPr>
        <w:t xml:space="preserve"> and who seek to impose coherence to the legal order, agencies need not always be consistent in how they interpret statutes as they must be cognizant of present political realities.</w:t>
      </w:r>
      <w:r w:rsidR="00A7195E" w:rsidRPr="008E53DD">
        <w:rPr>
          <w:rStyle w:val="FootnoteReference"/>
          <w:rFonts w:ascii="Times New Roman" w:hAnsi="Times New Roman" w:cs="Times New Roman"/>
          <w:sz w:val="24"/>
          <w:szCs w:val="24"/>
        </w:rPr>
        <w:footnoteReference w:id="84"/>
      </w:r>
    </w:p>
    <w:p w14:paraId="0B171778" w14:textId="781E87F9" w:rsidR="00B04877" w:rsidRDefault="0095489B" w:rsidP="00B048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Strauss too argues that “agencies essentially </w:t>
      </w:r>
      <w:r>
        <w:rPr>
          <w:rFonts w:ascii="Times New Roman" w:hAnsi="Times New Roman" w:cs="Times New Roman"/>
          <w:i/>
          <w:sz w:val="24"/>
          <w:szCs w:val="24"/>
        </w:rPr>
        <w:t>live</w:t>
      </w:r>
      <w:r>
        <w:rPr>
          <w:rFonts w:ascii="Times New Roman" w:hAnsi="Times New Roman" w:cs="Times New Roman"/>
          <w:sz w:val="24"/>
          <w:szCs w:val="24"/>
        </w:rPr>
        <w:t xml:space="preserve"> the process of statutory interpretation,” and that the political nature of the task of interpretation takes on a special role in the context of agency statutory interpretation.</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As such, agencies, much more so than courts, are able to use legislative history to much greater effect.</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As Strauss notes, “The enduring and multifaceted character of the agency’s relationship with Congress contributes to the agency’s capacity to distinguish reliably those conservations that served to shape the legislation, legislative history wheat, from the more manipulative chaff.”</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Agencies can use legislative history in the context of its relationship to the White House, Congress and congressional committees.</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w:t>
      </w:r>
      <w:r w:rsidR="00A7195E" w:rsidRPr="00B04877">
        <w:rPr>
          <w:rFonts w:ascii="Times New Roman" w:hAnsi="Times New Roman" w:cs="Times New Roman"/>
          <w:sz w:val="24"/>
          <w:szCs w:val="24"/>
        </w:rPr>
        <w:t>This special “institutional memory” thus provides agencies with a unique perspective and a “crucial resource” in which to discern congressional intent.</w:t>
      </w:r>
      <w:r w:rsidR="00A7195E" w:rsidRPr="00B04877">
        <w:rPr>
          <w:rStyle w:val="FootnoteReference"/>
          <w:rFonts w:ascii="Times New Roman" w:hAnsi="Times New Roman" w:cs="Times New Roman"/>
          <w:sz w:val="24"/>
          <w:szCs w:val="24"/>
        </w:rPr>
        <w:footnoteReference w:id="89"/>
      </w:r>
      <w:r w:rsidR="00A7195E" w:rsidRPr="00B04877">
        <w:rPr>
          <w:rFonts w:ascii="Times New Roman" w:hAnsi="Times New Roman" w:cs="Times New Roman"/>
          <w:sz w:val="24"/>
          <w:szCs w:val="24"/>
        </w:rPr>
        <w:t xml:space="preserve"> </w:t>
      </w:r>
    </w:p>
    <w:p w14:paraId="46534E9F" w14:textId="3462E94D" w:rsidR="005404C9" w:rsidRDefault="005404C9" w:rsidP="005404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 recently, Kevin Stack argued that agencies should adopt a purposive method in interpreting regulations and that agencies “are purposive by statutory design.”</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He argues that </w:t>
      </w:r>
      <w:r>
        <w:rPr>
          <w:rFonts w:ascii="Times New Roman" w:hAnsi="Times New Roman" w:cs="Times New Roman"/>
          <w:sz w:val="24"/>
          <w:szCs w:val="24"/>
        </w:rPr>
        <w:lastRenderedPageBreak/>
        <w:t>agencies’ institutional capacities such as their expertise, political accountability and their ability to effectively evaluate and vet proposals makes them uniquely capable of interpreting statutes in a purposive way by looking at the purpose of the regulatory scheme and selecting actions that best effectuate those purposes.</w:t>
      </w:r>
      <w:r>
        <w:rPr>
          <w:rStyle w:val="FootnoteReference"/>
          <w:rFonts w:ascii="Times New Roman" w:hAnsi="Times New Roman" w:cs="Times New Roman"/>
          <w:sz w:val="24"/>
          <w:szCs w:val="24"/>
        </w:rPr>
        <w:footnoteReference w:id="91"/>
      </w:r>
      <w:r w:rsidR="008002AB">
        <w:rPr>
          <w:rFonts w:ascii="Times New Roman" w:hAnsi="Times New Roman" w:cs="Times New Roman"/>
          <w:sz w:val="24"/>
          <w:szCs w:val="24"/>
        </w:rPr>
        <w:t xml:space="preserve"> </w:t>
      </w:r>
      <w:r>
        <w:rPr>
          <w:rFonts w:ascii="Times New Roman" w:hAnsi="Times New Roman" w:cs="Times New Roman"/>
          <w:sz w:val="24"/>
          <w:szCs w:val="24"/>
        </w:rPr>
        <w:t xml:space="preserve">He </w:t>
      </w:r>
      <w:r w:rsidR="00297D38">
        <w:rPr>
          <w:rFonts w:ascii="Times New Roman" w:hAnsi="Times New Roman" w:cs="Times New Roman"/>
          <w:sz w:val="24"/>
          <w:szCs w:val="24"/>
        </w:rPr>
        <w:t xml:space="preserve">further contends </w:t>
      </w:r>
      <w:r>
        <w:rPr>
          <w:rFonts w:ascii="Times New Roman" w:hAnsi="Times New Roman" w:cs="Times New Roman"/>
          <w:sz w:val="24"/>
          <w:szCs w:val="24"/>
        </w:rPr>
        <w:t>that agencies are guided by an “intelligible principle” of the agency’s purpose and thus have a duty to 1) develop an understanding of that purpose; 2) evaluate alternatives for action in relation to the purpose; and 3) then act in ways that best furthers that purpose; and adopt only interpretations of the statute that effectuate that purpose.</w:t>
      </w:r>
      <w:r>
        <w:rPr>
          <w:rStyle w:val="FootnoteReference"/>
          <w:rFonts w:ascii="Times New Roman" w:hAnsi="Times New Roman" w:cs="Times New Roman"/>
          <w:sz w:val="24"/>
          <w:szCs w:val="24"/>
        </w:rPr>
        <w:footnoteReference w:id="92"/>
      </w:r>
    </w:p>
    <w:p w14:paraId="01878FEC" w14:textId="6F5C3B4B" w:rsidR="0095489B" w:rsidRPr="00297D38" w:rsidRDefault="00A7195E" w:rsidP="00B04877">
      <w:pPr>
        <w:pStyle w:val="ListParagraph"/>
        <w:numPr>
          <w:ilvl w:val="0"/>
          <w:numId w:val="29"/>
        </w:numPr>
        <w:spacing w:after="0" w:line="480" w:lineRule="auto"/>
        <w:rPr>
          <w:rFonts w:ascii="Times New Roman" w:hAnsi="Times New Roman" w:cs="Times New Roman"/>
          <w:b/>
          <w:sz w:val="24"/>
          <w:szCs w:val="24"/>
        </w:rPr>
      </w:pPr>
      <w:r w:rsidRPr="00297D38">
        <w:rPr>
          <w:rFonts w:ascii="Times New Roman" w:hAnsi="Times New Roman" w:cs="Times New Roman"/>
          <w:b/>
          <w:sz w:val="24"/>
          <w:szCs w:val="24"/>
        </w:rPr>
        <w:t>Empirical Studies of Statutory Interpretation</w:t>
      </w:r>
    </w:p>
    <w:p w14:paraId="1AEDD0E9" w14:textId="429006BD" w:rsidR="00F07AD6" w:rsidRDefault="00E834F7" w:rsidP="00F06378">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091792">
        <w:rPr>
          <w:rFonts w:ascii="Times New Roman" w:hAnsi="Times New Roman" w:cs="Times New Roman"/>
          <w:sz w:val="24"/>
          <w:szCs w:val="24"/>
        </w:rPr>
        <w:t>In the past three</w:t>
      </w:r>
      <w:r>
        <w:rPr>
          <w:rFonts w:ascii="Times New Roman" w:hAnsi="Times New Roman" w:cs="Times New Roman"/>
          <w:sz w:val="24"/>
          <w:szCs w:val="24"/>
        </w:rPr>
        <w:t xml:space="preserve"> years, two detailed and comprehensive studies have been done empirically looking at how </w:t>
      </w:r>
      <w:r w:rsidR="001F6309">
        <w:rPr>
          <w:rFonts w:ascii="Times New Roman" w:hAnsi="Times New Roman" w:cs="Times New Roman"/>
          <w:sz w:val="24"/>
          <w:szCs w:val="24"/>
        </w:rPr>
        <w:t xml:space="preserve">Congress and </w:t>
      </w:r>
      <w:r>
        <w:rPr>
          <w:rFonts w:ascii="Times New Roman" w:hAnsi="Times New Roman" w:cs="Times New Roman"/>
          <w:sz w:val="24"/>
          <w:szCs w:val="24"/>
        </w:rPr>
        <w:t xml:space="preserve">administrative agencies embark on statutory interpretation. </w:t>
      </w:r>
      <w:r w:rsidR="00796B4E">
        <w:rPr>
          <w:rFonts w:ascii="Times New Roman" w:hAnsi="Times New Roman" w:cs="Times New Roman"/>
          <w:sz w:val="24"/>
          <w:szCs w:val="24"/>
        </w:rPr>
        <w:t>Abbe Gluck and Lisa Bressman conducted a comprehensive</w:t>
      </w:r>
      <w:r w:rsidR="00B9356F">
        <w:rPr>
          <w:rFonts w:ascii="Times New Roman" w:hAnsi="Times New Roman" w:cs="Times New Roman"/>
          <w:sz w:val="24"/>
          <w:szCs w:val="24"/>
        </w:rPr>
        <w:t xml:space="preserve"> and detailed</w:t>
      </w:r>
      <w:r w:rsidR="00796B4E">
        <w:rPr>
          <w:rFonts w:ascii="Times New Roman" w:hAnsi="Times New Roman" w:cs="Times New Roman"/>
          <w:sz w:val="24"/>
          <w:szCs w:val="24"/>
        </w:rPr>
        <w:t xml:space="preserve"> study of agency interpretive practices by surveying members of Congress.</w:t>
      </w:r>
      <w:r w:rsidR="008571B5">
        <w:rPr>
          <w:rStyle w:val="FootnoteReference"/>
          <w:rFonts w:ascii="Times New Roman" w:hAnsi="Times New Roman" w:cs="Times New Roman"/>
          <w:sz w:val="24"/>
          <w:szCs w:val="24"/>
        </w:rPr>
        <w:footnoteReference w:id="93"/>
      </w:r>
      <w:r w:rsidR="008571B5">
        <w:rPr>
          <w:rFonts w:ascii="Times New Roman" w:hAnsi="Times New Roman" w:cs="Times New Roman"/>
          <w:sz w:val="24"/>
          <w:szCs w:val="24"/>
        </w:rPr>
        <w:t xml:space="preserve"> They surveyed 137 congressional staffers with 171 questions to inquire into what members of Congress involved in drafting </w:t>
      </w:r>
      <w:r w:rsidR="00E34F39">
        <w:rPr>
          <w:rFonts w:ascii="Times New Roman" w:hAnsi="Times New Roman" w:cs="Times New Roman"/>
          <w:sz w:val="24"/>
          <w:szCs w:val="24"/>
        </w:rPr>
        <w:t>thought of agency practices.</w:t>
      </w:r>
      <w:r w:rsidR="00E34F39">
        <w:rPr>
          <w:rStyle w:val="FootnoteReference"/>
          <w:rFonts w:ascii="Times New Roman" w:hAnsi="Times New Roman" w:cs="Times New Roman"/>
          <w:sz w:val="24"/>
          <w:szCs w:val="24"/>
        </w:rPr>
        <w:footnoteReference w:id="94"/>
      </w:r>
      <w:r w:rsidR="00046FCE">
        <w:rPr>
          <w:rFonts w:ascii="Times New Roman" w:hAnsi="Times New Roman" w:cs="Times New Roman"/>
          <w:sz w:val="24"/>
          <w:szCs w:val="24"/>
        </w:rPr>
        <w:t xml:space="preserve"> The study was the </w:t>
      </w:r>
      <w:r w:rsidR="004B77C3">
        <w:rPr>
          <w:rFonts w:ascii="Times New Roman" w:hAnsi="Times New Roman" w:cs="Times New Roman"/>
          <w:sz w:val="24"/>
          <w:szCs w:val="24"/>
        </w:rPr>
        <w:t>largest major empirical study related to statutory interpretation</w:t>
      </w:r>
      <w:r w:rsidR="00046FCE">
        <w:rPr>
          <w:rFonts w:ascii="Times New Roman" w:hAnsi="Times New Roman" w:cs="Times New Roman"/>
          <w:sz w:val="24"/>
          <w:szCs w:val="24"/>
        </w:rPr>
        <w:t xml:space="preserve">, and the only comprehensive empirical analysis of congressional staffers with respect to what they think about such aspects of statutory interpretation such as legislative history, </w:t>
      </w:r>
      <w:r w:rsidR="00046FCE" w:rsidRPr="008E53DD">
        <w:rPr>
          <w:rFonts w:ascii="Times New Roman" w:hAnsi="Times New Roman" w:cs="Times New Roman"/>
          <w:i/>
          <w:sz w:val="24"/>
          <w:szCs w:val="24"/>
        </w:rPr>
        <w:t>Chevron</w:t>
      </w:r>
      <w:r w:rsidR="00046FCE">
        <w:rPr>
          <w:rFonts w:ascii="Times New Roman" w:hAnsi="Times New Roman" w:cs="Times New Roman"/>
          <w:sz w:val="24"/>
          <w:szCs w:val="24"/>
        </w:rPr>
        <w:t xml:space="preserve">, </w:t>
      </w:r>
      <w:r w:rsidR="00046FCE" w:rsidRPr="008E53DD">
        <w:rPr>
          <w:rFonts w:ascii="Times New Roman" w:hAnsi="Times New Roman" w:cs="Times New Roman"/>
          <w:i/>
          <w:sz w:val="24"/>
          <w:szCs w:val="24"/>
        </w:rPr>
        <w:t>Mead</w:t>
      </w:r>
      <w:r w:rsidR="00046FCE">
        <w:rPr>
          <w:rFonts w:ascii="Times New Roman" w:hAnsi="Times New Roman" w:cs="Times New Roman"/>
          <w:sz w:val="24"/>
          <w:szCs w:val="24"/>
        </w:rPr>
        <w:t xml:space="preserve">, </w:t>
      </w:r>
      <w:r w:rsidR="00046FCE" w:rsidRPr="008E53DD">
        <w:rPr>
          <w:rFonts w:ascii="Times New Roman" w:hAnsi="Times New Roman" w:cs="Times New Roman"/>
          <w:i/>
          <w:sz w:val="24"/>
          <w:szCs w:val="24"/>
        </w:rPr>
        <w:t>Skidmore</w:t>
      </w:r>
      <w:r w:rsidR="00046FCE">
        <w:rPr>
          <w:rFonts w:ascii="Times New Roman" w:hAnsi="Times New Roman" w:cs="Times New Roman"/>
          <w:sz w:val="24"/>
          <w:szCs w:val="24"/>
        </w:rPr>
        <w:t xml:space="preserve"> and other issues.</w:t>
      </w:r>
      <w:r w:rsidR="00C261C8">
        <w:rPr>
          <w:rStyle w:val="FootnoteReference"/>
          <w:rFonts w:ascii="Times New Roman" w:hAnsi="Times New Roman" w:cs="Times New Roman"/>
          <w:sz w:val="24"/>
          <w:szCs w:val="24"/>
        </w:rPr>
        <w:footnoteReference w:id="95"/>
      </w:r>
      <w:r w:rsidR="00E34F39">
        <w:rPr>
          <w:rFonts w:ascii="Times New Roman" w:hAnsi="Times New Roman" w:cs="Times New Roman"/>
          <w:sz w:val="24"/>
          <w:szCs w:val="24"/>
        </w:rPr>
        <w:t xml:space="preserve"> </w:t>
      </w:r>
      <w:r w:rsidR="004B77C3">
        <w:rPr>
          <w:rFonts w:ascii="Times New Roman" w:hAnsi="Times New Roman" w:cs="Times New Roman"/>
          <w:sz w:val="24"/>
          <w:szCs w:val="24"/>
        </w:rPr>
        <w:t xml:space="preserve">They found that legislative drafters were unfamiliar with the names of certain doctrines, but they nevertheless incorporated </w:t>
      </w:r>
      <w:r w:rsidR="00F07AD6">
        <w:rPr>
          <w:rFonts w:ascii="Times New Roman" w:hAnsi="Times New Roman" w:cs="Times New Roman"/>
          <w:sz w:val="24"/>
          <w:szCs w:val="24"/>
        </w:rPr>
        <w:t xml:space="preserve">the </w:t>
      </w:r>
      <w:r w:rsidR="00F07AD6">
        <w:rPr>
          <w:rFonts w:ascii="Times New Roman" w:hAnsi="Times New Roman" w:cs="Times New Roman"/>
          <w:sz w:val="24"/>
          <w:szCs w:val="24"/>
        </w:rPr>
        <w:lastRenderedPageBreak/>
        <w:t>assumptions of those doctrin</w:t>
      </w:r>
      <w:r w:rsidR="004B77C3">
        <w:rPr>
          <w:rFonts w:ascii="Times New Roman" w:hAnsi="Times New Roman" w:cs="Times New Roman"/>
          <w:sz w:val="24"/>
          <w:szCs w:val="24"/>
        </w:rPr>
        <w:t>es in how they drafted legislation.</w:t>
      </w:r>
      <w:r w:rsidR="004B77C3">
        <w:rPr>
          <w:rStyle w:val="FootnoteReference"/>
          <w:rFonts w:ascii="Times New Roman" w:hAnsi="Times New Roman" w:cs="Times New Roman"/>
          <w:sz w:val="24"/>
          <w:szCs w:val="24"/>
        </w:rPr>
        <w:footnoteReference w:id="96"/>
      </w:r>
      <w:r w:rsidR="004B77C3">
        <w:rPr>
          <w:rFonts w:ascii="Times New Roman" w:hAnsi="Times New Roman" w:cs="Times New Roman"/>
          <w:sz w:val="24"/>
          <w:szCs w:val="24"/>
        </w:rPr>
        <w:t xml:space="preserve"> </w:t>
      </w:r>
      <w:r w:rsidR="009C4BC7">
        <w:rPr>
          <w:rFonts w:ascii="Times New Roman" w:hAnsi="Times New Roman" w:cs="Times New Roman"/>
          <w:sz w:val="24"/>
          <w:szCs w:val="24"/>
        </w:rPr>
        <w:t xml:space="preserve">The Gluck and Bressman survey found some canons to be out of favor; for instance, congressional respondents seemed to reject the whole code rule and </w:t>
      </w:r>
      <w:r w:rsidR="009C4BC7">
        <w:rPr>
          <w:rFonts w:ascii="Times New Roman" w:hAnsi="Times New Roman" w:cs="Times New Roman"/>
          <w:i/>
          <w:sz w:val="24"/>
          <w:szCs w:val="24"/>
        </w:rPr>
        <w:t>in pari materia.</w:t>
      </w:r>
      <w:r w:rsidR="009C4BC7">
        <w:rPr>
          <w:rStyle w:val="FootnoteReference"/>
          <w:rFonts w:ascii="Times New Roman" w:hAnsi="Times New Roman" w:cs="Times New Roman"/>
          <w:i/>
          <w:sz w:val="24"/>
          <w:szCs w:val="24"/>
        </w:rPr>
        <w:footnoteReference w:id="97"/>
      </w:r>
      <w:r w:rsidR="009C4BC7">
        <w:rPr>
          <w:rFonts w:ascii="Times New Roman" w:hAnsi="Times New Roman" w:cs="Times New Roman"/>
          <w:i/>
          <w:sz w:val="24"/>
          <w:szCs w:val="24"/>
        </w:rPr>
        <w:t xml:space="preserve"> </w:t>
      </w:r>
      <w:r w:rsidR="004B77C3">
        <w:rPr>
          <w:rFonts w:ascii="Times New Roman" w:hAnsi="Times New Roman" w:cs="Times New Roman"/>
          <w:sz w:val="24"/>
          <w:szCs w:val="24"/>
        </w:rPr>
        <w:t>Their respondents said that legislative history was the most important interpretive tool after the text.</w:t>
      </w:r>
      <w:r w:rsidR="004B77C3">
        <w:rPr>
          <w:rStyle w:val="FootnoteReference"/>
          <w:rFonts w:ascii="Times New Roman" w:hAnsi="Times New Roman" w:cs="Times New Roman"/>
          <w:sz w:val="24"/>
          <w:szCs w:val="24"/>
        </w:rPr>
        <w:footnoteReference w:id="98"/>
      </w:r>
      <w:r w:rsidR="004B77C3">
        <w:rPr>
          <w:rFonts w:ascii="Times New Roman" w:hAnsi="Times New Roman" w:cs="Times New Roman"/>
          <w:sz w:val="24"/>
          <w:szCs w:val="24"/>
        </w:rPr>
        <w:t xml:space="preserve"> </w:t>
      </w:r>
    </w:p>
    <w:p w14:paraId="644CA07E" w14:textId="7E2801D6" w:rsidR="002D13B8" w:rsidRDefault="00E34F39" w:rsidP="005404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 recently, Christopher Walker conducted a comprehensive survey of agency r</w:t>
      </w:r>
      <w:r w:rsidR="00091792">
        <w:rPr>
          <w:rFonts w:ascii="Times New Roman" w:hAnsi="Times New Roman" w:cs="Times New Roman"/>
          <w:sz w:val="24"/>
          <w:szCs w:val="24"/>
        </w:rPr>
        <w:t>ule drafters at seven executive</w:t>
      </w:r>
      <w:r>
        <w:rPr>
          <w:rFonts w:ascii="Times New Roman" w:hAnsi="Times New Roman" w:cs="Times New Roman"/>
          <w:sz w:val="24"/>
          <w:szCs w:val="24"/>
        </w:rPr>
        <w:t xml:space="preserve"> departments and two independent agencies to </w:t>
      </w:r>
      <w:r w:rsidR="008E53DD">
        <w:rPr>
          <w:rFonts w:ascii="Times New Roman" w:hAnsi="Times New Roman" w:cs="Times New Roman"/>
          <w:sz w:val="24"/>
          <w:szCs w:val="24"/>
        </w:rPr>
        <w:t>shed light on the approaches that agency rule drafters</w:t>
      </w:r>
      <w:r>
        <w:rPr>
          <w:rFonts w:ascii="Times New Roman" w:hAnsi="Times New Roman" w:cs="Times New Roman"/>
          <w:sz w:val="24"/>
          <w:szCs w:val="24"/>
        </w:rPr>
        <w:t xml:space="preserve"> use when they </w:t>
      </w:r>
      <w:r w:rsidR="008E53DD">
        <w:rPr>
          <w:rFonts w:ascii="Times New Roman" w:hAnsi="Times New Roman" w:cs="Times New Roman"/>
          <w:sz w:val="24"/>
          <w:szCs w:val="24"/>
        </w:rPr>
        <w:t>interpret statutes and draft</w:t>
      </w:r>
      <w:r>
        <w:rPr>
          <w:rFonts w:ascii="Times New Roman" w:hAnsi="Times New Roman" w:cs="Times New Roman"/>
          <w:sz w:val="24"/>
          <w:szCs w:val="24"/>
        </w:rPr>
        <w:t xml:space="preserve"> regulations.</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He found that drafters believed the canons to be the “key indicia of interpretive fidelity” and that rule drafters were frequently very familiar with the </w:t>
      </w:r>
      <w:r w:rsidRPr="00092ECC">
        <w:rPr>
          <w:rFonts w:ascii="Times New Roman" w:hAnsi="Times New Roman" w:cs="Times New Roman"/>
          <w:sz w:val="24"/>
          <w:szCs w:val="24"/>
        </w:rPr>
        <w:t>canons, even by the Latin names.</w:t>
      </w:r>
      <w:r w:rsidRPr="00092ECC">
        <w:rPr>
          <w:rStyle w:val="FootnoteReference"/>
          <w:rFonts w:ascii="Times New Roman" w:hAnsi="Times New Roman" w:cs="Times New Roman"/>
          <w:sz w:val="24"/>
          <w:szCs w:val="24"/>
        </w:rPr>
        <w:footnoteReference w:id="100"/>
      </w:r>
      <w:r w:rsidRPr="00092ECC">
        <w:rPr>
          <w:rFonts w:ascii="Times New Roman" w:hAnsi="Times New Roman" w:cs="Times New Roman"/>
          <w:sz w:val="24"/>
          <w:szCs w:val="24"/>
        </w:rPr>
        <w:t xml:space="preserve"> His respondents noted that they frequently used some of the Latin canons</w:t>
      </w:r>
      <w:r w:rsidR="00092ECC" w:rsidRPr="00092ECC">
        <w:rPr>
          <w:rFonts w:ascii="Times New Roman" w:hAnsi="Times New Roman" w:cs="Times New Roman"/>
          <w:sz w:val="24"/>
          <w:szCs w:val="24"/>
        </w:rPr>
        <w:t xml:space="preserve"> (particularly </w:t>
      </w:r>
      <w:r w:rsidR="00092ECC" w:rsidRPr="00092ECC">
        <w:rPr>
          <w:rFonts w:ascii="Times New Roman" w:hAnsi="Times New Roman" w:cs="Times New Roman"/>
          <w:i/>
          <w:sz w:val="24"/>
          <w:szCs w:val="24"/>
        </w:rPr>
        <w:t xml:space="preserve">noscitur a sociis </w:t>
      </w:r>
      <w:r w:rsidR="00092ECC" w:rsidRPr="00092ECC">
        <w:rPr>
          <w:rFonts w:ascii="Times New Roman" w:hAnsi="Times New Roman" w:cs="Times New Roman"/>
          <w:sz w:val="24"/>
          <w:szCs w:val="24"/>
        </w:rPr>
        <w:t xml:space="preserve">(associated word canon) and </w:t>
      </w:r>
      <w:r w:rsidR="00092ECC" w:rsidRPr="00092ECC">
        <w:rPr>
          <w:rFonts w:ascii="Times New Roman" w:hAnsi="Times New Roman" w:cs="Times New Roman"/>
          <w:i/>
          <w:sz w:val="24"/>
          <w:szCs w:val="24"/>
        </w:rPr>
        <w:t>ejusdem generis</w:t>
      </w:r>
      <w:r w:rsidR="00092ECC" w:rsidRPr="00092ECC">
        <w:rPr>
          <w:rFonts w:ascii="Times New Roman" w:hAnsi="Times New Roman" w:cs="Times New Roman"/>
          <w:sz w:val="24"/>
          <w:szCs w:val="24"/>
        </w:rPr>
        <w:t xml:space="preserve"> (residual clause canon</w:t>
      </w:r>
      <w:r w:rsidR="00092ECC" w:rsidRPr="00092ECC">
        <w:rPr>
          <w:sz w:val="24"/>
          <w:szCs w:val="24"/>
        </w:rPr>
        <w:t>)</w:t>
      </w:r>
      <w:r w:rsidRPr="00092ECC">
        <w:rPr>
          <w:rFonts w:ascii="Times New Roman" w:hAnsi="Times New Roman" w:cs="Times New Roman"/>
          <w:sz w:val="24"/>
          <w:szCs w:val="24"/>
        </w:rPr>
        <w:t xml:space="preserve"> </w:t>
      </w:r>
      <w:r>
        <w:rPr>
          <w:rFonts w:ascii="Times New Roman" w:hAnsi="Times New Roman" w:cs="Times New Roman"/>
          <w:sz w:val="24"/>
          <w:szCs w:val="24"/>
        </w:rPr>
        <w:t>and the whole act rule, but that they did not often use the whole code rule</w:t>
      </w:r>
      <w:r w:rsidR="00A162A7">
        <w:rPr>
          <w:rFonts w:ascii="Times New Roman" w:hAnsi="Times New Roman" w:cs="Times New Roman"/>
          <w:sz w:val="24"/>
          <w:szCs w:val="24"/>
        </w:rPr>
        <w:t xml:space="preserve"> or </w:t>
      </w:r>
      <w:r w:rsidR="00A162A7">
        <w:rPr>
          <w:rFonts w:ascii="Times New Roman" w:hAnsi="Times New Roman" w:cs="Times New Roman"/>
          <w:i/>
          <w:sz w:val="24"/>
          <w:szCs w:val="24"/>
        </w:rPr>
        <w:t>in pari materia</w:t>
      </w:r>
      <w:r w:rsidR="00A162A7">
        <w:rPr>
          <w:rFonts w:ascii="Times New Roman" w:hAnsi="Times New Roman" w:cs="Times New Roman"/>
          <w:sz w:val="24"/>
          <w:szCs w:val="24"/>
        </w:rPr>
        <w:t xml:space="preserve"> (interpret similar statutory provisions alike)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1"/>
      </w:r>
      <w:r w:rsidR="005428AB">
        <w:rPr>
          <w:rFonts w:ascii="Times New Roman" w:hAnsi="Times New Roman" w:cs="Times New Roman"/>
          <w:sz w:val="24"/>
          <w:szCs w:val="24"/>
        </w:rPr>
        <w:t xml:space="preserve"> Moreover, a little than half of the respondents reported that the assumptions behind </w:t>
      </w:r>
      <w:r w:rsidR="005428AB">
        <w:rPr>
          <w:rFonts w:ascii="Times New Roman" w:hAnsi="Times New Roman" w:cs="Times New Roman"/>
          <w:i/>
          <w:sz w:val="24"/>
          <w:szCs w:val="24"/>
        </w:rPr>
        <w:t xml:space="preserve">expressio unius </w:t>
      </w:r>
      <w:r w:rsidR="005428AB">
        <w:rPr>
          <w:rFonts w:ascii="Times New Roman" w:hAnsi="Times New Roman" w:cs="Times New Roman"/>
          <w:sz w:val="24"/>
          <w:szCs w:val="24"/>
        </w:rPr>
        <w:t>and the rule against superfluities were often or always true.</w:t>
      </w:r>
      <w:r w:rsidR="005428AB">
        <w:rPr>
          <w:rStyle w:val="FootnoteReference"/>
          <w:rFonts w:ascii="Times New Roman" w:hAnsi="Times New Roman" w:cs="Times New Roman"/>
          <w:sz w:val="24"/>
          <w:szCs w:val="24"/>
        </w:rPr>
        <w:footnoteReference w:id="102"/>
      </w:r>
      <w:r w:rsidR="005428AB">
        <w:rPr>
          <w:rFonts w:ascii="Times New Roman" w:hAnsi="Times New Roman" w:cs="Times New Roman"/>
          <w:sz w:val="24"/>
          <w:szCs w:val="24"/>
        </w:rPr>
        <w:t xml:space="preserve"> </w:t>
      </w:r>
      <w:r w:rsidR="005404C9">
        <w:rPr>
          <w:rFonts w:ascii="Times New Roman" w:hAnsi="Times New Roman" w:cs="Times New Roman"/>
          <w:sz w:val="24"/>
          <w:szCs w:val="24"/>
        </w:rPr>
        <w:t>Walker</w:t>
      </w:r>
      <w:r w:rsidR="00B9356F">
        <w:rPr>
          <w:rFonts w:ascii="Times New Roman" w:hAnsi="Times New Roman" w:cs="Times New Roman"/>
          <w:sz w:val="24"/>
          <w:szCs w:val="24"/>
        </w:rPr>
        <w:t xml:space="preserve"> reached many of the same conclusions as did Gluck and B</w:t>
      </w:r>
      <w:r w:rsidR="001F6309">
        <w:rPr>
          <w:rFonts w:ascii="Times New Roman" w:hAnsi="Times New Roman" w:cs="Times New Roman"/>
          <w:sz w:val="24"/>
          <w:szCs w:val="24"/>
        </w:rPr>
        <w:t>ressman</w:t>
      </w:r>
      <w:r w:rsidR="005428AB">
        <w:rPr>
          <w:rFonts w:ascii="Times New Roman" w:hAnsi="Times New Roman" w:cs="Times New Roman"/>
          <w:sz w:val="24"/>
          <w:szCs w:val="24"/>
        </w:rPr>
        <w:t>, though there were some differences</w:t>
      </w:r>
      <w:r w:rsidR="001F6309">
        <w:rPr>
          <w:rFonts w:ascii="Times New Roman" w:hAnsi="Times New Roman" w:cs="Times New Roman"/>
          <w:sz w:val="24"/>
          <w:szCs w:val="24"/>
        </w:rPr>
        <w:t>.</w:t>
      </w:r>
      <w:r w:rsidR="005428AB">
        <w:rPr>
          <w:rStyle w:val="FootnoteReference"/>
          <w:rFonts w:ascii="Times New Roman" w:hAnsi="Times New Roman" w:cs="Times New Roman"/>
          <w:sz w:val="24"/>
          <w:szCs w:val="24"/>
        </w:rPr>
        <w:footnoteReference w:id="103"/>
      </w:r>
      <w:r w:rsidR="001F6309">
        <w:rPr>
          <w:rFonts w:ascii="Times New Roman" w:hAnsi="Times New Roman" w:cs="Times New Roman"/>
          <w:sz w:val="24"/>
          <w:szCs w:val="24"/>
        </w:rPr>
        <w:t xml:space="preserve"> For instance, similar</w:t>
      </w:r>
      <w:r w:rsidR="00B9356F">
        <w:rPr>
          <w:rFonts w:ascii="Times New Roman" w:hAnsi="Times New Roman" w:cs="Times New Roman"/>
          <w:sz w:val="24"/>
          <w:szCs w:val="24"/>
        </w:rPr>
        <w:t xml:space="preserve"> to Gluck and Bressman</w:t>
      </w:r>
      <w:r w:rsidR="001F6309">
        <w:rPr>
          <w:rFonts w:ascii="Times New Roman" w:hAnsi="Times New Roman" w:cs="Times New Roman"/>
          <w:sz w:val="24"/>
          <w:szCs w:val="24"/>
        </w:rPr>
        <w:t>,</w:t>
      </w:r>
      <w:r w:rsidR="00B9356F">
        <w:rPr>
          <w:rFonts w:ascii="Times New Roman" w:hAnsi="Times New Roman" w:cs="Times New Roman"/>
          <w:sz w:val="24"/>
          <w:szCs w:val="24"/>
        </w:rPr>
        <w:t xml:space="preserve"> his survey also found legislative history to be an important aid to interpretation</w:t>
      </w:r>
      <w:r w:rsidR="00092ECC">
        <w:rPr>
          <w:rFonts w:ascii="Times New Roman" w:hAnsi="Times New Roman" w:cs="Times New Roman"/>
          <w:sz w:val="24"/>
          <w:szCs w:val="24"/>
        </w:rPr>
        <w:t xml:space="preserve"> (having the sixth highest response rate)</w:t>
      </w:r>
      <w:r w:rsidR="00B9356F">
        <w:rPr>
          <w:rFonts w:ascii="Times New Roman" w:hAnsi="Times New Roman" w:cs="Times New Roman"/>
          <w:sz w:val="24"/>
          <w:szCs w:val="24"/>
        </w:rPr>
        <w:t>, though, in contrast to congressional drafters, agency decision</w:t>
      </w:r>
      <w:r w:rsidR="00F05479">
        <w:rPr>
          <w:rFonts w:ascii="Times New Roman" w:hAnsi="Times New Roman" w:cs="Times New Roman"/>
          <w:sz w:val="24"/>
          <w:szCs w:val="24"/>
        </w:rPr>
        <w:t>-</w:t>
      </w:r>
      <w:r w:rsidR="00B9356F">
        <w:rPr>
          <w:rFonts w:ascii="Times New Roman" w:hAnsi="Times New Roman" w:cs="Times New Roman"/>
          <w:sz w:val="24"/>
          <w:szCs w:val="24"/>
        </w:rPr>
        <w:t xml:space="preserve">makers had somewhat different views on legislative history. For instance, agency drafters were less likely to believe </w:t>
      </w:r>
      <w:r w:rsidR="00B9356F">
        <w:rPr>
          <w:rFonts w:ascii="Times New Roman" w:hAnsi="Times New Roman" w:cs="Times New Roman"/>
          <w:sz w:val="24"/>
          <w:szCs w:val="24"/>
        </w:rPr>
        <w:lastRenderedPageBreak/>
        <w:t>legislative history was used to facilitate political deals.</w:t>
      </w:r>
      <w:r w:rsidR="00B9356F">
        <w:rPr>
          <w:rStyle w:val="FootnoteReference"/>
          <w:rFonts w:ascii="Times New Roman" w:hAnsi="Times New Roman" w:cs="Times New Roman"/>
          <w:sz w:val="24"/>
          <w:szCs w:val="24"/>
        </w:rPr>
        <w:footnoteReference w:id="104"/>
      </w:r>
      <w:r w:rsidR="00B9356F">
        <w:rPr>
          <w:rFonts w:ascii="Times New Roman" w:hAnsi="Times New Roman" w:cs="Times New Roman"/>
          <w:sz w:val="24"/>
          <w:szCs w:val="24"/>
        </w:rPr>
        <w:t xml:space="preserve"> </w:t>
      </w:r>
      <w:r w:rsidR="00092ECC">
        <w:rPr>
          <w:rFonts w:ascii="Times New Roman" w:hAnsi="Times New Roman" w:cs="Times New Roman"/>
          <w:sz w:val="24"/>
          <w:szCs w:val="24"/>
        </w:rPr>
        <w:t>Walker also found that agency rule drafters that their interpretations could be subject to judicial review.</w:t>
      </w:r>
      <w:r w:rsidR="00092ECC">
        <w:rPr>
          <w:rStyle w:val="FootnoteReference"/>
          <w:rFonts w:ascii="Times New Roman" w:hAnsi="Times New Roman" w:cs="Times New Roman"/>
          <w:sz w:val="24"/>
          <w:szCs w:val="24"/>
        </w:rPr>
        <w:footnoteReference w:id="105"/>
      </w:r>
      <w:r w:rsidR="00092ECC">
        <w:rPr>
          <w:rFonts w:ascii="Times New Roman" w:hAnsi="Times New Roman" w:cs="Times New Roman"/>
          <w:sz w:val="24"/>
          <w:szCs w:val="24"/>
        </w:rPr>
        <w:t xml:space="preserve"> </w:t>
      </w:r>
    </w:p>
    <w:p w14:paraId="0F9AF7A4" w14:textId="52578E8A" w:rsidR="000B63BA" w:rsidRPr="00056D6E" w:rsidRDefault="000B63BA" w:rsidP="00056D6E">
      <w:pPr>
        <w:pStyle w:val="ListParagraph"/>
        <w:numPr>
          <w:ilvl w:val="0"/>
          <w:numId w:val="22"/>
        </w:numPr>
        <w:spacing w:after="0" w:line="480" w:lineRule="auto"/>
        <w:rPr>
          <w:rFonts w:ascii="Times New Roman" w:hAnsi="Times New Roman" w:cs="Times New Roman"/>
          <w:b/>
          <w:sz w:val="24"/>
          <w:szCs w:val="24"/>
        </w:rPr>
      </w:pPr>
      <w:r w:rsidRPr="00056D6E">
        <w:rPr>
          <w:rFonts w:ascii="Times New Roman" w:hAnsi="Times New Roman" w:cs="Times New Roman"/>
          <w:b/>
          <w:sz w:val="24"/>
          <w:szCs w:val="24"/>
        </w:rPr>
        <w:t>Analysis of Statutory Interpretation at the NLRB</w:t>
      </w:r>
    </w:p>
    <w:p w14:paraId="471AFDB5" w14:textId="106D6B34" w:rsidR="000B63BA" w:rsidRPr="00FC6F7D" w:rsidRDefault="000B63BA" w:rsidP="000B63B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How then can we apply these theories of statutory interpretation</w:t>
      </w:r>
      <w:r w:rsidR="001B38C2">
        <w:rPr>
          <w:rFonts w:ascii="Times New Roman" w:hAnsi="Times New Roman" w:cs="Times New Roman"/>
          <w:sz w:val="24"/>
          <w:szCs w:val="24"/>
        </w:rPr>
        <w:t xml:space="preserve"> in practice? In this </w:t>
      </w:r>
      <w:r>
        <w:rPr>
          <w:rFonts w:ascii="Times New Roman" w:hAnsi="Times New Roman" w:cs="Times New Roman"/>
          <w:sz w:val="24"/>
          <w:szCs w:val="24"/>
        </w:rPr>
        <w:t>Part, I analyze how</w:t>
      </w:r>
      <w:r w:rsidR="002D13B8">
        <w:rPr>
          <w:rFonts w:ascii="Times New Roman" w:hAnsi="Times New Roman" w:cs="Times New Roman"/>
          <w:sz w:val="24"/>
          <w:szCs w:val="24"/>
        </w:rPr>
        <w:t xml:space="preserve"> one specific agency</w:t>
      </w:r>
      <w:r w:rsidR="00977B0E">
        <w:rPr>
          <w:rFonts w:ascii="Times New Roman" w:hAnsi="Times New Roman" w:cs="Times New Roman"/>
          <w:sz w:val="24"/>
          <w:szCs w:val="24"/>
        </w:rPr>
        <w:t>—</w:t>
      </w:r>
      <w:r w:rsidR="00925379">
        <w:rPr>
          <w:rFonts w:ascii="Times New Roman" w:hAnsi="Times New Roman" w:cs="Times New Roman"/>
          <w:sz w:val="24"/>
          <w:szCs w:val="24"/>
        </w:rPr>
        <w:t>t</w:t>
      </w:r>
      <w:r w:rsidR="002D13B8">
        <w:rPr>
          <w:rFonts w:ascii="Times New Roman" w:hAnsi="Times New Roman" w:cs="Times New Roman"/>
          <w:sz w:val="24"/>
          <w:szCs w:val="24"/>
        </w:rPr>
        <w:t>he NLRB</w:t>
      </w:r>
      <w:r w:rsidR="00925379">
        <w:rPr>
          <w:rFonts w:ascii="Times New Roman" w:hAnsi="Times New Roman" w:cs="Times New Roman"/>
          <w:sz w:val="24"/>
          <w:szCs w:val="24"/>
        </w:rPr>
        <w:t>—</w:t>
      </w:r>
      <w:r>
        <w:rPr>
          <w:rFonts w:ascii="Times New Roman" w:hAnsi="Times New Roman" w:cs="Times New Roman"/>
          <w:sz w:val="24"/>
          <w:szCs w:val="24"/>
        </w:rPr>
        <w:t>interprets s</w:t>
      </w:r>
      <w:r w:rsidR="002D13B8">
        <w:rPr>
          <w:rFonts w:ascii="Times New Roman" w:hAnsi="Times New Roman" w:cs="Times New Roman"/>
          <w:sz w:val="24"/>
          <w:szCs w:val="24"/>
        </w:rPr>
        <w:t>tatutes over a 23</w:t>
      </w:r>
      <w:r w:rsidR="00072675">
        <w:rPr>
          <w:rFonts w:ascii="Times New Roman" w:hAnsi="Times New Roman" w:cs="Times New Roman"/>
          <w:sz w:val="24"/>
          <w:szCs w:val="24"/>
        </w:rPr>
        <w:t>-</w:t>
      </w:r>
      <w:r w:rsidR="00F607FC">
        <w:rPr>
          <w:rFonts w:ascii="Times New Roman" w:hAnsi="Times New Roman" w:cs="Times New Roman"/>
          <w:sz w:val="24"/>
          <w:szCs w:val="24"/>
        </w:rPr>
        <w:t xml:space="preserve">year period. </w:t>
      </w:r>
      <w:r>
        <w:rPr>
          <w:rFonts w:ascii="Times New Roman" w:hAnsi="Times New Roman" w:cs="Times New Roman"/>
          <w:sz w:val="24"/>
          <w:szCs w:val="24"/>
        </w:rPr>
        <w:t>I first provide background on the NLRB</w:t>
      </w:r>
      <w:r w:rsidR="001B38C2">
        <w:rPr>
          <w:rFonts w:ascii="Times New Roman" w:hAnsi="Times New Roman" w:cs="Times New Roman"/>
          <w:sz w:val="24"/>
          <w:szCs w:val="24"/>
        </w:rPr>
        <w:t xml:space="preserve"> in Part II.A</w:t>
      </w:r>
      <w:r w:rsidR="00F607FC">
        <w:rPr>
          <w:rFonts w:ascii="Times New Roman" w:hAnsi="Times New Roman" w:cs="Times New Roman"/>
          <w:sz w:val="24"/>
          <w:szCs w:val="24"/>
        </w:rPr>
        <w:t xml:space="preserve">. </w:t>
      </w:r>
      <w:r>
        <w:rPr>
          <w:rFonts w:ascii="Times New Roman" w:hAnsi="Times New Roman" w:cs="Times New Roman"/>
          <w:sz w:val="24"/>
          <w:szCs w:val="24"/>
        </w:rPr>
        <w:t>Then, in Part II.B, I set forth the methodology I employed as well as</w:t>
      </w:r>
      <w:r w:rsidR="00F607FC">
        <w:rPr>
          <w:rFonts w:ascii="Times New Roman" w:hAnsi="Times New Roman" w:cs="Times New Roman"/>
          <w:sz w:val="24"/>
          <w:szCs w:val="24"/>
        </w:rPr>
        <w:t xml:space="preserve"> how I collected the data. </w:t>
      </w:r>
      <w:r w:rsidR="007A1F0F">
        <w:rPr>
          <w:rFonts w:ascii="Times New Roman" w:hAnsi="Times New Roman" w:cs="Times New Roman"/>
          <w:sz w:val="24"/>
          <w:szCs w:val="24"/>
        </w:rPr>
        <w:t>I</w:t>
      </w:r>
      <w:r>
        <w:rPr>
          <w:rFonts w:ascii="Times New Roman" w:hAnsi="Times New Roman" w:cs="Times New Roman"/>
          <w:sz w:val="24"/>
          <w:szCs w:val="24"/>
        </w:rPr>
        <w:t>n Part II.C, I present summary statistics on my findings</w:t>
      </w:r>
      <w:r w:rsidR="007A1F0F">
        <w:rPr>
          <w:rFonts w:ascii="Times New Roman" w:hAnsi="Times New Roman" w:cs="Times New Roman"/>
          <w:sz w:val="24"/>
          <w:szCs w:val="24"/>
        </w:rPr>
        <w:t xml:space="preserve"> and I also offer a </w:t>
      </w:r>
      <w:r>
        <w:rPr>
          <w:rFonts w:ascii="Times New Roman" w:hAnsi="Times New Roman" w:cs="Times New Roman"/>
          <w:sz w:val="24"/>
          <w:szCs w:val="24"/>
        </w:rPr>
        <w:t>conceptual framewo</w:t>
      </w:r>
      <w:r w:rsidR="007A1F0F">
        <w:rPr>
          <w:rFonts w:ascii="Times New Roman" w:hAnsi="Times New Roman" w:cs="Times New Roman"/>
          <w:sz w:val="24"/>
          <w:szCs w:val="24"/>
        </w:rPr>
        <w:t xml:space="preserve">rk setting forth what I see as </w:t>
      </w:r>
      <w:r>
        <w:rPr>
          <w:rFonts w:ascii="Times New Roman" w:hAnsi="Times New Roman" w:cs="Times New Roman"/>
          <w:sz w:val="24"/>
          <w:szCs w:val="24"/>
        </w:rPr>
        <w:t xml:space="preserve">separate </w:t>
      </w:r>
      <w:r w:rsidR="007A1F0F">
        <w:rPr>
          <w:rFonts w:ascii="Times New Roman" w:hAnsi="Times New Roman" w:cs="Times New Roman"/>
          <w:sz w:val="24"/>
          <w:szCs w:val="24"/>
        </w:rPr>
        <w:t xml:space="preserve">typologies </w:t>
      </w:r>
      <w:r>
        <w:rPr>
          <w:rFonts w:ascii="Times New Roman" w:hAnsi="Times New Roman" w:cs="Times New Roman"/>
          <w:sz w:val="24"/>
          <w:szCs w:val="24"/>
        </w:rPr>
        <w:t>of how the NLRB interprets statut</w:t>
      </w:r>
      <w:r w:rsidR="00F607FC">
        <w:rPr>
          <w:rFonts w:ascii="Times New Roman" w:hAnsi="Times New Roman" w:cs="Times New Roman"/>
          <w:sz w:val="24"/>
          <w:szCs w:val="24"/>
        </w:rPr>
        <w:t>es</w:t>
      </w:r>
      <w:r w:rsidR="009308FF">
        <w:rPr>
          <w:rFonts w:ascii="Times New Roman" w:hAnsi="Times New Roman" w:cs="Times New Roman"/>
          <w:sz w:val="24"/>
          <w:szCs w:val="24"/>
        </w:rPr>
        <w:t xml:space="preserve"> in its majority decisions</w:t>
      </w:r>
      <w:r w:rsidR="00F607FC">
        <w:rPr>
          <w:rFonts w:ascii="Times New Roman" w:hAnsi="Times New Roman" w:cs="Times New Roman"/>
          <w:sz w:val="24"/>
          <w:szCs w:val="24"/>
        </w:rPr>
        <w:t>.</w:t>
      </w:r>
      <w:r w:rsidR="009308FF">
        <w:rPr>
          <w:rFonts w:ascii="Times New Roman" w:hAnsi="Times New Roman" w:cs="Times New Roman"/>
          <w:sz w:val="24"/>
          <w:szCs w:val="24"/>
        </w:rPr>
        <w:t xml:space="preserve"> I turn in Part II.D to look at how dissenters on the Board “duel” with the majority in how they interpret statutes.</w:t>
      </w:r>
      <w:r w:rsidR="00F607FC">
        <w:rPr>
          <w:rFonts w:ascii="Times New Roman" w:hAnsi="Times New Roman" w:cs="Times New Roman"/>
          <w:sz w:val="24"/>
          <w:szCs w:val="24"/>
        </w:rPr>
        <w:t xml:space="preserve"> </w:t>
      </w:r>
      <w:r>
        <w:rPr>
          <w:rFonts w:ascii="Times New Roman" w:hAnsi="Times New Roman" w:cs="Times New Roman"/>
          <w:sz w:val="24"/>
          <w:szCs w:val="24"/>
        </w:rPr>
        <w:t>Finally, in Part II.E, I look a</w:t>
      </w:r>
      <w:r w:rsidR="007230BB">
        <w:rPr>
          <w:rFonts w:ascii="Times New Roman" w:hAnsi="Times New Roman" w:cs="Times New Roman"/>
          <w:sz w:val="24"/>
          <w:szCs w:val="24"/>
        </w:rPr>
        <w:t>t the next step in the process</w:t>
      </w:r>
      <w:r w:rsidR="00785F46">
        <w:rPr>
          <w:rFonts w:ascii="Times New Roman" w:hAnsi="Times New Roman" w:cs="Times New Roman"/>
          <w:sz w:val="24"/>
          <w:szCs w:val="24"/>
        </w:rPr>
        <w:t>—</w:t>
      </w:r>
      <w:r>
        <w:rPr>
          <w:rFonts w:ascii="Times New Roman" w:hAnsi="Times New Roman" w:cs="Times New Roman"/>
          <w:sz w:val="24"/>
          <w:szCs w:val="24"/>
        </w:rPr>
        <w:t>how the reviewing courts interpret the cases heard by the Board and</w:t>
      </w:r>
      <w:r w:rsidR="007230BB">
        <w:rPr>
          <w:rFonts w:ascii="Times New Roman" w:hAnsi="Times New Roman" w:cs="Times New Roman"/>
          <w:sz w:val="24"/>
          <w:szCs w:val="24"/>
        </w:rPr>
        <w:t xml:space="preserve"> how their statutory methods “duel” with those used by the Board</w:t>
      </w:r>
      <w:r w:rsidR="009308FF">
        <w:rPr>
          <w:rFonts w:ascii="Times New Roman" w:hAnsi="Times New Roman" w:cs="Times New Roman"/>
          <w:sz w:val="24"/>
          <w:szCs w:val="24"/>
        </w:rPr>
        <w:t>.</w:t>
      </w:r>
    </w:p>
    <w:p w14:paraId="08B62303" w14:textId="2928EA37" w:rsidR="008A31FA" w:rsidRPr="009308FF" w:rsidRDefault="009308FF" w:rsidP="009308FF">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Background on t</w:t>
      </w:r>
      <w:r w:rsidR="00922E5A" w:rsidRPr="009308FF">
        <w:rPr>
          <w:rFonts w:ascii="Times New Roman" w:hAnsi="Times New Roman" w:cs="Times New Roman"/>
          <w:b/>
          <w:sz w:val="24"/>
          <w:szCs w:val="24"/>
        </w:rPr>
        <w:t>he National Labor Relations Board</w:t>
      </w:r>
    </w:p>
    <w:p w14:paraId="16C75CA3" w14:textId="36375AB8" w:rsidR="00F30195" w:rsidRPr="00FC6F7D" w:rsidRDefault="00F75B38" w:rsidP="00AB3987">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In 1935, Congress</w:t>
      </w:r>
      <w:r w:rsidR="007E03A8" w:rsidRPr="00FC6F7D">
        <w:rPr>
          <w:rFonts w:ascii="Times New Roman" w:hAnsi="Times New Roman" w:cs="Times New Roman"/>
          <w:sz w:val="24"/>
          <w:szCs w:val="24"/>
        </w:rPr>
        <w:t xml:space="preserve"> enacted the National Labor Relations Act (“NLRA”), also known as the Wagner Act, to protect the rights of employee to organize and bargain collectively.</w:t>
      </w:r>
      <w:r w:rsidR="007E03A8" w:rsidRPr="00FC6F7D">
        <w:rPr>
          <w:rStyle w:val="FootnoteReference"/>
          <w:rFonts w:ascii="Times New Roman" w:hAnsi="Times New Roman" w:cs="Times New Roman"/>
          <w:sz w:val="24"/>
          <w:szCs w:val="24"/>
        </w:rPr>
        <w:footnoteReference w:id="106"/>
      </w:r>
      <w:r w:rsidR="007E03A8" w:rsidRPr="00FC6F7D">
        <w:rPr>
          <w:rFonts w:ascii="Times New Roman" w:hAnsi="Times New Roman" w:cs="Times New Roman"/>
          <w:sz w:val="24"/>
          <w:szCs w:val="24"/>
        </w:rPr>
        <w:t xml:space="preserve"> </w:t>
      </w:r>
      <w:r w:rsidR="00F30195" w:rsidRPr="00FC6F7D">
        <w:rPr>
          <w:rFonts w:ascii="Times New Roman" w:hAnsi="Times New Roman" w:cs="Times New Roman"/>
          <w:sz w:val="24"/>
          <w:szCs w:val="24"/>
        </w:rPr>
        <w:t xml:space="preserve">Congress created the Board to </w:t>
      </w:r>
      <w:r w:rsidR="00390C81">
        <w:rPr>
          <w:rFonts w:ascii="Times New Roman" w:hAnsi="Times New Roman" w:cs="Times New Roman"/>
          <w:sz w:val="24"/>
          <w:szCs w:val="24"/>
        </w:rPr>
        <w:t xml:space="preserve">try 1) to </w:t>
      </w:r>
      <w:r w:rsidR="007E03A8" w:rsidRPr="00FC6F7D">
        <w:rPr>
          <w:rFonts w:ascii="Times New Roman" w:hAnsi="Times New Roman" w:cs="Times New Roman"/>
          <w:sz w:val="24"/>
          <w:szCs w:val="24"/>
        </w:rPr>
        <w:t>reduce strikes and industrial st</w:t>
      </w:r>
      <w:r w:rsidR="00F30195" w:rsidRPr="00FC6F7D">
        <w:rPr>
          <w:rFonts w:ascii="Times New Roman" w:hAnsi="Times New Roman" w:cs="Times New Roman"/>
          <w:sz w:val="24"/>
          <w:szCs w:val="24"/>
        </w:rPr>
        <w:t>rife which had burdened commerc</w:t>
      </w:r>
      <w:r w:rsidR="007E03A8" w:rsidRPr="00FC6F7D">
        <w:rPr>
          <w:rFonts w:ascii="Times New Roman" w:hAnsi="Times New Roman" w:cs="Times New Roman"/>
          <w:sz w:val="24"/>
          <w:szCs w:val="24"/>
        </w:rPr>
        <w:t>e and</w:t>
      </w:r>
      <w:r w:rsidR="00390C81">
        <w:rPr>
          <w:rFonts w:ascii="Times New Roman" w:hAnsi="Times New Roman" w:cs="Times New Roman"/>
          <w:sz w:val="24"/>
          <w:szCs w:val="24"/>
        </w:rPr>
        <w:t xml:space="preserve"> 2)</w:t>
      </w:r>
      <w:r w:rsidR="007E03A8" w:rsidRPr="00FC6F7D">
        <w:rPr>
          <w:rFonts w:ascii="Times New Roman" w:hAnsi="Times New Roman" w:cs="Times New Roman"/>
          <w:sz w:val="24"/>
          <w:szCs w:val="24"/>
        </w:rPr>
        <w:t xml:space="preserve"> to increase employee bargaining power which could have the effect of raising wages in the height of the Great Depression.</w:t>
      </w:r>
      <w:r w:rsidR="007E03A8" w:rsidRPr="00FC6F7D">
        <w:rPr>
          <w:rStyle w:val="FootnoteReference"/>
          <w:rFonts w:ascii="Times New Roman" w:hAnsi="Times New Roman" w:cs="Times New Roman"/>
          <w:sz w:val="24"/>
          <w:szCs w:val="24"/>
        </w:rPr>
        <w:footnoteReference w:id="107"/>
      </w:r>
      <w:r w:rsidR="00F607FC">
        <w:rPr>
          <w:rFonts w:ascii="Times New Roman" w:hAnsi="Times New Roman" w:cs="Times New Roman"/>
          <w:sz w:val="24"/>
          <w:szCs w:val="24"/>
        </w:rPr>
        <w:t xml:space="preserve"> </w:t>
      </w:r>
      <w:r w:rsidR="00A233E8" w:rsidRPr="00FC6F7D">
        <w:rPr>
          <w:rFonts w:ascii="Times New Roman" w:hAnsi="Times New Roman" w:cs="Times New Roman"/>
          <w:sz w:val="24"/>
          <w:szCs w:val="24"/>
        </w:rPr>
        <w:t xml:space="preserve">During the New Deal era, </w:t>
      </w:r>
      <w:r w:rsidR="009308FF">
        <w:rPr>
          <w:rFonts w:ascii="Times New Roman" w:hAnsi="Times New Roman" w:cs="Times New Roman"/>
          <w:sz w:val="24"/>
          <w:szCs w:val="24"/>
        </w:rPr>
        <w:t xml:space="preserve">the NLRB was one among </w:t>
      </w:r>
      <w:r w:rsidR="00A233E8" w:rsidRPr="00FC6F7D">
        <w:rPr>
          <w:rFonts w:ascii="Times New Roman" w:hAnsi="Times New Roman" w:cs="Times New Roman"/>
          <w:sz w:val="24"/>
          <w:szCs w:val="24"/>
        </w:rPr>
        <w:t xml:space="preserve">many </w:t>
      </w:r>
      <w:r w:rsidR="009308FF">
        <w:rPr>
          <w:rFonts w:ascii="Times New Roman" w:hAnsi="Times New Roman" w:cs="Times New Roman"/>
          <w:sz w:val="24"/>
          <w:szCs w:val="24"/>
        </w:rPr>
        <w:t xml:space="preserve">new </w:t>
      </w:r>
      <w:r w:rsidR="00A233E8" w:rsidRPr="00FC6F7D">
        <w:rPr>
          <w:rFonts w:ascii="Times New Roman" w:hAnsi="Times New Roman" w:cs="Times New Roman"/>
          <w:sz w:val="24"/>
          <w:szCs w:val="24"/>
        </w:rPr>
        <w:t xml:space="preserve">administrative agencies created to handle the responsibilities of a burgeoning </w:t>
      </w:r>
      <w:r w:rsidR="00A233E8" w:rsidRPr="00FC6F7D">
        <w:rPr>
          <w:rFonts w:ascii="Times New Roman" w:hAnsi="Times New Roman" w:cs="Times New Roman"/>
          <w:sz w:val="24"/>
          <w:szCs w:val="24"/>
        </w:rPr>
        <w:lastRenderedPageBreak/>
        <w:t>administrative state.</w:t>
      </w:r>
      <w:r w:rsidR="00F31828" w:rsidRPr="00FC6F7D">
        <w:rPr>
          <w:rStyle w:val="FootnoteReference"/>
          <w:rFonts w:ascii="Times New Roman" w:hAnsi="Times New Roman" w:cs="Times New Roman"/>
          <w:sz w:val="24"/>
          <w:szCs w:val="24"/>
        </w:rPr>
        <w:footnoteReference w:id="108"/>
      </w:r>
      <w:r w:rsidR="001D0E7F" w:rsidRPr="00FC6F7D">
        <w:rPr>
          <w:rFonts w:ascii="Times New Roman" w:hAnsi="Times New Roman" w:cs="Times New Roman"/>
          <w:sz w:val="24"/>
          <w:szCs w:val="24"/>
        </w:rPr>
        <w:t xml:space="preserve"> </w:t>
      </w:r>
      <w:r w:rsidR="009308FF">
        <w:rPr>
          <w:rFonts w:ascii="Times New Roman" w:hAnsi="Times New Roman" w:cs="Times New Roman"/>
          <w:sz w:val="24"/>
          <w:szCs w:val="24"/>
        </w:rPr>
        <w:t>J</w:t>
      </w:r>
      <w:r w:rsidR="001D0E7F" w:rsidRPr="00FC6F7D">
        <w:rPr>
          <w:rFonts w:ascii="Times New Roman" w:hAnsi="Times New Roman" w:cs="Times New Roman"/>
          <w:sz w:val="24"/>
          <w:szCs w:val="24"/>
        </w:rPr>
        <w:t>udicial a</w:t>
      </w:r>
      <w:r w:rsidR="00A233E8" w:rsidRPr="00FC6F7D">
        <w:rPr>
          <w:rFonts w:ascii="Times New Roman" w:hAnsi="Times New Roman" w:cs="Times New Roman"/>
          <w:sz w:val="24"/>
          <w:szCs w:val="24"/>
        </w:rPr>
        <w:t>version to unions had caused many to be fearful of using courts as a vehicle to combat labor abuses so Congress deliberately created an administrative agency to handle disputes a</w:t>
      </w:r>
      <w:r w:rsidR="008002AB">
        <w:rPr>
          <w:rFonts w:ascii="Times New Roman" w:hAnsi="Times New Roman" w:cs="Times New Roman"/>
          <w:sz w:val="24"/>
          <w:szCs w:val="24"/>
        </w:rPr>
        <w:t xml:space="preserve">s </w:t>
      </w:r>
      <w:r w:rsidR="00A233E8" w:rsidRPr="00FC6F7D">
        <w:rPr>
          <w:rFonts w:ascii="Times New Roman" w:hAnsi="Times New Roman" w:cs="Times New Roman"/>
          <w:sz w:val="24"/>
          <w:szCs w:val="24"/>
        </w:rPr>
        <w:t>an express alternative to courts.</w:t>
      </w:r>
      <w:bookmarkStart w:id="17" w:name="_Ref460548486"/>
      <w:r w:rsidR="00A233E8" w:rsidRPr="00FC6F7D">
        <w:rPr>
          <w:rStyle w:val="FootnoteReference"/>
          <w:rFonts w:ascii="Times New Roman" w:hAnsi="Times New Roman" w:cs="Times New Roman"/>
          <w:sz w:val="24"/>
          <w:szCs w:val="24"/>
        </w:rPr>
        <w:footnoteReference w:id="109"/>
      </w:r>
      <w:bookmarkEnd w:id="17"/>
      <w:r w:rsidR="006D7765" w:rsidRPr="00FC6F7D">
        <w:rPr>
          <w:rFonts w:ascii="Times New Roman" w:hAnsi="Times New Roman" w:cs="Times New Roman"/>
          <w:sz w:val="24"/>
          <w:szCs w:val="24"/>
        </w:rPr>
        <w:t xml:space="preserve"> </w:t>
      </w:r>
      <w:r w:rsidR="009308FF">
        <w:rPr>
          <w:rFonts w:ascii="Times New Roman" w:hAnsi="Times New Roman" w:cs="Times New Roman"/>
          <w:sz w:val="24"/>
          <w:szCs w:val="24"/>
        </w:rPr>
        <w:t>As such, t</w:t>
      </w:r>
      <w:r w:rsidR="00F30195" w:rsidRPr="00FC6F7D">
        <w:rPr>
          <w:rFonts w:ascii="Times New Roman" w:hAnsi="Times New Roman" w:cs="Times New Roman"/>
          <w:sz w:val="24"/>
          <w:szCs w:val="24"/>
        </w:rPr>
        <w:t>hrough the Wagner Act, Congress created the Board to both prosecute NLRB cases as well as to supervise union elections.</w:t>
      </w:r>
      <w:r w:rsidR="00F30195" w:rsidRPr="00FC6F7D">
        <w:rPr>
          <w:rStyle w:val="FootnoteReference"/>
          <w:rFonts w:ascii="Times New Roman" w:hAnsi="Times New Roman" w:cs="Times New Roman"/>
          <w:sz w:val="24"/>
          <w:szCs w:val="24"/>
        </w:rPr>
        <w:footnoteReference w:id="110"/>
      </w:r>
      <w:r w:rsidR="00F607FC">
        <w:rPr>
          <w:rFonts w:ascii="Times New Roman" w:hAnsi="Times New Roman" w:cs="Times New Roman"/>
          <w:sz w:val="24"/>
          <w:szCs w:val="24"/>
        </w:rPr>
        <w:t xml:space="preserve"> </w:t>
      </w:r>
      <w:r w:rsidR="00F30195" w:rsidRPr="00FC6F7D">
        <w:rPr>
          <w:rFonts w:ascii="Times New Roman" w:hAnsi="Times New Roman" w:cs="Times New Roman"/>
          <w:sz w:val="24"/>
          <w:szCs w:val="24"/>
        </w:rPr>
        <w:t>As reflected in its legislative history, Senator Robert Wagner, architect of the NLRA, intended the Board to be a non-partisan tribunal that would make decisions detached from the whims of changing administrations.</w:t>
      </w:r>
      <w:r w:rsidR="00F30195" w:rsidRPr="00FC6F7D">
        <w:rPr>
          <w:rStyle w:val="FootnoteReference"/>
          <w:rFonts w:ascii="Times New Roman" w:hAnsi="Times New Roman" w:cs="Times New Roman"/>
          <w:sz w:val="24"/>
          <w:szCs w:val="24"/>
        </w:rPr>
        <w:footnoteReference w:id="111"/>
      </w:r>
      <w:r w:rsidR="00561F6F">
        <w:rPr>
          <w:rFonts w:ascii="Times New Roman" w:hAnsi="Times New Roman" w:cs="Times New Roman"/>
          <w:sz w:val="24"/>
          <w:szCs w:val="24"/>
        </w:rPr>
        <w:t xml:space="preserve"> The new Board differed from its predecessor, </w:t>
      </w:r>
      <w:r w:rsidR="00F05479">
        <w:rPr>
          <w:rFonts w:ascii="Times New Roman" w:hAnsi="Times New Roman" w:cs="Times New Roman"/>
          <w:sz w:val="24"/>
          <w:szCs w:val="24"/>
        </w:rPr>
        <w:t>the National Labor Board</w:t>
      </w:r>
      <w:r w:rsidR="00561F6F">
        <w:rPr>
          <w:rFonts w:ascii="Times New Roman" w:hAnsi="Times New Roman" w:cs="Times New Roman"/>
          <w:sz w:val="24"/>
          <w:szCs w:val="24"/>
        </w:rPr>
        <w:t>, an arbitral body composed of two members each from labor and industry, with a final seat as representative of the public interest</w:t>
      </w:r>
      <w:r w:rsidR="00F30195" w:rsidRPr="00FC6F7D">
        <w:rPr>
          <w:rFonts w:ascii="Times New Roman" w:hAnsi="Times New Roman" w:cs="Times New Roman"/>
          <w:sz w:val="24"/>
          <w:szCs w:val="24"/>
        </w:rPr>
        <w:t>.</w:t>
      </w:r>
      <w:bookmarkStart w:id="18" w:name="_Ref460548343"/>
      <w:r w:rsidR="00F30195" w:rsidRPr="00FC6F7D">
        <w:rPr>
          <w:rStyle w:val="FootnoteReference"/>
          <w:rFonts w:ascii="Times New Roman" w:hAnsi="Times New Roman" w:cs="Times New Roman"/>
          <w:sz w:val="24"/>
          <w:szCs w:val="24"/>
        </w:rPr>
        <w:footnoteReference w:id="112"/>
      </w:r>
      <w:bookmarkEnd w:id="18"/>
      <w:r w:rsidR="00F607FC">
        <w:rPr>
          <w:rFonts w:ascii="Times New Roman" w:hAnsi="Times New Roman" w:cs="Times New Roman"/>
          <w:sz w:val="24"/>
          <w:szCs w:val="24"/>
        </w:rPr>
        <w:t xml:space="preserve"> </w:t>
      </w:r>
      <w:r w:rsidR="00561F6F">
        <w:rPr>
          <w:rFonts w:ascii="Times New Roman" w:hAnsi="Times New Roman" w:cs="Times New Roman"/>
          <w:sz w:val="24"/>
          <w:szCs w:val="24"/>
        </w:rPr>
        <w:t>The new Board would have no pre-reserved seats</w:t>
      </w:r>
      <w:r w:rsidR="00F53C7F">
        <w:rPr>
          <w:rFonts w:ascii="Times New Roman" w:hAnsi="Times New Roman" w:cs="Times New Roman"/>
          <w:sz w:val="24"/>
          <w:szCs w:val="24"/>
        </w:rPr>
        <w:t>, because there was a feeling that</w:t>
      </w:r>
      <w:r w:rsidR="00561F6F">
        <w:rPr>
          <w:rFonts w:ascii="Times New Roman" w:hAnsi="Times New Roman" w:cs="Times New Roman"/>
          <w:sz w:val="24"/>
          <w:szCs w:val="24"/>
        </w:rPr>
        <w:t xml:space="preserve"> </w:t>
      </w:r>
      <w:r w:rsidR="00837C52">
        <w:rPr>
          <w:rFonts w:ascii="Times New Roman" w:hAnsi="Times New Roman" w:cs="Times New Roman"/>
          <w:sz w:val="24"/>
          <w:szCs w:val="24"/>
        </w:rPr>
        <w:t>it would represent the public interest.</w:t>
      </w:r>
      <w:r w:rsidR="00297D38">
        <w:rPr>
          <w:rStyle w:val="FootnoteReference"/>
          <w:rFonts w:ascii="Times New Roman" w:hAnsi="Times New Roman" w:cs="Times New Roman"/>
          <w:sz w:val="24"/>
          <w:szCs w:val="24"/>
        </w:rPr>
        <w:footnoteReference w:id="113"/>
      </w:r>
      <w:r w:rsidR="00561F6F">
        <w:rPr>
          <w:rFonts w:ascii="Times New Roman" w:hAnsi="Times New Roman" w:cs="Times New Roman"/>
          <w:sz w:val="24"/>
          <w:szCs w:val="24"/>
        </w:rPr>
        <w:t xml:space="preserve"> </w:t>
      </w:r>
      <w:r w:rsidR="00F05479">
        <w:rPr>
          <w:rFonts w:ascii="Times New Roman" w:hAnsi="Times New Roman" w:cs="Times New Roman"/>
          <w:sz w:val="24"/>
          <w:szCs w:val="24"/>
        </w:rPr>
        <w:t>Appointments</w:t>
      </w:r>
      <w:r w:rsidR="00561F6F">
        <w:rPr>
          <w:rFonts w:ascii="Times New Roman" w:hAnsi="Times New Roman" w:cs="Times New Roman"/>
          <w:sz w:val="24"/>
          <w:szCs w:val="24"/>
        </w:rPr>
        <w:t xml:space="preserve"> in the first half-century reflected this spirit with many appointees rising from academia or government.</w:t>
      </w:r>
      <w:r w:rsidR="00561F6F">
        <w:rPr>
          <w:rStyle w:val="FootnoteReference"/>
          <w:rFonts w:ascii="Times New Roman" w:hAnsi="Times New Roman" w:cs="Times New Roman"/>
          <w:sz w:val="24"/>
          <w:szCs w:val="24"/>
        </w:rPr>
        <w:footnoteReference w:id="114"/>
      </w:r>
      <w:r w:rsidR="00561F6F">
        <w:rPr>
          <w:rFonts w:ascii="Times New Roman" w:hAnsi="Times New Roman" w:cs="Times New Roman"/>
          <w:sz w:val="24"/>
          <w:szCs w:val="24"/>
        </w:rPr>
        <w:t xml:space="preserve"> </w:t>
      </w:r>
      <w:r w:rsidR="00F30195" w:rsidRPr="00FC6F7D">
        <w:rPr>
          <w:rFonts w:ascii="Times New Roman" w:hAnsi="Times New Roman" w:cs="Times New Roman"/>
          <w:sz w:val="24"/>
          <w:szCs w:val="24"/>
        </w:rPr>
        <w:t>Also, despite efforts by the Department of Labor to include the Board within its ambit, Congress created the Board as an independent agency so as to give it some distance from the political branches.</w:t>
      </w:r>
      <w:r w:rsidR="000E6D59">
        <w:rPr>
          <w:rStyle w:val="FootnoteReference"/>
          <w:rFonts w:ascii="Times New Roman" w:hAnsi="Times New Roman" w:cs="Times New Roman"/>
          <w:sz w:val="24"/>
          <w:szCs w:val="24"/>
        </w:rPr>
        <w:footnoteReference w:id="115"/>
      </w:r>
      <w:r w:rsidR="00F30195" w:rsidRPr="00FC6F7D">
        <w:rPr>
          <w:rFonts w:ascii="Times New Roman" w:hAnsi="Times New Roman" w:cs="Times New Roman"/>
          <w:sz w:val="24"/>
          <w:szCs w:val="24"/>
        </w:rPr>
        <w:t xml:space="preserve"> </w:t>
      </w:r>
      <w:r w:rsidR="0037119E">
        <w:rPr>
          <w:rFonts w:ascii="Times New Roman" w:hAnsi="Times New Roman" w:cs="Times New Roman"/>
          <w:sz w:val="24"/>
          <w:szCs w:val="24"/>
        </w:rPr>
        <w:t>Creators</w:t>
      </w:r>
      <w:r w:rsidR="00F30195" w:rsidRPr="00FC6F7D">
        <w:rPr>
          <w:rFonts w:ascii="Times New Roman" w:hAnsi="Times New Roman" w:cs="Times New Roman"/>
          <w:sz w:val="24"/>
          <w:szCs w:val="24"/>
        </w:rPr>
        <w:t xml:space="preserve"> of the Board wanted a body that would be </w:t>
      </w:r>
      <w:r w:rsidR="00F30195" w:rsidRPr="00FC6F7D">
        <w:rPr>
          <w:rFonts w:ascii="Times New Roman" w:hAnsi="Times New Roman" w:cs="Times New Roman"/>
          <w:sz w:val="24"/>
          <w:szCs w:val="24"/>
        </w:rPr>
        <w:lastRenderedPageBreak/>
        <w:t>flexible enough to respond to changing circumstances while at the same time be responsive to political overseers.</w:t>
      </w:r>
      <w:bookmarkStart w:id="19" w:name="_Ref460548375"/>
      <w:r w:rsidR="00F30195" w:rsidRPr="00FC6F7D">
        <w:rPr>
          <w:rStyle w:val="FootnoteReference"/>
          <w:rFonts w:ascii="Times New Roman" w:hAnsi="Times New Roman" w:cs="Times New Roman"/>
          <w:sz w:val="24"/>
          <w:szCs w:val="24"/>
        </w:rPr>
        <w:footnoteReference w:id="116"/>
      </w:r>
      <w:bookmarkEnd w:id="19"/>
      <w:r w:rsidR="00AB3987">
        <w:rPr>
          <w:rFonts w:ascii="Times New Roman" w:hAnsi="Times New Roman" w:cs="Times New Roman"/>
          <w:sz w:val="24"/>
          <w:szCs w:val="24"/>
        </w:rPr>
        <w:t xml:space="preserve"> </w:t>
      </w:r>
      <w:r w:rsidR="009D12A5">
        <w:rPr>
          <w:rFonts w:ascii="Times New Roman" w:hAnsi="Times New Roman" w:cs="Times New Roman"/>
          <w:sz w:val="24"/>
          <w:szCs w:val="24"/>
        </w:rPr>
        <w:t xml:space="preserve">The </w:t>
      </w:r>
      <w:r w:rsidR="00AB3987">
        <w:rPr>
          <w:rFonts w:ascii="Times New Roman" w:hAnsi="Times New Roman" w:cs="Times New Roman"/>
          <w:sz w:val="24"/>
          <w:szCs w:val="24"/>
        </w:rPr>
        <w:t xml:space="preserve">legislative history indicates that Congress deliberately meant for Board member terms to be short and for there often to be turnover so as to ensure </w:t>
      </w:r>
      <w:r w:rsidR="009D12A5">
        <w:rPr>
          <w:rFonts w:ascii="Times New Roman" w:hAnsi="Times New Roman" w:cs="Times New Roman"/>
          <w:sz w:val="24"/>
          <w:szCs w:val="24"/>
        </w:rPr>
        <w:t xml:space="preserve">that </w:t>
      </w:r>
      <w:r w:rsidR="00AB3987">
        <w:rPr>
          <w:rFonts w:ascii="Times New Roman" w:hAnsi="Times New Roman" w:cs="Times New Roman"/>
          <w:sz w:val="24"/>
          <w:szCs w:val="24"/>
        </w:rPr>
        <w:t>responsiveness.</w:t>
      </w:r>
      <w:r w:rsidR="00AB3987">
        <w:rPr>
          <w:rStyle w:val="FootnoteReference"/>
          <w:rFonts w:ascii="Times New Roman" w:hAnsi="Times New Roman" w:cs="Times New Roman"/>
          <w:sz w:val="24"/>
          <w:szCs w:val="24"/>
        </w:rPr>
        <w:footnoteReference w:id="117"/>
      </w:r>
    </w:p>
    <w:p w14:paraId="3273D49F" w14:textId="7EB8901A" w:rsidR="00AB3987" w:rsidRPr="00FC6F7D" w:rsidRDefault="00F30195" w:rsidP="00AB3987">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After widespread labor strife</w:t>
      </w:r>
      <w:r w:rsidR="009308FF">
        <w:rPr>
          <w:rFonts w:ascii="Times New Roman" w:hAnsi="Times New Roman" w:cs="Times New Roman"/>
          <w:sz w:val="24"/>
          <w:szCs w:val="24"/>
        </w:rPr>
        <w:t xml:space="preserve"> and claims by opponents that the NLRB acted too much in a pro-labor fashion</w:t>
      </w:r>
      <w:r w:rsidRPr="00FC6F7D">
        <w:rPr>
          <w:rFonts w:ascii="Times New Roman" w:hAnsi="Times New Roman" w:cs="Times New Roman"/>
          <w:sz w:val="24"/>
          <w:szCs w:val="24"/>
        </w:rPr>
        <w:t xml:space="preserve">, </w:t>
      </w:r>
      <w:r w:rsidR="00946C48" w:rsidRPr="00FC6F7D">
        <w:rPr>
          <w:rFonts w:ascii="Times New Roman" w:hAnsi="Times New Roman" w:cs="Times New Roman"/>
          <w:sz w:val="24"/>
          <w:szCs w:val="24"/>
        </w:rPr>
        <w:t xml:space="preserve">Congress amended the Wagner Act in </w:t>
      </w:r>
      <w:r w:rsidRPr="00FC6F7D">
        <w:rPr>
          <w:rFonts w:ascii="Times New Roman" w:hAnsi="Times New Roman" w:cs="Times New Roman"/>
          <w:sz w:val="24"/>
          <w:szCs w:val="24"/>
        </w:rPr>
        <w:t>1947 through the Taft-Hartley amendments to apply certain provisions to union abuses</w:t>
      </w:r>
      <w:r w:rsidR="002D6C12">
        <w:rPr>
          <w:rFonts w:ascii="Times New Roman" w:hAnsi="Times New Roman" w:cs="Times New Roman"/>
          <w:sz w:val="24"/>
          <w:szCs w:val="24"/>
        </w:rPr>
        <w:t>, among other changes.</w:t>
      </w:r>
      <w:r w:rsidR="000E3986">
        <w:rPr>
          <w:rStyle w:val="FootnoteReference"/>
          <w:rFonts w:ascii="Times New Roman" w:hAnsi="Times New Roman" w:cs="Times New Roman"/>
          <w:sz w:val="24"/>
          <w:szCs w:val="24"/>
        </w:rPr>
        <w:footnoteReference w:id="118"/>
      </w:r>
      <w:r w:rsidR="002D6C12">
        <w:rPr>
          <w:rFonts w:ascii="Times New Roman" w:hAnsi="Times New Roman" w:cs="Times New Roman"/>
          <w:sz w:val="24"/>
          <w:szCs w:val="24"/>
        </w:rPr>
        <w:t xml:space="preserve"> </w:t>
      </w:r>
      <w:r w:rsidR="00AB3987">
        <w:rPr>
          <w:rFonts w:ascii="Times New Roman" w:hAnsi="Times New Roman" w:cs="Times New Roman"/>
          <w:sz w:val="24"/>
          <w:szCs w:val="24"/>
        </w:rPr>
        <w:t>The NRLA has somewhat of an inconsistent mandate in that it represents somewhat of an “odd marriage” between the Wagner Act and the Taft-Hartley Act.</w:t>
      </w:r>
      <w:r w:rsidR="00AB3987">
        <w:rPr>
          <w:rStyle w:val="FootnoteReference"/>
          <w:rFonts w:ascii="Times New Roman" w:hAnsi="Times New Roman" w:cs="Times New Roman"/>
          <w:sz w:val="24"/>
          <w:szCs w:val="24"/>
        </w:rPr>
        <w:footnoteReference w:id="119"/>
      </w:r>
      <w:r w:rsidR="00AB3987">
        <w:rPr>
          <w:rFonts w:ascii="Times New Roman" w:hAnsi="Times New Roman" w:cs="Times New Roman"/>
          <w:sz w:val="24"/>
          <w:szCs w:val="24"/>
        </w:rPr>
        <w:t xml:space="preserve"> The Act itself is a reflection of different standards and operates somewhat at cross-purposes. As </w:t>
      </w:r>
      <w:r w:rsidR="000E6D59">
        <w:rPr>
          <w:rFonts w:ascii="Times New Roman" w:hAnsi="Times New Roman" w:cs="Times New Roman"/>
          <w:sz w:val="24"/>
          <w:szCs w:val="24"/>
        </w:rPr>
        <w:t xml:space="preserve">Catherine </w:t>
      </w:r>
      <w:r w:rsidR="00AB3987">
        <w:rPr>
          <w:rFonts w:ascii="Times New Roman" w:hAnsi="Times New Roman" w:cs="Times New Roman"/>
          <w:sz w:val="24"/>
          <w:szCs w:val="24"/>
        </w:rPr>
        <w:t xml:space="preserve">Fisk and </w:t>
      </w:r>
      <w:r w:rsidR="000E6D59">
        <w:rPr>
          <w:rFonts w:ascii="Times New Roman" w:hAnsi="Times New Roman" w:cs="Times New Roman"/>
          <w:sz w:val="24"/>
          <w:szCs w:val="24"/>
        </w:rPr>
        <w:t xml:space="preserve">Deborah </w:t>
      </w:r>
      <w:r w:rsidR="00AB3987">
        <w:rPr>
          <w:rFonts w:ascii="Times New Roman" w:hAnsi="Times New Roman" w:cs="Times New Roman"/>
          <w:sz w:val="24"/>
          <w:szCs w:val="24"/>
        </w:rPr>
        <w:t>Malamud</w:t>
      </w:r>
      <w:r w:rsidR="000E6D59">
        <w:rPr>
          <w:rFonts w:ascii="Times New Roman" w:hAnsi="Times New Roman" w:cs="Times New Roman"/>
          <w:sz w:val="24"/>
          <w:szCs w:val="24"/>
        </w:rPr>
        <w:t xml:space="preserve"> question</w:t>
      </w:r>
      <w:r w:rsidR="00AB3987">
        <w:rPr>
          <w:rFonts w:ascii="Times New Roman" w:hAnsi="Times New Roman" w:cs="Times New Roman"/>
          <w:sz w:val="24"/>
          <w:szCs w:val="24"/>
        </w:rPr>
        <w:t>, “How radically pro-union was the Wagner Act, and how radically anti-union was Taft-Hartley”?</w:t>
      </w:r>
      <w:r w:rsidR="00AB3987">
        <w:rPr>
          <w:rStyle w:val="FootnoteReference"/>
          <w:rFonts w:ascii="Times New Roman" w:hAnsi="Times New Roman" w:cs="Times New Roman"/>
          <w:sz w:val="24"/>
          <w:szCs w:val="24"/>
        </w:rPr>
        <w:footnoteReference w:id="120"/>
      </w:r>
      <w:r w:rsidR="00AB3987">
        <w:rPr>
          <w:rFonts w:ascii="Times New Roman" w:hAnsi="Times New Roman" w:cs="Times New Roman"/>
          <w:sz w:val="24"/>
          <w:szCs w:val="24"/>
        </w:rPr>
        <w:t xml:space="preserve"> Some labor scholars contend that the Wagner Act was a “transformative, pro-union, pro-collective bargaining ‘super statute’ with Taft Hartley being merely an amendment to reduce the power of unions and NLRB abuses of power, but which did not alter fundamentally the liberal basis of the Wagner Act.</w:t>
      </w:r>
      <w:r w:rsidR="00AB3987">
        <w:rPr>
          <w:rStyle w:val="FootnoteReference"/>
          <w:rFonts w:ascii="Times New Roman" w:hAnsi="Times New Roman" w:cs="Times New Roman"/>
          <w:sz w:val="24"/>
          <w:szCs w:val="24"/>
        </w:rPr>
        <w:footnoteReference w:id="121"/>
      </w:r>
      <w:r w:rsidR="00AB3987">
        <w:rPr>
          <w:rFonts w:ascii="Times New Roman" w:hAnsi="Times New Roman" w:cs="Times New Roman"/>
          <w:sz w:val="24"/>
          <w:szCs w:val="24"/>
        </w:rPr>
        <w:t xml:space="preserve"> Other scholars see Taft-Hartley as altering the pro-union bent of the Wagner Act by imposing significant changes on the power of the Board.</w:t>
      </w:r>
      <w:r w:rsidR="00AB3987">
        <w:rPr>
          <w:rStyle w:val="FootnoteReference"/>
          <w:rFonts w:ascii="Times New Roman" w:hAnsi="Times New Roman" w:cs="Times New Roman"/>
          <w:sz w:val="24"/>
          <w:szCs w:val="24"/>
        </w:rPr>
        <w:footnoteReference w:id="122"/>
      </w:r>
    </w:p>
    <w:p w14:paraId="4FD0EE1D" w14:textId="3F93C27A" w:rsidR="002D6C12" w:rsidRDefault="00AB3987" w:rsidP="001B62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addition to providing for unfair labor charges to be brought against unions as well as employers, t</w:t>
      </w:r>
      <w:r w:rsidR="002D6C12">
        <w:rPr>
          <w:rFonts w:ascii="Times New Roman" w:hAnsi="Times New Roman" w:cs="Times New Roman"/>
          <w:sz w:val="24"/>
          <w:szCs w:val="24"/>
        </w:rPr>
        <w:t>he Taft-</w:t>
      </w:r>
      <w:r w:rsidR="00F30195" w:rsidRPr="00FC6F7D">
        <w:rPr>
          <w:rFonts w:ascii="Times New Roman" w:hAnsi="Times New Roman" w:cs="Times New Roman"/>
          <w:sz w:val="24"/>
          <w:szCs w:val="24"/>
        </w:rPr>
        <w:t>Hartley Act expanded th</w:t>
      </w:r>
      <w:r w:rsidR="000B63BA">
        <w:rPr>
          <w:rFonts w:ascii="Times New Roman" w:hAnsi="Times New Roman" w:cs="Times New Roman"/>
          <w:sz w:val="24"/>
          <w:szCs w:val="24"/>
        </w:rPr>
        <w:t>e size of the Board and created</w:t>
      </w:r>
      <w:r w:rsidR="00F30195" w:rsidRPr="00FC6F7D">
        <w:rPr>
          <w:rFonts w:ascii="Times New Roman" w:hAnsi="Times New Roman" w:cs="Times New Roman"/>
          <w:sz w:val="24"/>
          <w:szCs w:val="24"/>
        </w:rPr>
        <w:t xml:space="preserve"> an Office of General Counsel so as to separate out adjudicativ</w:t>
      </w:r>
      <w:r>
        <w:rPr>
          <w:rFonts w:ascii="Times New Roman" w:hAnsi="Times New Roman" w:cs="Times New Roman"/>
          <w:sz w:val="24"/>
          <w:szCs w:val="24"/>
        </w:rPr>
        <w:t>e from prosecutorial functions</w:t>
      </w:r>
      <w:r w:rsidR="0037119E">
        <w:rPr>
          <w:rFonts w:ascii="Times New Roman" w:hAnsi="Times New Roman" w:cs="Times New Roman"/>
          <w:sz w:val="24"/>
          <w:szCs w:val="24"/>
        </w:rPr>
        <w:t>—</w:t>
      </w:r>
      <w:r w:rsidR="00F30195" w:rsidRPr="00FC6F7D">
        <w:rPr>
          <w:rFonts w:ascii="Times New Roman" w:hAnsi="Times New Roman" w:cs="Times New Roman"/>
          <w:sz w:val="24"/>
          <w:szCs w:val="24"/>
        </w:rPr>
        <w:t>a unique feature of the NLRB among federal agencies</w:t>
      </w:r>
      <w:r w:rsidR="006D7765" w:rsidRPr="00FC6F7D">
        <w:rPr>
          <w:rFonts w:ascii="Times New Roman" w:hAnsi="Times New Roman" w:cs="Times New Roman"/>
          <w:sz w:val="24"/>
          <w:szCs w:val="24"/>
        </w:rPr>
        <w:t>.</w:t>
      </w:r>
      <w:r w:rsidR="006D7765" w:rsidRPr="00FC6F7D">
        <w:rPr>
          <w:rStyle w:val="FootnoteReference"/>
          <w:rFonts w:ascii="Times New Roman" w:hAnsi="Times New Roman" w:cs="Times New Roman"/>
          <w:sz w:val="24"/>
          <w:szCs w:val="24"/>
        </w:rPr>
        <w:footnoteReference w:id="123"/>
      </w:r>
      <w:r w:rsidR="006D7765" w:rsidRPr="00FC6F7D">
        <w:rPr>
          <w:rFonts w:ascii="Times New Roman" w:hAnsi="Times New Roman" w:cs="Times New Roman"/>
          <w:sz w:val="24"/>
          <w:szCs w:val="24"/>
        </w:rPr>
        <w:t xml:space="preserve"> </w:t>
      </w:r>
      <w:r w:rsidR="00E876C1" w:rsidRPr="00FC6F7D">
        <w:rPr>
          <w:rFonts w:ascii="Times New Roman" w:hAnsi="Times New Roman" w:cs="Times New Roman"/>
          <w:sz w:val="24"/>
          <w:szCs w:val="24"/>
        </w:rPr>
        <w:t>The President appoints members for staggered five year terms with the advice and consent of the Senate.</w:t>
      </w:r>
      <w:r w:rsidR="00E876C1" w:rsidRPr="00FC6F7D">
        <w:rPr>
          <w:rStyle w:val="FootnoteReference"/>
          <w:rFonts w:ascii="Times New Roman" w:hAnsi="Times New Roman" w:cs="Times New Roman"/>
          <w:sz w:val="24"/>
          <w:szCs w:val="24"/>
        </w:rPr>
        <w:footnoteReference w:id="124"/>
      </w:r>
      <w:r w:rsidR="00F607FC">
        <w:rPr>
          <w:rFonts w:ascii="Times New Roman" w:hAnsi="Times New Roman" w:cs="Times New Roman"/>
          <w:sz w:val="24"/>
          <w:szCs w:val="24"/>
        </w:rPr>
        <w:t xml:space="preserve"> </w:t>
      </w:r>
      <w:r w:rsidR="00E876C1" w:rsidRPr="00FC6F7D">
        <w:rPr>
          <w:rFonts w:ascii="Times New Roman" w:hAnsi="Times New Roman" w:cs="Times New Roman"/>
          <w:sz w:val="24"/>
          <w:szCs w:val="24"/>
        </w:rPr>
        <w:t>Although early Board members largely hailed from academia or the government, more recent appointees come from a clear labor or management background.</w:t>
      </w:r>
      <w:r w:rsidR="00E876C1" w:rsidRPr="00FC6F7D">
        <w:rPr>
          <w:rStyle w:val="FootnoteReference"/>
          <w:rFonts w:ascii="Times New Roman" w:hAnsi="Times New Roman" w:cs="Times New Roman"/>
          <w:sz w:val="24"/>
          <w:szCs w:val="24"/>
        </w:rPr>
        <w:footnoteReference w:id="125"/>
      </w:r>
      <w:r w:rsidR="00F607FC">
        <w:rPr>
          <w:rFonts w:ascii="Times New Roman" w:hAnsi="Times New Roman" w:cs="Times New Roman"/>
          <w:sz w:val="24"/>
          <w:szCs w:val="24"/>
        </w:rPr>
        <w:t xml:space="preserve"> </w:t>
      </w:r>
    </w:p>
    <w:p w14:paraId="1FC7D350" w14:textId="4DEC46D6" w:rsidR="00F05479" w:rsidRDefault="009308FF" w:rsidP="009308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w:t>
      </w:r>
      <w:r w:rsidRPr="00FC6F7D">
        <w:rPr>
          <w:rFonts w:ascii="Times New Roman" w:hAnsi="Times New Roman" w:cs="Times New Roman"/>
          <w:sz w:val="24"/>
          <w:szCs w:val="24"/>
        </w:rPr>
        <w:t>nlike many other agencies, the NLRB has chosen to proceed primarily through adjudication in its policymaking, only engaging in rulemaking in one instance</w:t>
      </w:r>
      <w:r w:rsidR="00F05479">
        <w:rPr>
          <w:rFonts w:ascii="Times New Roman" w:hAnsi="Times New Roman" w:cs="Times New Roman"/>
          <w:sz w:val="24"/>
          <w:szCs w:val="24"/>
        </w:rPr>
        <w:t xml:space="preserve"> in its 75-year history</w:t>
      </w:r>
      <w:r w:rsidRPr="00FC6F7D">
        <w:rPr>
          <w:rFonts w:ascii="Times New Roman" w:hAnsi="Times New Roman" w:cs="Times New Roman"/>
          <w:sz w:val="24"/>
          <w:szCs w:val="24"/>
        </w:rPr>
        <w:t>.</w:t>
      </w:r>
      <w:r w:rsidRPr="00FC6F7D">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T</w:t>
      </w:r>
      <w:r w:rsidR="00A233E8" w:rsidRPr="00FC6F7D">
        <w:rPr>
          <w:rFonts w:ascii="Times New Roman" w:hAnsi="Times New Roman" w:cs="Times New Roman"/>
          <w:sz w:val="24"/>
          <w:szCs w:val="24"/>
        </w:rPr>
        <w:t>he General Counsel brings cases on a region-based system, where they are heard by an Administrative Law Judg</w:t>
      </w:r>
      <w:r w:rsidR="0037119E">
        <w:rPr>
          <w:rFonts w:ascii="Times New Roman" w:hAnsi="Times New Roman" w:cs="Times New Roman"/>
          <w:sz w:val="24"/>
          <w:szCs w:val="24"/>
        </w:rPr>
        <w:t>e</w:t>
      </w:r>
      <w:r>
        <w:rPr>
          <w:rFonts w:ascii="Times New Roman" w:hAnsi="Times New Roman" w:cs="Times New Roman"/>
          <w:sz w:val="24"/>
          <w:szCs w:val="24"/>
        </w:rPr>
        <w:t xml:space="preserve"> (“ALJ”)</w:t>
      </w:r>
      <w:r w:rsidR="0037119E">
        <w:rPr>
          <w:rFonts w:ascii="Times New Roman" w:hAnsi="Times New Roman" w:cs="Times New Roman"/>
          <w:sz w:val="24"/>
          <w:szCs w:val="24"/>
        </w:rPr>
        <w:t>.</w:t>
      </w:r>
      <w:bookmarkStart w:id="20" w:name="_Ref460548599"/>
      <w:r w:rsidR="00390C81">
        <w:rPr>
          <w:rStyle w:val="FootnoteReference"/>
          <w:rFonts w:ascii="Times New Roman" w:hAnsi="Times New Roman" w:cs="Times New Roman"/>
          <w:sz w:val="24"/>
          <w:szCs w:val="24"/>
        </w:rPr>
        <w:footnoteReference w:id="127"/>
      </w:r>
      <w:bookmarkEnd w:id="20"/>
      <w:r w:rsidR="0037119E">
        <w:rPr>
          <w:rFonts w:ascii="Times New Roman" w:hAnsi="Times New Roman" w:cs="Times New Roman"/>
          <w:sz w:val="24"/>
          <w:szCs w:val="24"/>
        </w:rPr>
        <w:t xml:space="preserve"> The Board, sitting in three-</w:t>
      </w:r>
      <w:r w:rsidR="00A233E8" w:rsidRPr="00FC6F7D">
        <w:rPr>
          <w:rFonts w:ascii="Times New Roman" w:hAnsi="Times New Roman" w:cs="Times New Roman"/>
          <w:sz w:val="24"/>
          <w:szCs w:val="24"/>
        </w:rPr>
        <w:t>member panels randomly assigned, hears appeals to the ALJ decision if any party files what is known as “exceptions” to the ALJ opinion.</w:t>
      </w:r>
      <w:bookmarkStart w:id="21" w:name="_Ref460684884"/>
      <w:r w:rsidR="00553C57">
        <w:rPr>
          <w:rStyle w:val="FootnoteReference"/>
          <w:rFonts w:ascii="Times New Roman" w:hAnsi="Times New Roman" w:cs="Times New Roman"/>
          <w:sz w:val="24"/>
          <w:szCs w:val="24"/>
        </w:rPr>
        <w:footnoteReference w:id="128"/>
      </w:r>
      <w:bookmarkEnd w:id="21"/>
      <w:r w:rsidR="00553C57">
        <w:rPr>
          <w:rFonts w:ascii="Times New Roman" w:hAnsi="Times New Roman" w:cs="Times New Roman"/>
          <w:sz w:val="24"/>
          <w:szCs w:val="24"/>
        </w:rPr>
        <w:t xml:space="preserve"> </w:t>
      </w:r>
      <w:r w:rsidR="00F30195" w:rsidRPr="00FC6F7D">
        <w:rPr>
          <w:rFonts w:ascii="Times New Roman" w:hAnsi="Times New Roman" w:cs="Times New Roman"/>
          <w:sz w:val="24"/>
          <w:szCs w:val="24"/>
        </w:rPr>
        <w:t xml:space="preserve">Board decisions are free from the constraints of </w:t>
      </w:r>
      <w:r w:rsidR="00A233E8" w:rsidRPr="0037119E">
        <w:rPr>
          <w:rFonts w:ascii="Times New Roman" w:hAnsi="Times New Roman" w:cs="Times New Roman"/>
          <w:i/>
          <w:sz w:val="24"/>
          <w:szCs w:val="24"/>
        </w:rPr>
        <w:t>stare decisis</w:t>
      </w:r>
      <w:r w:rsidR="00F30195" w:rsidRPr="00FC6F7D">
        <w:rPr>
          <w:rFonts w:ascii="Times New Roman" w:hAnsi="Times New Roman" w:cs="Times New Roman"/>
          <w:sz w:val="24"/>
          <w:szCs w:val="24"/>
        </w:rPr>
        <w:t xml:space="preserve">, although the </w:t>
      </w:r>
      <w:r w:rsidR="00F30195" w:rsidRPr="00FC6F7D">
        <w:rPr>
          <w:rFonts w:ascii="Times New Roman" w:hAnsi="Times New Roman" w:cs="Times New Roman"/>
          <w:sz w:val="24"/>
          <w:szCs w:val="24"/>
        </w:rPr>
        <w:lastRenderedPageBreak/>
        <w:t>full Board</w:t>
      </w:r>
      <w:r>
        <w:rPr>
          <w:rFonts w:ascii="Times New Roman" w:hAnsi="Times New Roman" w:cs="Times New Roman"/>
          <w:sz w:val="24"/>
          <w:szCs w:val="24"/>
        </w:rPr>
        <w:t xml:space="preserve"> of five-members</w:t>
      </w:r>
      <w:r w:rsidR="00F30195" w:rsidRPr="00FC6F7D">
        <w:rPr>
          <w:rFonts w:ascii="Times New Roman" w:hAnsi="Times New Roman" w:cs="Times New Roman"/>
          <w:sz w:val="24"/>
          <w:szCs w:val="24"/>
        </w:rPr>
        <w:t xml:space="preserve"> can meet and decide cases to have precedential value before the Board itself.</w:t>
      </w:r>
      <w:r w:rsidR="00A233E8" w:rsidRPr="00FC6F7D">
        <w:rPr>
          <w:rStyle w:val="FootnoteReference"/>
          <w:rFonts w:ascii="Times New Roman" w:hAnsi="Times New Roman" w:cs="Times New Roman"/>
          <w:sz w:val="24"/>
          <w:szCs w:val="24"/>
        </w:rPr>
        <w:footnoteReference w:id="129"/>
      </w:r>
      <w:r w:rsidR="00F607FC">
        <w:rPr>
          <w:rFonts w:ascii="Times New Roman" w:hAnsi="Times New Roman" w:cs="Times New Roman"/>
          <w:sz w:val="24"/>
          <w:szCs w:val="24"/>
        </w:rPr>
        <w:t xml:space="preserve"> </w:t>
      </w:r>
      <w:r w:rsidR="00F05479">
        <w:rPr>
          <w:rFonts w:ascii="Times New Roman" w:hAnsi="Times New Roman" w:cs="Times New Roman"/>
          <w:sz w:val="24"/>
          <w:szCs w:val="24"/>
        </w:rPr>
        <w:t>A</w:t>
      </w:r>
      <w:r w:rsidR="00F30195" w:rsidRPr="00FC6F7D">
        <w:rPr>
          <w:rFonts w:ascii="Times New Roman" w:hAnsi="Times New Roman" w:cs="Times New Roman"/>
          <w:sz w:val="24"/>
          <w:szCs w:val="24"/>
        </w:rPr>
        <w:t xml:space="preserve"> party </w:t>
      </w:r>
      <w:r w:rsidR="00F05479">
        <w:rPr>
          <w:rFonts w:ascii="Times New Roman" w:hAnsi="Times New Roman" w:cs="Times New Roman"/>
          <w:sz w:val="24"/>
          <w:szCs w:val="24"/>
        </w:rPr>
        <w:t xml:space="preserve">losing before the Board </w:t>
      </w:r>
      <w:r w:rsidR="00F30195" w:rsidRPr="00FC6F7D">
        <w:rPr>
          <w:rFonts w:ascii="Times New Roman" w:hAnsi="Times New Roman" w:cs="Times New Roman"/>
          <w:sz w:val="24"/>
          <w:szCs w:val="24"/>
        </w:rPr>
        <w:t>can seek relief in the federal appellate courts, although the Board largely s</w:t>
      </w:r>
      <w:r w:rsidR="00D80B55" w:rsidRPr="00FC6F7D">
        <w:rPr>
          <w:rFonts w:ascii="Times New Roman" w:hAnsi="Times New Roman" w:cs="Times New Roman"/>
          <w:sz w:val="24"/>
          <w:szCs w:val="24"/>
        </w:rPr>
        <w:t>ubscribes to the doctrine of nonacquiescence whereby it rejects relying on the federal courts of appeals as binding precedent</w:t>
      </w:r>
      <w:r w:rsidR="00A94C97">
        <w:rPr>
          <w:rFonts w:ascii="Times New Roman" w:hAnsi="Times New Roman" w:cs="Times New Roman"/>
          <w:sz w:val="24"/>
          <w:szCs w:val="24"/>
        </w:rPr>
        <w:t xml:space="preserve"> so as to ensure uniform application of law throughout the country</w:t>
      </w:r>
      <w:r w:rsidR="00D80B55" w:rsidRPr="00FC6F7D">
        <w:rPr>
          <w:rFonts w:ascii="Times New Roman" w:hAnsi="Times New Roman" w:cs="Times New Roman"/>
          <w:sz w:val="24"/>
          <w:szCs w:val="24"/>
        </w:rPr>
        <w:t>.</w:t>
      </w:r>
      <w:r w:rsidR="00D80B55" w:rsidRPr="00FC6F7D">
        <w:rPr>
          <w:rStyle w:val="FootnoteReference"/>
          <w:rFonts w:ascii="Times New Roman" w:hAnsi="Times New Roman" w:cs="Times New Roman"/>
          <w:sz w:val="24"/>
          <w:szCs w:val="24"/>
        </w:rPr>
        <w:footnoteReference w:id="130"/>
      </w:r>
      <w:r w:rsidR="00F607FC">
        <w:rPr>
          <w:rFonts w:ascii="Times New Roman" w:hAnsi="Times New Roman" w:cs="Times New Roman"/>
          <w:sz w:val="24"/>
          <w:szCs w:val="24"/>
        </w:rPr>
        <w:t xml:space="preserve"> </w:t>
      </w:r>
      <w:r w:rsidR="002D6C12">
        <w:rPr>
          <w:rFonts w:ascii="Times New Roman" w:hAnsi="Times New Roman" w:cs="Times New Roman"/>
          <w:sz w:val="24"/>
          <w:szCs w:val="24"/>
        </w:rPr>
        <w:t>T</w:t>
      </w:r>
      <w:r w:rsidR="009D12A5">
        <w:rPr>
          <w:rFonts w:ascii="Times New Roman" w:hAnsi="Times New Roman" w:cs="Times New Roman"/>
          <w:sz w:val="24"/>
          <w:szCs w:val="24"/>
        </w:rPr>
        <w:t>he Board’s orders are not self-</w:t>
      </w:r>
      <w:r w:rsidR="00F30195" w:rsidRPr="00FC6F7D">
        <w:rPr>
          <w:rFonts w:ascii="Times New Roman" w:hAnsi="Times New Roman" w:cs="Times New Roman"/>
          <w:sz w:val="24"/>
          <w:szCs w:val="24"/>
        </w:rPr>
        <w:t>enforcing; unless the parties voluntarily agree to abide by the Board’s orders, the General Counsel must go to federal court to seek enforcement</w:t>
      </w:r>
      <w:r w:rsidR="00F607FC">
        <w:rPr>
          <w:rFonts w:ascii="Times New Roman" w:hAnsi="Times New Roman" w:cs="Times New Roman"/>
          <w:sz w:val="24"/>
          <w:szCs w:val="24"/>
        </w:rPr>
        <w:t>.</w:t>
      </w:r>
      <w:r w:rsidR="00A94C97">
        <w:rPr>
          <w:rStyle w:val="FootnoteReference"/>
          <w:rFonts w:ascii="Times New Roman" w:hAnsi="Times New Roman" w:cs="Times New Roman"/>
          <w:sz w:val="24"/>
          <w:szCs w:val="24"/>
        </w:rPr>
        <w:footnoteReference w:id="131"/>
      </w:r>
      <w:r w:rsidR="00F607FC">
        <w:rPr>
          <w:rFonts w:ascii="Times New Roman" w:hAnsi="Times New Roman" w:cs="Times New Roman"/>
          <w:sz w:val="24"/>
          <w:szCs w:val="24"/>
        </w:rPr>
        <w:t xml:space="preserve"> </w:t>
      </w:r>
      <w:r w:rsidR="00DD410A">
        <w:rPr>
          <w:rFonts w:ascii="Times New Roman" w:hAnsi="Times New Roman" w:cs="Times New Roman"/>
          <w:sz w:val="24"/>
          <w:szCs w:val="24"/>
        </w:rPr>
        <w:t>Only 1% of cases are appealed.</w:t>
      </w:r>
      <w:r w:rsidR="00DD410A">
        <w:rPr>
          <w:rStyle w:val="FootnoteReference"/>
          <w:rFonts w:ascii="Times New Roman" w:hAnsi="Times New Roman" w:cs="Times New Roman"/>
          <w:sz w:val="24"/>
          <w:szCs w:val="24"/>
        </w:rPr>
        <w:footnoteReference w:id="132"/>
      </w:r>
      <w:r w:rsidR="00DD410A">
        <w:rPr>
          <w:rFonts w:ascii="Times New Roman" w:hAnsi="Times New Roman" w:cs="Times New Roman"/>
          <w:sz w:val="24"/>
          <w:szCs w:val="24"/>
        </w:rPr>
        <w:t xml:space="preserve"> </w:t>
      </w:r>
    </w:p>
    <w:p w14:paraId="3B226C6E" w14:textId="02D91E60" w:rsidR="00BA5954" w:rsidRDefault="001B62D4" w:rsidP="00AB3987">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Unlike most other agencies who are charged to enforce many federal programs, the NLRB largely has essentially one statute to i</w:t>
      </w:r>
      <w:r w:rsidR="0037119E">
        <w:rPr>
          <w:rFonts w:ascii="Times New Roman" w:hAnsi="Times New Roman" w:cs="Times New Roman"/>
          <w:sz w:val="24"/>
          <w:szCs w:val="24"/>
        </w:rPr>
        <w:t>nterpret —</w:t>
      </w:r>
      <w:r w:rsidR="002D6C12">
        <w:rPr>
          <w:rFonts w:ascii="Times New Roman" w:hAnsi="Times New Roman" w:cs="Times New Roman"/>
          <w:sz w:val="24"/>
          <w:szCs w:val="24"/>
        </w:rPr>
        <w:t xml:space="preserve"> the NLRA</w:t>
      </w:r>
      <w:r w:rsidRPr="00FC6F7D">
        <w:rPr>
          <w:rFonts w:ascii="Times New Roman" w:hAnsi="Times New Roman" w:cs="Times New Roman"/>
          <w:sz w:val="24"/>
          <w:szCs w:val="24"/>
        </w:rPr>
        <w:t xml:space="preserve">. </w:t>
      </w:r>
      <w:r w:rsidR="00F05479">
        <w:rPr>
          <w:rFonts w:ascii="Times New Roman" w:hAnsi="Times New Roman" w:cs="Times New Roman"/>
          <w:sz w:val="24"/>
          <w:szCs w:val="24"/>
        </w:rPr>
        <w:t>“[L]</w:t>
      </w:r>
      <w:r w:rsidR="00DD410A">
        <w:rPr>
          <w:rFonts w:ascii="Times New Roman" w:hAnsi="Times New Roman" w:cs="Times New Roman"/>
          <w:sz w:val="24"/>
          <w:szCs w:val="24"/>
        </w:rPr>
        <w:t>ongstanding political impasse[s] at the national level has blocked”</w:t>
      </w:r>
      <w:r w:rsidRPr="00FC6F7D">
        <w:rPr>
          <w:rFonts w:ascii="Times New Roman" w:hAnsi="Times New Roman" w:cs="Times New Roman"/>
          <w:sz w:val="24"/>
          <w:szCs w:val="24"/>
        </w:rPr>
        <w:t xml:space="preserve"> substantial revisions to the Act</w:t>
      </w:r>
      <w:r w:rsidR="00F05479">
        <w:rPr>
          <w:rFonts w:ascii="Times New Roman" w:hAnsi="Times New Roman" w:cs="Times New Roman"/>
          <w:sz w:val="24"/>
          <w:szCs w:val="24"/>
        </w:rPr>
        <w:t>, resulting in the NLRA not being amended in any major way</w:t>
      </w:r>
      <w:r w:rsidRPr="00FC6F7D">
        <w:rPr>
          <w:rFonts w:ascii="Times New Roman" w:hAnsi="Times New Roman" w:cs="Times New Roman"/>
          <w:sz w:val="24"/>
          <w:szCs w:val="24"/>
        </w:rPr>
        <w:t xml:space="preserve"> since 1959.</w:t>
      </w:r>
      <w:r w:rsidRPr="00FC6F7D">
        <w:rPr>
          <w:rStyle w:val="FootnoteReference"/>
          <w:rFonts w:ascii="Times New Roman" w:hAnsi="Times New Roman" w:cs="Times New Roman"/>
          <w:sz w:val="24"/>
          <w:szCs w:val="24"/>
        </w:rPr>
        <w:footnoteReference w:id="133"/>
      </w:r>
      <w:r w:rsidR="00F607FC">
        <w:rPr>
          <w:rFonts w:ascii="Times New Roman" w:hAnsi="Times New Roman" w:cs="Times New Roman"/>
          <w:sz w:val="24"/>
          <w:szCs w:val="24"/>
        </w:rPr>
        <w:t xml:space="preserve"> </w:t>
      </w:r>
      <w:r w:rsidRPr="00FC6F7D">
        <w:rPr>
          <w:rFonts w:ascii="Times New Roman" w:hAnsi="Times New Roman" w:cs="Times New Roman"/>
          <w:sz w:val="24"/>
          <w:szCs w:val="24"/>
        </w:rPr>
        <w:t xml:space="preserve">As such, the NLRB does not have to engage in much new statutory interpretation because it basically </w:t>
      </w:r>
      <w:r w:rsidR="002D6C12">
        <w:rPr>
          <w:rFonts w:ascii="Times New Roman" w:hAnsi="Times New Roman" w:cs="Times New Roman"/>
          <w:sz w:val="24"/>
          <w:szCs w:val="24"/>
        </w:rPr>
        <w:t>reviews the same statute</w:t>
      </w:r>
      <w:r w:rsidR="00AB3987">
        <w:rPr>
          <w:rFonts w:ascii="Times New Roman" w:hAnsi="Times New Roman" w:cs="Times New Roman"/>
          <w:sz w:val="24"/>
          <w:szCs w:val="24"/>
        </w:rPr>
        <w:t xml:space="preserve">. </w:t>
      </w:r>
      <w:r w:rsidR="00BA5954" w:rsidRPr="00FC6F7D">
        <w:rPr>
          <w:rFonts w:ascii="Times New Roman" w:hAnsi="Times New Roman" w:cs="Times New Roman"/>
          <w:sz w:val="24"/>
          <w:szCs w:val="24"/>
        </w:rPr>
        <w:t>The NLRB hears two main types of cases: unfair labor practice disputes</w:t>
      </w:r>
      <w:r w:rsidR="00390C81">
        <w:rPr>
          <w:rStyle w:val="FootnoteReference"/>
          <w:rFonts w:ascii="Times New Roman" w:hAnsi="Times New Roman" w:cs="Times New Roman"/>
          <w:sz w:val="24"/>
          <w:szCs w:val="24"/>
        </w:rPr>
        <w:footnoteReference w:id="134"/>
      </w:r>
      <w:r w:rsidR="00BA5954" w:rsidRPr="00FC6F7D">
        <w:rPr>
          <w:rFonts w:ascii="Times New Roman" w:hAnsi="Times New Roman" w:cs="Times New Roman"/>
          <w:sz w:val="24"/>
          <w:szCs w:val="24"/>
        </w:rPr>
        <w:t xml:space="preserve"> and election representation c</w:t>
      </w:r>
      <w:r w:rsidR="00F607FC">
        <w:rPr>
          <w:rFonts w:ascii="Times New Roman" w:hAnsi="Times New Roman" w:cs="Times New Roman"/>
          <w:sz w:val="24"/>
          <w:szCs w:val="24"/>
        </w:rPr>
        <w:t>ases.</w:t>
      </w:r>
      <w:r w:rsidR="00390C81">
        <w:rPr>
          <w:rStyle w:val="FootnoteReference"/>
          <w:rFonts w:ascii="Times New Roman" w:hAnsi="Times New Roman" w:cs="Times New Roman"/>
          <w:sz w:val="24"/>
          <w:szCs w:val="24"/>
        </w:rPr>
        <w:footnoteReference w:id="135"/>
      </w:r>
      <w:r w:rsidR="00F607FC">
        <w:rPr>
          <w:rFonts w:ascii="Times New Roman" w:hAnsi="Times New Roman" w:cs="Times New Roman"/>
          <w:sz w:val="24"/>
          <w:szCs w:val="24"/>
        </w:rPr>
        <w:t xml:space="preserve"> </w:t>
      </w:r>
      <w:r w:rsidR="00BA5954" w:rsidRPr="00FC6F7D">
        <w:rPr>
          <w:rFonts w:ascii="Times New Roman" w:hAnsi="Times New Roman" w:cs="Times New Roman"/>
          <w:sz w:val="24"/>
          <w:szCs w:val="24"/>
        </w:rPr>
        <w:t xml:space="preserve">The first type, unfair labor practice disputes, are claims brought by aggrieved parties that some entity (usually an employer) violated the unfair labor practice provisions of the NLRA, by, for instance, unlawfully discharging someone because they engaged </w:t>
      </w:r>
      <w:r w:rsidR="00BA5954" w:rsidRPr="00FC6F7D">
        <w:rPr>
          <w:rFonts w:ascii="Times New Roman" w:hAnsi="Times New Roman" w:cs="Times New Roman"/>
          <w:sz w:val="24"/>
          <w:szCs w:val="24"/>
        </w:rPr>
        <w:lastRenderedPageBreak/>
        <w:t>in union activity, or altering the terms and conditions of the union contract in a unilateral matter or refusing to bargain w</w:t>
      </w:r>
      <w:r w:rsidR="00F607FC">
        <w:rPr>
          <w:rFonts w:ascii="Times New Roman" w:hAnsi="Times New Roman" w:cs="Times New Roman"/>
          <w:sz w:val="24"/>
          <w:szCs w:val="24"/>
        </w:rPr>
        <w:t xml:space="preserve">ith the union in “good faith.” </w:t>
      </w:r>
      <w:r w:rsidR="00BA5954" w:rsidRPr="00FC6F7D">
        <w:rPr>
          <w:rFonts w:ascii="Times New Roman" w:hAnsi="Times New Roman" w:cs="Times New Roman"/>
          <w:sz w:val="24"/>
          <w:szCs w:val="24"/>
        </w:rPr>
        <w:t>Unfair labor disputes are not limited to actions just</w:t>
      </w:r>
      <w:r w:rsidR="007C48BB" w:rsidRPr="00FC6F7D">
        <w:rPr>
          <w:rFonts w:ascii="Times New Roman" w:hAnsi="Times New Roman" w:cs="Times New Roman"/>
          <w:sz w:val="24"/>
          <w:szCs w:val="24"/>
        </w:rPr>
        <w:t xml:space="preserve"> against employers</w:t>
      </w:r>
      <w:r w:rsidR="00E834F7">
        <w:rPr>
          <w:rFonts w:ascii="Times New Roman" w:hAnsi="Times New Roman" w:cs="Times New Roman"/>
          <w:sz w:val="24"/>
          <w:szCs w:val="24"/>
        </w:rPr>
        <w:t xml:space="preserve"> (so-called “CA” cases)</w:t>
      </w:r>
      <w:r w:rsidRPr="00FC6F7D">
        <w:rPr>
          <w:rFonts w:ascii="Times New Roman" w:hAnsi="Times New Roman" w:cs="Times New Roman"/>
          <w:sz w:val="24"/>
          <w:szCs w:val="24"/>
        </w:rPr>
        <w:t>, although disputes against employers represent the vast majority of cases heard by the Board</w:t>
      </w:r>
      <w:r w:rsidR="00F607FC">
        <w:rPr>
          <w:rFonts w:ascii="Times New Roman" w:hAnsi="Times New Roman" w:cs="Times New Roman"/>
          <w:sz w:val="24"/>
          <w:szCs w:val="24"/>
        </w:rPr>
        <w:t xml:space="preserve">. </w:t>
      </w:r>
      <w:r w:rsidR="007C48BB" w:rsidRPr="00FC6F7D">
        <w:rPr>
          <w:rFonts w:ascii="Times New Roman" w:hAnsi="Times New Roman" w:cs="Times New Roman"/>
          <w:sz w:val="24"/>
          <w:szCs w:val="24"/>
        </w:rPr>
        <w:t>A</w:t>
      </w:r>
      <w:r w:rsidR="00BA5954" w:rsidRPr="00FC6F7D">
        <w:rPr>
          <w:rFonts w:ascii="Times New Roman" w:hAnsi="Times New Roman" w:cs="Times New Roman"/>
          <w:sz w:val="24"/>
          <w:szCs w:val="24"/>
        </w:rPr>
        <w:t xml:space="preserve"> party can also bring a claim against a uni</w:t>
      </w:r>
      <w:r w:rsidR="00F607FC">
        <w:rPr>
          <w:rFonts w:ascii="Times New Roman" w:hAnsi="Times New Roman" w:cs="Times New Roman"/>
          <w:sz w:val="24"/>
          <w:szCs w:val="24"/>
        </w:rPr>
        <w:t>on for unfair labor practices</w:t>
      </w:r>
      <w:r w:rsidR="00E834F7">
        <w:rPr>
          <w:rFonts w:ascii="Times New Roman" w:hAnsi="Times New Roman" w:cs="Times New Roman"/>
          <w:sz w:val="24"/>
          <w:szCs w:val="24"/>
        </w:rPr>
        <w:t xml:space="preserve"> (“CB,” “CC,” “CD” or “CE” case)</w:t>
      </w:r>
      <w:r w:rsidR="00F607FC">
        <w:rPr>
          <w:rFonts w:ascii="Times New Roman" w:hAnsi="Times New Roman" w:cs="Times New Roman"/>
          <w:sz w:val="24"/>
          <w:szCs w:val="24"/>
        </w:rPr>
        <w:t xml:space="preserve">. </w:t>
      </w:r>
      <w:r w:rsidR="00BA5954" w:rsidRPr="00FC6F7D">
        <w:rPr>
          <w:rFonts w:ascii="Times New Roman" w:hAnsi="Times New Roman" w:cs="Times New Roman"/>
          <w:sz w:val="24"/>
          <w:szCs w:val="24"/>
        </w:rPr>
        <w:t xml:space="preserve">Moreover, in addition to unfair labor practice disputes, the Board hears cases arising out of disputes relating to union elections and representation petitions, </w:t>
      </w:r>
      <w:r w:rsidR="000E6D59">
        <w:rPr>
          <w:rFonts w:ascii="Times New Roman" w:hAnsi="Times New Roman" w:cs="Times New Roman"/>
          <w:sz w:val="24"/>
          <w:szCs w:val="24"/>
        </w:rPr>
        <w:t xml:space="preserve">such as cases about certifying the appropriate </w:t>
      </w:r>
      <w:r w:rsidR="00BA5954" w:rsidRPr="00FC6F7D">
        <w:rPr>
          <w:rFonts w:ascii="Times New Roman" w:hAnsi="Times New Roman" w:cs="Times New Roman"/>
          <w:sz w:val="24"/>
          <w:szCs w:val="24"/>
        </w:rPr>
        <w:t>bargaining unit.</w:t>
      </w:r>
    </w:p>
    <w:p w14:paraId="1088E3B0" w14:textId="4F5A4259" w:rsidR="0023202C" w:rsidRDefault="003572CF" w:rsidP="00AB3987">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Voting on the Board in general is highly ide</w:t>
      </w:r>
      <w:r w:rsidR="00CD207A" w:rsidRPr="00FC6F7D">
        <w:rPr>
          <w:rFonts w:ascii="Times New Roman" w:hAnsi="Times New Roman" w:cs="Times New Roman"/>
          <w:sz w:val="24"/>
          <w:szCs w:val="24"/>
        </w:rPr>
        <w:t>ological, with Republican member</w:t>
      </w:r>
      <w:r w:rsidRPr="00FC6F7D">
        <w:rPr>
          <w:rFonts w:ascii="Times New Roman" w:hAnsi="Times New Roman" w:cs="Times New Roman"/>
          <w:sz w:val="24"/>
          <w:szCs w:val="24"/>
        </w:rPr>
        <w:t>s voting in favor of management and Democratic members being more likely to vote in favor of labor.</w:t>
      </w:r>
      <w:bookmarkStart w:id="22" w:name="_Ref460548624"/>
      <w:r w:rsidRPr="00FC6F7D">
        <w:rPr>
          <w:rStyle w:val="FootnoteReference"/>
          <w:rFonts w:ascii="Times New Roman" w:hAnsi="Times New Roman" w:cs="Times New Roman"/>
          <w:sz w:val="24"/>
          <w:szCs w:val="24"/>
        </w:rPr>
        <w:footnoteReference w:id="136"/>
      </w:r>
      <w:bookmarkEnd w:id="22"/>
      <w:r w:rsidR="00F83F6B" w:rsidRPr="00FC6F7D">
        <w:rPr>
          <w:rFonts w:ascii="Times New Roman" w:hAnsi="Times New Roman" w:cs="Times New Roman"/>
          <w:sz w:val="24"/>
          <w:szCs w:val="24"/>
        </w:rPr>
        <w:t xml:space="preserve"> </w:t>
      </w:r>
      <w:r w:rsidR="009308FF">
        <w:rPr>
          <w:rFonts w:ascii="Times New Roman" w:hAnsi="Times New Roman" w:cs="Times New Roman"/>
          <w:sz w:val="24"/>
          <w:szCs w:val="24"/>
        </w:rPr>
        <w:t>In some cases, the</w:t>
      </w:r>
      <w:r w:rsidR="00F83F6B" w:rsidRPr="00FC6F7D">
        <w:rPr>
          <w:rFonts w:ascii="Times New Roman" w:hAnsi="Times New Roman" w:cs="Times New Roman"/>
          <w:sz w:val="24"/>
          <w:szCs w:val="24"/>
        </w:rPr>
        <w:t xml:space="preserve"> Board simply reverses many of the decisions of the prior administration when a new partisan majority takes hold at the Board.</w:t>
      </w:r>
      <w:r w:rsidR="00F83F6B" w:rsidRPr="00FC6F7D">
        <w:rPr>
          <w:rStyle w:val="FootnoteReference"/>
          <w:rFonts w:ascii="Times New Roman" w:hAnsi="Times New Roman" w:cs="Times New Roman"/>
          <w:sz w:val="24"/>
          <w:szCs w:val="24"/>
        </w:rPr>
        <w:footnoteReference w:id="137"/>
      </w:r>
      <w:r w:rsidR="00E03BE0" w:rsidRPr="00FC6F7D">
        <w:rPr>
          <w:rFonts w:ascii="Times New Roman" w:hAnsi="Times New Roman" w:cs="Times New Roman"/>
          <w:sz w:val="24"/>
          <w:szCs w:val="24"/>
        </w:rPr>
        <w:t xml:space="preserve"> Critics of the Board commonly cite </w:t>
      </w:r>
      <w:r w:rsidR="009308FF">
        <w:rPr>
          <w:rFonts w:ascii="Times New Roman" w:hAnsi="Times New Roman" w:cs="Times New Roman"/>
          <w:sz w:val="24"/>
          <w:szCs w:val="24"/>
        </w:rPr>
        <w:t xml:space="preserve">these </w:t>
      </w:r>
      <w:r w:rsidR="00E03BE0" w:rsidRPr="00FC6F7D">
        <w:rPr>
          <w:rFonts w:ascii="Times New Roman" w:hAnsi="Times New Roman" w:cs="Times New Roman"/>
          <w:sz w:val="24"/>
          <w:szCs w:val="24"/>
        </w:rPr>
        <w:t xml:space="preserve">frequent flip-flops as cause for </w:t>
      </w:r>
      <w:r w:rsidR="00F05479">
        <w:rPr>
          <w:rFonts w:ascii="Times New Roman" w:hAnsi="Times New Roman" w:cs="Times New Roman"/>
          <w:sz w:val="24"/>
          <w:szCs w:val="24"/>
        </w:rPr>
        <w:t xml:space="preserve">concern as </w:t>
      </w:r>
      <w:r w:rsidR="009308FF">
        <w:rPr>
          <w:rFonts w:ascii="Times New Roman" w:hAnsi="Times New Roman" w:cs="Times New Roman"/>
          <w:sz w:val="24"/>
          <w:szCs w:val="24"/>
        </w:rPr>
        <w:t xml:space="preserve"> undermining the stability of labor law</w:t>
      </w:r>
      <w:r w:rsidR="00E03BE0" w:rsidRPr="00FC6F7D">
        <w:rPr>
          <w:rFonts w:ascii="Times New Roman" w:hAnsi="Times New Roman" w:cs="Times New Roman"/>
          <w:sz w:val="24"/>
          <w:szCs w:val="24"/>
        </w:rPr>
        <w:t>.</w:t>
      </w:r>
      <w:r w:rsidR="00E03BE0" w:rsidRPr="00FC6F7D">
        <w:rPr>
          <w:rStyle w:val="FootnoteReference"/>
          <w:rFonts w:ascii="Times New Roman" w:hAnsi="Times New Roman" w:cs="Times New Roman"/>
          <w:sz w:val="24"/>
          <w:szCs w:val="24"/>
        </w:rPr>
        <w:footnoteReference w:id="138"/>
      </w:r>
      <w:r w:rsidR="00F607FC">
        <w:rPr>
          <w:rFonts w:ascii="Times New Roman" w:hAnsi="Times New Roman" w:cs="Times New Roman"/>
          <w:sz w:val="24"/>
          <w:szCs w:val="24"/>
        </w:rPr>
        <w:t xml:space="preserve"> </w:t>
      </w:r>
      <w:r w:rsidR="00592652">
        <w:rPr>
          <w:rFonts w:ascii="Times New Roman" w:hAnsi="Times New Roman" w:cs="Times New Roman"/>
          <w:sz w:val="24"/>
          <w:szCs w:val="24"/>
        </w:rPr>
        <w:t>The ideological nature of appointments to the Board since the Reagan years has increased the instability</w:t>
      </w:r>
      <w:r w:rsidR="009308FF">
        <w:rPr>
          <w:rFonts w:ascii="Times New Roman" w:hAnsi="Times New Roman" w:cs="Times New Roman"/>
          <w:sz w:val="24"/>
          <w:szCs w:val="24"/>
        </w:rPr>
        <w:t>.</w:t>
      </w:r>
      <w:r w:rsidR="00ED4B84">
        <w:rPr>
          <w:rStyle w:val="FootnoteReference"/>
          <w:rFonts w:ascii="Times New Roman" w:hAnsi="Times New Roman" w:cs="Times New Roman"/>
          <w:sz w:val="24"/>
          <w:szCs w:val="24"/>
        </w:rPr>
        <w:footnoteReference w:id="139"/>
      </w:r>
      <w:r w:rsidR="00ED4B84">
        <w:rPr>
          <w:rFonts w:ascii="Times New Roman" w:hAnsi="Times New Roman" w:cs="Times New Roman"/>
          <w:sz w:val="24"/>
          <w:szCs w:val="24"/>
        </w:rPr>
        <w:t xml:space="preserve"> Former Board member William Gould has argued that this sea change in the </w:t>
      </w:r>
      <w:r w:rsidR="00ED4B84">
        <w:rPr>
          <w:rFonts w:ascii="Times New Roman" w:hAnsi="Times New Roman" w:cs="Times New Roman"/>
          <w:sz w:val="24"/>
          <w:szCs w:val="24"/>
        </w:rPr>
        <w:lastRenderedPageBreak/>
        <w:t>nomination process and the “batching” of nominees “frequently means the lowest common denominator,” with appointments being concentrated among Washington insiders.</w:t>
      </w:r>
      <w:r w:rsidR="00ED4B84">
        <w:rPr>
          <w:rStyle w:val="FootnoteReference"/>
          <w:rFonts w:ascii="Times New Roman" w:hAnsi="Times New Roman" w:cs="Times New Roman"/>
          <w:sz w:val="24"/>
          <w:szCs w:val="24"/>
        </w:rPr>
        <w:footnoteReference w:id="140"/>
      </w:r>
      <w:r w:rsidR="009308FF">
        <w:rPr>
          <w:rFonts w:ascii="Times New Roman" w:hAnsi="Times New Roman" w:cs="Times New Roman"/>
          <w:sz w:val="24"/>
          <w:szCs w:val="24"/>
        </w:rPr>
        <w:t xml:space="preserve"> </w:t>
      </w:r>
      <w:r w:rsidR="00D4725B">
        <w:rPr>
          <w:rFonts w:ascii="Times New Roman" w:hAnsi="Times New Roman" w:cs="Times New Roman"/>
          <w:sz w:val="24"/>
          <w:szCs w:val="24"/>
        </w:rPr>
        <w:t>Today, t</w:t>
      </w:r>
      <w:r w:rsidR="00E03BE0" w:rsidRPr="00FC6F7D">
        <w:rPr>
          <w:rFonts w:ascii="Times New Roman" w:hAnsi="Times New Roman" w:cs="Times New Roman"/>
          <w:sz w:val="24"/>
          <w:szCs w:val="24"/>
        </w:rPr>
        <w:t>here is an informal tradition of appointing both Democrats and Republicans to the Board so as to always ensure that the Preside</w:t>
      </w:r>
      <w:r w:rsidR="00F06378">
        <w:rPr>
          <w:rFonts w:ascii="Times New Roman" w:hAnsi="Times New Roman" w:cs="Times New Roman"/>
          <w:sz w:val="24"/>
          <w:szCs w:val="24"/>
        </w:rPr>
        <w:t>nt’s party have a 3 to 2 majori</w:t>
      </w:r>
      <w:r w:rsidR="00E03BE0" w:rsidRPr="00FC6F7D">
        <w:rPr>
          <w:rFonts w:ascii="Times New Roman" w:hAnsi="Times New Roman" w:cs="Times New Roman"/>
          <w:sz w:val="24"/>
          <w:szCs w:val="24"/>
        </w:rPr>
        <w:t>ty of the seats as well as being the chair.</w:t>
      </w:r>
      <w:r w:rsidR="00E03BE0" w:rsidRPr="00FC6F7D">
        <w:rPr>
          <w:rStyle w:val="FootnoteReference"/>
          <w:rFonts w:ascii="Times New Roman" w:hAnsi="Times New Roman" w:cs="Times New Roman"/>
          <w:sz w:val="24"/>
          <w:szCs w:val="24"/>
        </w:rPr>
        <w:footnoteReference w:id="141"/>
      </w:r>
      <w:r w:rsidR="001A6483">
        <w:rPr>
          <w:rFonts w:ascii="Times New Roman" w:hAnsi="Times New Roman" w:cs="Times New Roman"/>
          <w:sz w:val="24"/>
          <w:szCs w:val="24"/>
        </w:rPr>
        <w:t xml:space="preserve"> </w:t>
      </w:r>
      <w:r w:rsidR="00ED4B84">
        <w:rPr>
          <w:rFonts w:ascii="Times New Roman" w:hAnsi="Times New Roman" w:cs="Times New Roman"/>
          <w:sz w:val="24"/>
          <w:szCs w:val="24"/>
        </w:rPr>
        <w:t>At the turn of the twenty-f</w:t>
      </w:r>
      <w:r w:rsidR="009D12A5">
        <w:rPr>
          <w:rFonts w:ascii="Times New Roman" w:hAnsi="Times New Roman" w:cs="Times New Roman"/>
          <w:sz w:val="24"/>
          <w:szCs w:val="24"/>
        </w:rPr>
        <w:t>irst century, the Board consisted</w:t>
      </w:r>
      <w:r w:rsidR="00ED4B84">
        <w:rPr>
          <w:rFonts w:ascii="Times New Roman" w:hAnsi="Times New Roman" w:cs="Times New Roman"/>
          <w:sz w:val="24"/>
          <w:szCs w:val="24"/>
        </w:rPr>
        <w:t xml:space="preserve"> of two ex-management lawyers, two former union lawyers, a former law profess</w:t>
      </w:r>
      <w:r w:rsidR="007230BB">
        <w:rPr>
          <w:rFonts w:ascii="Times New Roman" w:hAnsi="Times New Roman" w:cs="Times New Roman"/>
          <w:sz w:val="24"/>
          <w:szCs w:val="24"/>
        </w:rPr>
        <w:t>or and a career Board employee—</w:t>
      </w:r>
      <w:r w:rsidR="00ED4B84">
        <w:rPr>
          <w:rFonts w:ascii="Times New Roman" w:hAnsi="Times New Roman" w:cs="Times New Roman"/>
          <w:sz w:val="24"/>
          <w:szCs w:val="24"/>
        </w:rPr>
        <w:t xml:space="preserve"> exactly the type of Board Congress expressly rejected when designing the NLRB.</w:t>
      </w:r>
      <w:r w:rsidR="00ED4B84">
        <w:rPr>
          <w:rStyle w:val="FootnoteReference"/>
          <w:rFonts w:ascii="Times New Roman" w:hAnsi="Times New Roman" w:cs="Times New Roman"/>
          <w:sz w:val="24"/>
          <w:szCs w:val="24"/>
        </w:rPr>
        <w:footnoteReference w:id="142"/>
      </w:r>
    </w:p>
    <w:p w14:paraId="6A5D75D2" w14:textId="32CFAF9C" w:rsidR="00E70727" w:rsidRPr="006031C9" w:rsidRDefault="00E70727" w:rsidP="006031C9">
      <w:pPr>
        <w:pStyle w:val="ListParagraph"/>
        <w:numPr>
          <w:ilvl w:val="0"/>
          <w:numId w:val="6"/>
        </w:numPr>
        <w:spacing w:after="0" w:line="480" w:lineRule="auto"/>
        <w:rPr>
          <w:rFonts w:ascii="Times New Roman" w:hAnsi="Times New Roman" w:cs="Times New Roman"/>
          <w:b/>
          <w:sz w:val="24"/>
          <w:szCs w:val="24"/>
        </w:rPr>
      </w:pPr>
      <w:r w:rsidRPr="006031C9">
        <w:rPr>
          <w:rFonts w:ascii="Times New Roman" w:hAnsi="Times New Roman" w:cs="Times New Roman"/>
          <w:b/>
          <w:sz w:val="24"/>
          <w:szCs w:val="24"/>
        </w:rPr>
        <w:t xml:space="preserve">Methodology of </w:t>
      </w:r>
      <w:r w:rsidR="006031C9">
        <w:rPr>
          <w:rFonts w:ascii="Times New Roman" w:hAnsi="Times New Roman" w:cs="Times New Roman"/>
          <w:b/>
          <w:sz w:val="24"/>
          <w:szCs w:val="24"/>
        </w:rPr>
        <w:t>Analyzing Statutory Inte</w:t>
      </w:r>
      <w:r w:rsidR="00965860">
        <w:rPr>
          <w:rFonts w:ascii="Times New Roman" w:hAnsi="Times New Roman" w:cs="Times New Roman"/>
          <w:b/>
          <w:sz w:val="24"/>
          <w:szCs w:val="24"/>
        </w:rPr>
        <w:t>r</w:t>
      </w:r>
      <w:r w:rsidR="006031C9">
        <w:rPr>
          <w:rFonts w:ascii="Times New Roman" w:hAnsi="Times New Roman" w:cs="Times New Roman"/>
          <w:b/>
          <w:sz w:val="24"/>
          <w:szCs w:val="24"/>
        </w:rPr>
        <w:t>pretation</w:t>
      </w:r>
    </w:p>
    <w:p w14:paraId="48876D74" w14:textId="3883B8BC" w:rsidR="00F30195" w:rsidRDefault="00946C48" w:rsidP="00946C48">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 xml:space="preserve">To </w:t>
      </w:r>
      <w:r w:rsidR="00EE054F">
        <w:rPr>
          <w:rFonts w:ascii="Times New Roman" w:hAnsi="Times New Roman" w:cs="Times New Roman"/>
          <w:sz w:val="24"/>
          <w:szCs w:val="24"/>
        </w:rPr>
        <w:t xml:space="preserve">analyze </w:t>
      </w:r>
      <w:r w:rsidRPr="00FC6F7D">
        <w:rPr>
          <w:rFonts w:ascii="Times New Roman" w:hAnsi="Times New Roman" w:cs="Times New Roman"/>
          <w:sz w:val="24"/>
          <w:szCs w:val="24"/>
        </w:rPr>
        <w:t xml:space="preserve">how the Board interprets statutes, I first created a dataset consisting of the cases in which the Board engages in statutory interpretation of the NLRA. </w:t>
      </w:r>
      <w:r w:rsidR="00F30195" w:rsidRPr="00FC6F7D">
        <w:rPr>
          <w:rFonts w:ascii="Times New Roman" w:hAnsi="Times New Roman" w:cs="Times New Roman"/>
          <w:sz w:val="24"/>
          <w:szCs w:val="24"/>
        </w:rPr>
        <w:t xml:space="preserve">The Board, in </w:t>
      </w:r>
      <w:r w:rsidR="0022052B">
        <w:rPr>
          <w:rFonts w:ascii="Times New Roman" w:hAnsi="Times New Roman" w:cs="Times New Roman"/>
          <w:sz w:val="24"/>
          <w:szCs w:val="24"/>
        </w:rPr>
        <w:t xml:space="preserve">some respects, </w:t>
      </w:r>
      <w:r w:rsidR="00F53C7F">
        <w:rPr>
          <w:rFonts w:ascii="Times New Roman" w:hAnsi="Times New Roman" w:cs="Times New Roman"/>
          <w:sz w:val="24"/>
          <w:szCs w:val="24"/>
        </w:rPr>
        <w:t xml:space="preserve">engages in </w:t>
      </w:r>
      <w:r w:rsidR="00F30195" w:rsidRPr="00FC6F7D">
        <w:rPr>
          <w:rFonts w:ascii="Times New Roman" w:hAnsi="Times New Roman" w:cs="Times New Roman"/>
          <w:sz w:val="24"/>
          <w:szCs w:val="24"/>
        </w:rPr>
        <w:t>statutory interpretation every time it adjudicates a case; it must decide whether any given fact scenario fits within the violations set forth by the NLRA. Most of these cases, however, fit into predictable fact patterns that the Board can easily loo</w:t>
      </w:r>
      <w:r w:rsidR="00F607FC">
        <w:rPr>
          <w:rFonts w:ascii="Times New Roman" w:hAnsi="Times New Roman" w:cs="Times New Roman"/>
          <w:sz w:val="24"/>
          <w:szCs w:val="24"/>
        </w:rPr>
        <w:t xml:space="preserve">k to past precedent and apply. </w:t>
      </w:r>
      <w:r w:rsidR="00F30195" w:rsidRPr="00FC6F7D">
        <w:rPr>
          <w:rFonts w:ascii="Times New Roman" w:hAnsi="Times New Roman" w:cs="Times New Roman"/>
          <w:sz w:val="24"/>
          <w:szCs w:val="24"/>
        </w:rPr>
        <w:t xml:space="preserve">Most interesting, however, is to try to understand how exactly the NLRB newly construes statutes and what interpretive methodologies it uses to understand </w:t>
      </w:r>
      <w:r w:rsidR="00F53C7F">
        <w:rPr>
          <w:rFonts w:ascii="Times New Roman" w:hAnsi="Times New Roman" w:cs="Times New Roman"/>
          <w:sz w:val="24"/>
          <w:szCs w:val="24"/>
        </w:rPr>
        <w:t xml:space="preserve">those </w:t>
      </w:r>
      <w:r w:rsidR="00F30195" w:rsidRPr="00FC6F7D">
        <w:rPr>
          <w:rFonts w:ascii="Times New Roman" w:hAnsi="Times New Roman" w:cs="Times New Roman"/>
          <w:sz w:val="24"/>
          <w:szCs w:val="24"/>
        </w:rPr>
        <w:t xml:space="preserve">cases. </w:t>
      </w:r>
      <w:r w:rsidRPr="00FC6F7D">
        <w:rPr>
          <w:rFonts w:ascii="Times New Roman" w:hAnsi="Times New Roman" w:cs="Times New Roman"/>
          <w:sz w:val="24"/>
          <w:szCs w:val="24"/>
        </w:rPr>
        <w:t>As such, I limited the analysis to only those few cases where th</w:t>
      </w:r>
      <w:r w:rsidR="002D6C12">
        <w:rPr>
          <w:rFonts w:ascii="Times New Roman" w:hAnsi="Times New Roman" w:cs="Times New Roman"/>
          <w:sz w:val="24"/>
          <w:szCs w:val="24"/>
        </w:rPr>
        <w:t xml:space="preserve">e Board can fairly be said </w:t>
      </w:r>
      <w:r w:rsidR="00F53C7F">
        <w:rPr>
          <w:rFonts w:ascii="Times New Roman" w:hAnsi="Times New Roman" w:cs="Times New Roman"/>
          <w:sz w:val="24"/>
          <w:szCs w:val="24"/>
        </w:rPr>
        <w:t xml:space="preserve">to </w:t>
      </w:r>
      <w:r w:rsidR="002D6C12">
        <w:rPr>
          <w:rFonts w:ascii="Times New Roman" w:hAnsi="Times New Roman" w:cs="Times New Roman"/>
          <w:sz w:val="24"/>
          <w:szCs w:val="24"/>
        </w:rPr>
        <w:t>engage</w:t>
      </w:r>
      <w:r w:rsidRPr="00FC6F7D">
        <w:rPr>
          <w:rFonts w:ascii="Times New Roman" w:hAnsi="Times New Roman" w:cs="Times New Roman"/>
          <w:sz w:val="24"/>
          <w:szCs w:val="24"/>
        </w:rPr>
        <w:t xml:space="preserve"> in statutory</w:t>
      </w:r>
      <w:r w:rsidR="00EE054F">
        <w:rPr>
          <w:rFonts w:ascii="Times New Roman" w:hAnsi="Times New Roman" w:cs="Times New Roman"/>
          <w:sz w:val="24"/>
          <w:szCs w:val="24"/>
        </w:rPr>
        <w:t xml:space="preserve"> interpretation as a matter of impression </w:t>
      </w:r>
      <w:r w:rsidR="00DC6736">
        <w:rPr>
          <w:rFonts w:ascii="Times New Roman" w:hAnsi="Times New Roman" w:cs="Times New Roman"/>
          <w:sz w:val="24"/>
          <w:szCs w:val="24"/>
        </w:rPr>
        <w:t>t</w:t>
      </w:r>
      <w:r w:rsidR="00C1538D">
        <w:rPr>
          <w:rFonts w:ascii="Times New Roman" w:hAnsi="Times New Roman" w:cs="Times New Roman"/>
          <w:sz w:val="24"/>
          <w:szCs w:val="24"/>
        </w:rPr>
        <w:t>o serve as a model for ALJs and Regional Officers to use to direct case outcomes as</w:t>
      </w:r>
      <w:r w:rsidR="00EE054F">
        <w:rPr>
          <w:rFonts w:ascii="Times New Roman" w:hAnsi="Times New Roman" w:cs="Times New Roman"/>
          <w:sz w:val="24"/>
          <w:szCs w:val="24"/>
        </w:rPr>
        <w:t xml:space="preserve"> opposed to simply applying a set rule to new factual circumstances. </w:t>
      </w:r>
      <w:r w:rsidRPr="00FC6F7D">
        <w:rPr>
          <w:rFonts w:ascii="Times New Roman" w:hAnsi="Times New Roman" w:cs="Times New Roman"/>
          <w:sz w:val="24"/>
          <w:szCs w:val="24"/>
        </w:rPr>
        <w:t xml:space="preserve">  </w:t>
      </w:r>
    </w:p>
    <w:p w14:paraId="2B80F07D" w14:textId="6AB7D9E6" w:rsidR="00626693" w:rsidRPr="00FC6F7D" w:rsidRDefault="00E6431F" w:rsidP="00946C48">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lastRenderedPageBreak/>
        <w:t>To address this issue, I look</w:t>
      </w:r>
      <w:r w:rsidR="00946C48" w:rsidRPr="00FC6F7D">
        <w:rPr>
          <w:rFonts w:ascii="Times New Roman" w:hAnsi="Times New Roman" w:cs="Times New Roman"/>
          <w:sz w:val="24"/>
          <w:szCs w:val="24"/>
        </w:rPr>
        <w:t xml:space="preserve"> at NLRB cases through the Bush, Clinton and Obama </w:t>
      </w:r>
      <w:r w:rsidR="002D6C12">
        <w:rPr>
          <w:rFonts w:ascii="Times New Roman" w:hAnsi="Times New Roman" w:cs="Times New Roman"/>
          <w:sz w:val="24"/>
          <w:szCs w:val="24"/>
        </w:rPr>
        <w:t>years</w:t>
      </w:r>
      <w:r w:rsidR="00F607FC">
        <w:rPr>
          <w:rFonts w:ascii="Times New Roman" w:hAnsi="Times New Roman" w:cs="Times New Roman"/>
          <w:sz w:val="24"/>
          <w:szCs w:val="24"/>
        </w:rPr>
        <w:t xml:space="preserve">. </w:t>
      </w:r>
      <w:r w:rsidR="00AB1B52" w:rsidRPr="00FC6F7D">
        <w:rPr>
          <w:rFonts w:ascii="Times New Roman" w:hAnsi="Times New Roman" w:cs="Times New Roman"/>
          <w:sz w:val="24"/>
          <w:szCs w:val="24"/>
        </w:rPr>
        <w:t xml:space="preserve">As part of another project looking at partisan panel </w:t>
      </w:r>
      <w:r w:rsidR="0037119E">
        <w:rPr>
          <w:rFonts w:ascii="Times New Roman" w:hAnsi="Times New Roman" w:cs="Times New Roman"/>
          <w:sz w:val="24"/>
          <w:szCs w:val="24"/>
        </w:rPr>
        <w:t>effects, I read and coded over 3</w:t>
      </w:r>
      <w:r w:rsidR="00F21AC4">
        <w:rPr>
          <w:rFonts w:ascii="Times New Roman" w:hAnsi="Times New Roman" w:cs="Times New Roman"/>
          <w:sz w:val="24"/>
          <w:szCs w:val="24"/>
        </w:rPr>
        <w:t>,000 NLRB cases during a 16-</w:t>
      </w:r>
      <w:r w:rsidR="00946C48" w:rsidRPr="00FC6F7D">
        <w:rPr>
          <w:rFonts w:ascii="Times New Roman" w:hAnsi="Times New Roman" w:cs="Times New Roman"/>
          <w:sz w:val="24"/>
          <w:szCs w:val="24"/>
        </w:rPr>
        <w:t>year time frame</w:t>
      </w:r>
      <w:r w:rsidR="0037119E">
        <w:rPr>
          <w:rFonts w:ascii="Times New Roman" w:hAnsi="Times New Roman" w:cs="Times New Roman"/>
          <w:sz w:val="24"/>
          <w:szCs w:val="24"/>
        </w:rPr>
        <w:t xml:space="preserve"> </w:t>
      </w:r>
      <w:r w:rsidR="00F53C7F">
        <w:rPr>
          <w:rFonts w:ascii="Times New Roman" w:hAnsi="Times New Roman" w:cs="Times New Roman"/>
          <w:sz w:val="24"/>
          <w:szCs w:val="24"/>
        </w:rPr>
        <w:t xml:space="preserve">(1993-2007) </w:t>
      </w:r>
      <w:r w:rsidR="0037119E">
        <w:rPr>
          <w:rFonts w:ascii="Times New Roman" w:hAnsi="Times New Roman" w:cs="Times New Roman"/>
          <w:sz w:val="24"/>
          <w:szCs w:val="24"/>
        </w:rPr>
        <w:t xml:space="preserve">and I extended the </w:t>
      </w:r>
      <w:r w:rsidR="00F53C7F">
        <w:rPr>
          <w:rFonts w:ascii="Times New Roman" w:hAnsi="Times New Roman" w:cs="Times New Roman"/>
          <w:sz w:val="24"/>
          <w:szCs w:val="24"/>
        </w:rPr>
        <w:t xml:space="preserve">present </w:t>
      </w:r>
      <w:r w:rsidR="0037119E">
        <w:rPr>
          <w:rFonts w:ascii="Times New Roman" w:hAnsi="Times New Roman" w:cs="Times New Roman"/>
          <w:sz w:val="24"/>
          <w:szCs w:val="24"/>
        </w:rPr>
        <w:t xml:space="preserve">statutory interpretation </w:t>
      </w:r>
      <w:r w:rsidR="00F53C7F">
        <w:rPr>
          <w:rFonts w:ascii="Times New Roman" w:hAnsi="Times New Roman" w:cs="Times New Roman"/>
          <w:sz w:val="24"/>
          <w:szCs w:val="24"/>
        </w:rPr>
        <w:t xml:space="preserve">analysis </w:t>
      </w:r>
      <w:r w:rsidR="0037119E">
        <w:rPr>
          <w:rFonts w:ascii="Times New Roman" w:hAnsi="Times New Roman" w:cs="Times New Roman"/>
          <w:sz w:val="24"/>
          <w:szCs w:val="24"/>
        </w:rPr>
        <w:t>to include cases up to August 2016</w:t>
      </w:r>
      <w:r w:rsidR="00946C48" w:rsidRPr="00FC6F7D">
        <w:rPr>
          <w:rFonts w:ascii="Times New Roman" w:hAnsi="Times New Roman" w:cs="Times New Roman"/>
          <w:sz w:val="24"/>
          <w:szCs w:val="24"/>
        </w:rPr>
        <w:t>.</w:t>
      </w:r>
      <w:r w:rsidR="006031C9">
        <w:rPr>
          <w:rStyle w:val="FootnoteReference"/>
          <w:rFonts w:ascii="Times New Roman" w:hAnsi="Times New Roman" w:cs="Times New Roman"/>
          <w:sz w:val="24"/>
          <w:szCs w:val="24"/>
        </w:rPr>
        <w:footnoteReference w:id="143"/>
      </w:r>
      <w:r w:rsidR="00F607FC">
        <w:rPr>
          <w:rFonts w:ascii="Times New Roman" w:hAnsi="Times New Roman" w:cs="Times New Roman"/>
          <w:sz w:val="24"/>
          <w:szCs w:val="24"/>
        </w:rPr>
        <w:t xml:space="preserve"> </w:t>
      </w:r>
      <w:r w:rsidR="00AB1B52" w:rsidRPr="00FC6F7D">
        <w:rPr>
          <w:rFonts w:ascii="Times New Roman" w:hAnsi="Times New Roman" w:cs="Times New Roman"/>
          <w:sz w:val="24"/>
          <w:szCs w:val="24"/>
        </w:rPr>
        <w:t xml:space="preserve">When reading each case, I coded the statutory methodology employed. To make sure I captured all the cases, I did a word search on Westlaw to capture all cases in which the Board engaged </w:t>
      </w:r>
      <w:r w:rsidR="002B2676">
        <w:rPr>
          <w:rFonts w:ascii="Times New Roman" w:hAnsi="Times New Roman" w:cs="Times New Roman"/>
          <w:sz w:val="24"/>
          <w:szCs w:val="24"/>
        </w:rPr>
        <w:t xml:space="preserve">in statutory interpretation, and I similarly looked at all NLRB appellate cases that discussed either </w:t>
      </w:r>
      <w:r w:rsidR="002B2676" w:rsidRPr="0037119E">
        <w:rPr>
          <w:rFonts w:ascii="Times New Roman" w:hAnsi="Times New Roman" w:cs="Times New Roman"/>
          <w:i/>
          <w:sz w:val="24"/>
          <w:szCs w:val="24"/>
        </w:rPr>
        <w:t>Chevron</w:t>
      </w:r>
      <w:r w:rsidR="002B2676">
        <w:rPr>
          <w:rFonts w:ascii="Times New Roman" w:hAnsi="Times New Roman" w:cs="Times New Roman"/>
          <w:sz w:val="24"/>
          <w:szCs w:val="24"/>
        </w:rPr>
        <w:t xml:space="preserve"> or statutory interpretation</w:t>
      </w:r>
      <w:r w:rsidR="00AB1B52" w:rsidRPr="00FC6F7D">
        <w:rPr>
          <w:rFonts w:ascii="Times New Roman" w:hAnsi="Times New Roman" w:cs="Times New Roman"/>
          <w:sz w:val="24"/>
          <w:szCs w:val="24"/>
        </w:rPr>
        <w:t>.</w:t>
      </w:r>
      <w:r w:rsidR="00354A40" w:rsidRPr="00354A40">
        <w:rPr>
          <w:rStyle w:val="FootnoteReference"/>
          <w:rFonts w:ascii="Times New Roman" w:hAnsi="Times New Roman" w:cs="Times New Roman"/>
          <w:sz w:val="24"/>
          <w:szCs w:val="24"/>
        </w:rPr>
        <w:t xml:space="preserve"> </w:t>
      </w:r>
      <w:r w:rsidR="00354A40" w:rsidRPr="00FC6F7D">
        <w:rPr>
          <w:rStyle w:val="FootnoteReference"/>
          <w:rFonts w:ascii="Times New Roman" w:hAnsi="Times New Roman" w:cs="Times New Roman"/>
          <w:sz w:val="24"/>
          <w:szCs w:val="24"/>
        </w:rPr>
        <w:footnoteReference w:id="144"/>
      </w:r>
      <w:r w:rsidR="00354A40" w:rsidRPr="00FC6F7D">
        <w:rPr>
          <w:rFonts w:ascii="Times New Roman" w:hAnsi="Times New Roman" w:cs="Times New Roman"/>
          <w:sz w:val="24"/>
          <w:szCs w:val="24"/>
        </w:rPr>
        <w:t xml:space="preserve"> </w:t>
      </w:r>
      <w:r w:rsidR="00AB1B52" w:rsidRPr="00FC6F7D">
        <w:rPr>
          <w:rFonts w:ascii="Times New Roman" w:hAnsi="Times New Roman" w:cs="Times New Roman"/>
          <w:sz w:val="24"/>
          <w:szCs w:val="24"/>
        </w:rPr>
        <w:t xml:space="preserve"> </w:t>
      </w:r>
    </w:p>
    <w:p w14:paraId="1908D962" w14:textId="5DB397C1" w:rsidR="00CB62B2" w:rsidRPr="00460D8E" w:rsidRDefault="00AB1B52" w:rsidP="00460D8E">
      <w:pPr>
        <w:spacing w:after="0" w:line="480" w:lineRule="auto"/>
        <w:ind w:firstLine="720"/>
        <w:rPr>
          <w:rFonts w:ascii="Times New Roman" w:hAnsi="Times New Roman" w:cs="Times New Roman"/>
          <w:b/>
          <w:sz w:val="24"/>
          <w:szCs w:val="24"/>
        </w:rPr>
      </w:pPr>
      <w:r w:rsidRPr="00FC6F7D">
        <w:rPr>
          <w:rFonts w:ascii="Times New Roman" w:hAnsi="Times New Roman" w:cs="Times New Roman"/>
          <w:sz w:val="24"/>
          <w:szCs w:val="24"/>
        </w:rPr>
        <w:t xml:space="preserve">I found that the Board engages in some measure of statutory interpretation in </w:t>
      </w:r>
      <w:r w:rsidR="00946C48" w:rsidRPr="00FC6F7D">
        <w:rPr>
          <w:rFonts w:ascii="Times New Roman" w:hAnsi="Times New Roman" w:cs="Times New Roman"/>
          <w:sz w:val="24"/>
          <w:szCs w:val="24"/>
        </w:rPr>
        <w:t>less than 5%</w:t>
      </w:r>
      <w:r w:rsidRPr="00FC6F7D">
        <w:rPr>
          <w:rFonts w:ascii="Times New Roman" w:hAnsi="Times New Roman" w:cs="Times New Roman"/>
          <w:sz w:val="24"/>
          <w:szCs w:val="24"/>
        </w:rPr>
        <w:t xml:space="preserve"> of all cases during the indicated time frame</w:t>
      </w:r>
      <w:r w:rsidR="00946C48" w:rsidRPr="00FC6F7D">
        <w:rPr>
          <w:rFonts w:ascii="Times New Roman" w:hAnsi="Times New Roman" w:cs="Times New Roman"/>
          <w:sz w:val="24"/>
          <w:szCs w:val="24"/>
        </w:rPr>
        <w:t xml:space="preserve"> as in most instances it simply applies existing caselaw</w:t>
      </w:r>
      <w:r w:rsidRPr="00FC6F7D">
        <w:rPr>
          <w:rFonts w:ascii="Times New Roman" w:hAnsi="Times New Roman" w:cs="Times New Roman"/>
          <w:sz w:val="24"/>
          <w:szCs w:val="24"/>
        </w:rPr>
        <w:t>.</w:t>
      </w:r>
      <w:r w:rsidR="00F607FC">
        <w:rPr>
          <w:rFonts w:ascii="Times New Roman" w:hAnsi="Times New Roman" w:cs="Times New Roman"/>
          <w:sz w:val="24"/>
          <w:szCs w:val="24"/>
        </w:rPr>
        <w:t xml:space="preserve"> </w:t>
      </w:r>
      <w:r w:rsidR="00CB62B2">
        <w:rPr>
          <w:rFonts w:ascii="Times New Roman" w:hAnsi="Times New Roman" w:cs="Times New Roman"/>
          <w:sz w:val="24"/>
          <w:szCs w:val="24"/>
        </w:rPr>
        <w:t>Thi</w:t>
      </w:r>
      <w:r w:rsidR="00F607FC">
        <w:rPr>
          <w:rFonts w:ascii="Times New Roman" w:hAnsi="Times New Roman" w:cs="Times New Roman"/>
          <w:sz w:val="24"/>
          <w:szCs w:val="24"/>
        </w:rPr>
        <w:t xml:space="preserve">s finding is not unsurprising. </w:t>
      </w:r>
      <w:r w:rsidR="00CB62B2">
        <w:rPr>
          <w:rFonts w:ascii="Times New Roman" w:hAnsi="Times New Roman" w:cs="Times New Roman"/>
          <w:sz w:val="24"/>
          <w:szCs w:val="24"/>
        </w:rPr>
        <w:t xml:space="preserve">As Fish and Malamud note, a large proportion of the Board’s decision do not rely on any specific statutory </w:t>
      </w:r>
      <w:r w:rsidR="0037119E">
        <w:rPr>
          <w:rFonts w:ascii="Times New Roman" w:hAnsi="Times New Roman" w:cs="Times New Roman"/>
          <w:sz w:val="24"/>
          <w:szCs w:val="24"/>
        </w:rPr>
        <w:t>l</w:t>
      </w:r>
      <w:r w:rsidR="009D010F">
        <w:rPr>
          <w:rFonts w:ascii="Times New Roman" w:hAnsi="Times New Roman" w:cs="Times New Roman"/>
          <w:sz w:val="24"/>
          <w:szCs w:val="24"/>
        </w:rPr>
        <w:t>anguage, a result of the lack of</w:t>
      </w:r>
      <w:r w:rsidR="0037119E">
        <w:rPr>
          <w:rFonts w:ascii="Times New Roman" w:hAnsi="Times New Roman" w:cs="Times New Roman"/>
          <w:sz w:val="24"/>
          <w:szCs w:val="24"/>
        </w:rPr>
        <w:t xml:space="preserve"> any re</w:t>
      </w:r>
      <w:r w:rsidR="00CB62B2">
        <w:rPr>
          <w:rFonts w:ascii="Times New Roman" w:hAnsi="Times New Roman" w:cs="Times New Roman"/>
          <w:sz w:val="24"/>
          <w:szCs w:val="24"/>
        </w:rPr>
        <w:t>cent legislative activity.</w:t>
      </w:r>
      <w:bookmarkStart w:id="23" w:name="_Ref460648804"/>
      <w:r w:rsidR="00CB62B2">
        <w:rPr>
          <w:rStyle w:val="FootnoteReference"/>
          <w:rFonts w:ascii="Times New Roman" w:hAnsi="Times New Roman" w:cs="Times New Roman"/>
          <w:sz w:val="24"/>
          <w:szCs w:val="24"/>
        </w:rPr>
        <w:footnoteReference w:id="145"/>
      </w:r>
      <w:bookmarkEnd w:id="23"/>
      <w:r w:rsidR="00F607FC">
        <w:rPr>
          <w:rFonts w:ascii="Times New Roman" w:hAnsi="Times New Roman" w:cs="Times New Roman"/>
          <w:sz w:val="24"/>
          <w:szCs w:val="24"/>
        </w:rPr>
        <w:t xml:space="preserve"> </w:t>
      </w:r>
      <w:r w:rsidR="0037119E">
        <w:rPr>
          <w:rFonts w:ascii="Times New Roman" w:hAnsi="Times New Roman" w:cs="Times New Roman"/>
          <w:sz w:val="24"/>
          <w:szCs w:val="24"/>
        </w:rPr>
        <w:t>Moreover, there is no “helpful” legislative history as the Supreme C</w:t>
      </w:r>
      <w:r w:rsidR="00CB62B2">
        <w:rPr>
          <w:rFonts w:ascii="Times New Roman" w:hAnsi="Times New Roman" w:cs="Times New Roman"/>
          <w:sz w:val="24"/>
          <w:szCs w:val="24"/>
        </w:rPr>
        <w:t xml:space="preserve">ourt’s statutory interpretation in NLRB cases “often turn on nothing more than statements about the underlying purposes of the statute, and shows the same incapacity the Board manifests itself when it comes to how to prioritize Wagner Act </w:t>
      </w:r>
      <w:r w:rsidR="0037119E">
        <w:rPr>
          <w:rFonts w:ascii="Times New Roman" w:hAnsi="Times New Roman" w:cs="Times New Roman"/>
          <w:sz w:val="24"/>
          <w:szCs w:val="24"/>
        </w:rPr>
        <w:t>versus Taft-Hartley formulation</w:t>
      </w:r>
      <w:r w:rsidR="00CB62B2">
        <w:rPr>
          <w:rFonts w:ascii="Times New Roman" w:hAnsi="Times New Roman" w:cs="Times New Roman"/>
          <w:sz w:val="24"/>
          <w:szCs w:val="24"/>
        </w:rPr>
        <w:t xml:space="preserve"> of those purposes.”</w:t>
      </w:r>
      <w:r w:rsidR="00CB62B2">
        <w:rPr>
          <w:rStyle w:val="FootnoteReference"/>
          <w:rFonts w:ascii="Times New Roman" w:hAnsi="Times New Roman" w:cs="Times New Roman"/>
          <w:sz w:val="24"/>
          <w:szCs w:val="24"/>
        </w:rPr>
        <w:footnoteReference w:id="146"/>
      </w:r>
      <w:r w:rsidR="00CB62B2">
        <w:rPr>
          <w:rFonts w:ascii="Times New Roman" w:hAnsi="Times New Roman" w:cs="Times New Roman"/>
          <w:sz w:val="24"/>
          <w:szCs w:val="24"/>
        </w:rPr>
        <w:t xml:space="preserve"> </w:t>
      </w:r>
    </w:p>
    <w:p w14:paraId="04459E82" w14:textId="66F14C3D" w:rsidR="00E834F7" w:rsidRDefault="00E834F7" w:rsidP="00A709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C1538D">
        <w:rPr>
          <w:rFonts w:ascii="Times New Roman" w:hAnsi="Times New Roman" w:cs="Times New Roman"/>
          <w:sz w:val="24"/>
          <w:szCs w:val="24"/>
        </w:rPr>
        <w:t>he results may be underinclusive</w:t>
      </w:r>
      <w:r w:rsidR="0037119E">
        <w:rPr>
          <w:rFonts w:ascii="Times New Roman" w:hAnsi="Times New Roman" w:cs="Times New Roman"/>
          <w:sz w:val="24"/>
          <w:szCs w:val="24"/>
        </w:rPr>
        <w:t xml:space="preserve"> in some </w:t>
      </w:r>
      <w:r>
        <w:rPr>
          <w:rFonts w:ascii="Times New Roman" w:hAnsi="Times New Roman" w:cs="Times New Roman"/>
          <w:sz w:val="24"/>
          <w:szCs w:val="24"/>
        </w:rPr>
        <w:t>respects</w:t>
      </w:r>
      <w:r w:rsidR="00F75B38" w:rsidRPr="00FC6F7D">
        <w:rPr>
          <w:rFonts w:ascii="Times New Roman" w:hAnsi="Times New Roman" w:cs="Times New Roman"/>
          <w:sz w:val="24"/>
          <w:szCs w:val="24"/>
        </w:rPr>
        <w:t xml:space="preserve">. </w:t>
      </w:r>
      <w:r w:rsidR="00FD36A0">
        <w:rPr>
          <w:rFonts w:ascii="Times New Roman" w:hAnsi="Times New Roman" w:cs="Times New Roman"/>
          <w:sz w:val="24"/>
          <w:szCs w:val="24"/>
        </w:rPr>
        <w:t xml:space="preserve">Two groups of cases are excluded.  First, </w:t>
      </w:r>
      <w:r w:rsidR="00EE054F">
        <w:rPr>
          <w:rFonts w:ascii="Times New Roman" w:hAnsi="Times New Roman" w:cs="Times New Roman"/>
          <w:sz w:val="24"/>
          <w:szCs w:val="24"/>
        </w:rPr>
        <w:t>I only included cases in which the Board</w:t>
      </w:r>
      <w:r w:rsidR="002D6C12">
        <w:rPr>
          <w:rFonts w:ascii="Times New Roman" w:hAnsi="Times New Roman" w:cs="Times New Roman"/>
          <w:sz w:val="24"/>
          <w:szCs w:val="24"/>
        </w:rPr>
        <w:t>, acting as a three or five-member entity</w:t>
      </w:r>
      <w:r w:rsidR="00354A40">
        <w:rPr>
          <w:rFonts w:ascii="Times New Roman" w:hAnsi="Times New Roman" w:cs="Times New Roman"/>
          <w:sz w:val="24"/>
          <w:szCs w:val="24"/>
        </w:rPr>
        <w:t>, itself</w:t>
      </w:r>
      <w:r w:rsidR="00EE054F">
        <w:rPr>
          <w:rFonts w:ascii="Times New Roman" w:hAnsi="Times New Roman" w:cs="Times New Roman"/>
          <w:sz w:val="24"/>
          <w:szCs w:val="24"/>
        </w:rPr>
        <w:t xml:space="preserve"> </w:t>
      </w:r>
      <w:r w:rsidR="008F2323">
        <w:rPr>
          <w:rFonts w:ascii="Times New Roman" w:hAnsi="Times New Roman" w:cs="Times New Roman"/>
          <w:sz w:val="24"/>
          <w:szCs w:val="24"/>
        </w:rPr>
        <w:t xml:space="preserve">actually </w:t>
      </w:r>
      <w:r w:rsidR="00EE054F">
        <w:rPr>
          <w:rFonts w:ascii="Times New Roman" w:hAnsi="Times New Roman" w:cs="Times New Roman"/>
          <w:sz w:val="24"/>
          <w:szCs w:val="24"/>
        </w:rPr>
        <w:t xml:space="preserve">engaged in statutory interpretation. </w:t>
      </w:r>
      <w:r w:rsidR="00354A40">
        <w:rPr>
          <w:rFonts w:ascii="Times New Roman" w:hAnsi="Times New Roman" w:cs="Times New Roman"/>
          <w:sz w:val="24"/>
          <w:szCs w:val="24"/>
        </w:rPr>
        <w:t>By that</w:t>
      </w:r>
      <w:r>
        <w:rPr>
          <w:rFonts w:ascii="Times New Roman" w:hAnsi="Times New Roman" w:cs="Times New Roman"/>
          <w:sz w:val="24"/>
          <w:szCs w:val="24"/>
        </w:rPr>
        <w:t xml:space="preserve"> I mean t</w:t>
      </w:r>
      <w:r w:rsidR="00EE054F">
        <w:rPr>
          <w:rFonts w:ascii="Times New Roman" w:hAnsi="Times New Roman" w:cs="Times New Roman"/>
          <w:sz w:val="24"/>
          <w:szCs w:val="24"/>
        </w:rPr>
        <w:t>here are a fair share of cases in which the Board merely blesses the opinion of the</w:t>
      </w:r>
      <w:r w:rsidR="00346DAC">
        <w:rPr>
          <w:rFonts w:ascii="Times New Roman" w:hAnsi="Times New Roman" w:cs="Times New Roman"/>
          <w:sz w:val="24"/>
          <w:szCs w:val="24"/>
        </w:rPr>
        <w:t xml:space="preserve"> ALJ by issuing a short</w:t>
      </w:r>
      <w:r w:rsidR="00EE054F">
        <w:rPr>
          <w:rFonts w:ascii="Times New Roman" w:hAnsi="Times New Roman" w:cs="Times New Roman"/>
          <w:sz w:val="24"/>
          <w:szCs w:val="24"/>
        </w:rPr>
        <w:t xml:space="preserve"> order upholding the opinion. The ALJ may have set forth a statutory interpretation, but because there is no Board opinion it is impossible to know whether the Board </w:t>
      </w:r>
      <w:r w:rsidR="008F2323">
        <w:rPr>
          <w:rFonts w:ascii="Times New Roman" w:hAnsi="Times New Roman" w:cs="Times New Roman"/>
          <w:sz w:val="24"/>
          <w:szCs w:val="24"/>
        </w:rPr>
        <w:t xml:space="preserve">simply </w:t>
      </w:r>
      <w:r w:rsidR="00EE054F">
        <w:rPr>
          <w:rFonts w:ascii="Times New Roman" w:hAnsi="Times New Roman" w:cs="Times New Roman"/>
          <w:sz w:val="24"/>
          <w:szCs w:val="24"/>
        </w:rPr>
        <w:t xml:space="preserve">affirmed the ALJ because they </w:t>
      </w:r>
      <w:r w:rsidR="009D010F">
        <w:rPr>
          <w:rFonts w:ascii="Times New Roman" w:hAnsi="Times New Roman" w:cs="Times New Roman"/>
          <w:sz w:val="24"/>
          <w:szCs w:val="24"/>
        </w:rPr>
        <w:t xml:space="preserve">just </w:t>
      </w:r>
      <w:r w:rsidR="00EE054F">
        <w:rPr>
          <w:rFonts w:ascii="Times New Roman" w:hAnsi="Times New Roman" w:cs="Times New Roman"/>
          <w:sz w:val="24"/>
          <w:szCs w:val="24"/>
        </w:rPr>
        <w:t xml:space="preserve">agreed with the result or whether they in fact </w:t>
      </w:r>
      <w:r w:rsidR="009D010F">
        <w:rPr>
          <w:rFonts w:ascii="Times New Roman" w:hAnsi="Times New Roman" w:cs="Times New Roman"/>
          <w:sz w:val="24"/>
          <w:szCs w:val="24"/>
        </w:rPr>
        <w:t xml:space="preserve">favored </w:t>
      </w:r>
      <w:r w:rsidR="00EE054F">
        <w:rPr>
          <w:rFonts w:ascii="Times New Roman" w:hAnsi="Times New Roman" w:cs="Times New Roman"/>
          <w:sz w:val="24"/>
          <w:szCs w:val="24"/>
        </w:rPr>
        <w:t>the statutory met</w:t>
      </w:r>
      <w:r w:rsidR="00354A40">
        <w:rPr>
          <w:rFonts w:ascii="Times New Roman" w:hAnsi="Times New Roman" w:cs="Times New Roman"/>
          <w:sz w:val="24"/>
          <w:szCs w:val="24"/>
        </w:rPr>
        <w:t>hodologies employed by the ALJ</w:t>
      </w:r>
      <w:r w:rsidR="00F607FC">
        <w:rPr>
          <w:rFonts w:ascii="Times New Roman" w:hAnsi="Times New Roman" w:cs="Times New Roman"/>
          <w:sz w:val="24"/>
          <w:szCs w:val="24"/>
        </w:rPr>
        <w:t xml:space="preserve">. </w:t>
      </w:r>
      <w:proofErr w:type="gramStart"/>
      <w:r w:rsidR="0037119E">
        <w:rPr>
          <w:rFonts w:ascii="Times New Roman" w:hAnsi="Times New Roman" w:cs="Times New Roman"/>
          <w:sz w:val="24"/>
          <w:szCs w:val="24"/>
        </w:rPr>
        <w:t>Indeed</w:t>
      </w:r>
      <w:proofErr w:type="gramEnd"/>
      <w:r w:rsidR="0037119E">
        <w:rPr>
          <w:rFonts w:ascii="Times New Roman" w:hAnsi="Times New Roman" w:cs="Times New Roman"/>
          <w:sz w:val="24"/>
          <w:szCs w:val="24"/>
        </w:rPr>
        <w:t xml:space="preserve"> in some cases, the Board even notes in a footnote that while they uphold the Board, they do not necessarily agree with the ALJ’s approach. </w:t>
      </w:r>
    </w:p>
    <w:p w14:paraId="614314CF" w14:textId="5365433D" w:rsidR="00E834F7" w:rsidRDefault="00FD36A0" w:rsidP="00354A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EE054F">
        <w:rPr>
          <w:rFonts w:ascii="Times New Roman" w:hAnsi="Times New Roman" w:cs="Times New Roman"/>
          <w:sz w:val="24"/>
          <w:szCs w:val="24"/>
        </w:rPr>
        <w:t xml:space="preserve">I also did not include cases </w:t>
      </w:r>
      <w:r w:rsidR="00AB0411">
        <w:rPr>
          <w:rFonts w:ascii="Times New Roman" w:hAnsi="Times New Roman" w:cs="Times New Roman"/>
          <w:sz w:val="24"/>
          <w:szCs w:val="24"/>
        </w:rPr>
        <w:t xml:space="preserve">in which the Board </w:t>
      </w:r>
      <w:r w:rsidR="00346DAC">
        <w:rPr>
          <w:rFonts w:ascii="Times New Roman" w:hAnsi="Times New Roman" w:cs="Times New Roman"/>
          <w:sz w:val="24"/>
          <w:szCs w:val="24"/>
        </w:rPr>
        <w:t>“</w:t>
      </w:r>
      <w:r w:rsidR="00AB0411">
        <w:rPr>
          <w:rFonts w:ascii="Times New Roman" w:hAnsi="Times New Roman" w:cs="Times New Roman"/>
          <w:sz w:val="24"/>
          <w:szCs w:val="24"/>
        </w:rPr>
        <w:t>implicitly</w:t>
      </w:r>
      <w:r w:rsidR="00346DAC">
        <w:rPr>
          <w:rFonts w:ascii="Times New Roman" w:hAnsi="Times New Roman" w:cs="Times New Roman"/>
          <w:sz w:val="24"/>
          <w:szCs w:val="24"/>
        </w:rPr>
        <w:t>”</w:t>
      </w:r>
      <w:r w:rsidR="00AB0411">
        <w:rPr>
          <w:rFonts w:ascii="Times New Roman" w:hAnsi="Times New Roman" w:cs="Times New Roman"/>
          <w:sz w:val="24"/>
          <w:szCs w:val="24"/>
        </w:rPr>
        <w:t xml:space="preserve"> interpreted the statute. </w:t>
      </w:r>
      <w:r w:rsidR="00E834F7" w:rsidRPr="00FC6F7D">
        <w:rPr>
          <w:rFonts w:ascii="Times New Roman" w:hAnsi="Times New Roman" w:cs="Times New Roman"/>
          <w:sz w:val="24"/>
          <w:szCs w:val="24"/>
        </w:rPr>
        <w:t>For instance, the Board has a well-developed precedent to guide how to determine whether an employee was unlawfully termi</w:t>
      </w:r>
      <w:r w:rsidR="00E834F7">
        <w:rPr>
          <w:rFonts w:ascii="Times New Roman" w:hAnsi="Times New Roman" w:cs="Times New Roman"/>
          <w:sz w:val="24"/>
          <w:szCs w:val="24"/>
        </w:rPr>
        <w:t>nated —</w:t>
      </w:r>
      <w:r w:rsidR="00E834F7" w:rsidRPr="00FC6F7D">
        <w:rPr>
          <w:rFonts w:ascii="Times New Roman" w:hAnsi="Times New Roman" w:cs="Times New Roman"/>
          <w:sz w:val="24"/>
          <w:szCs w:val="24"/>
        </w:rPr>
        <w:t xml:space="preserve"> the so-called </w:t>
      </w:r>
      <w:r w:rsidR="00E834F7" w:rsidRPr="0037119E">
        <w:rPr>
          <w:rFonts w:ascii="Times New Roman" w:hAnsi="Times New Roman" w:cs="Times New Roman"/>
          <w:i/>
          <w:sz w:val="24"/>
          <w:szCs w:val="24"/>
        </w:rPr>
        <w:t>Wright Line</w:t>
      </w:r>
      <w:r w:rsidR="00460D8E">
        <w:rPr>
          <w:rStyle w:val="FootnoteReference"/>
          <w:rFonts w:ascii="Times New Roman" w:hAnsi="Times New Roman" w:cs="Times New Roman"/>
          <w:i/>
          <w:sz w:val="24"/>
          <w:szCs w:val="24"/>
        </w:rPr>
        <w:footnoteReference w:id="147"/>
      </w:r>
      <w:r w:rsidR="00354A40">
        <w:rPr>
          <w:rFonts w:ascii="Times New Roman" w:hAnsi="Times New Roman" w:cs="Times New Roman"/>
          <w:sz w:val="24"/>
          <w:szCs w:val="24"/>
        </w:rPr>
        <w:t xml:space="preserve"> analysis where the Board analyzes </w:t>
      </w:r>
      <w:r w:rsidR="00E834F7" w:rsidRPr="00FC6F7D">
        <w:rPr>
          <w:rFonts w:ascii="Times New Roman" w:hAnsi="Times New Roman" w:cs="Times New Roman"/>
          <w:sz w:val="24"/>
          <w:szCs w:val="24"/>
        </w:rPr>
        <w:t xml:space="preserve">a three-factor test of employer conduct and motivation to discern whether the conduct was unlawful. </w:t>
      </w:r>
      <w:r w:rsidR="00E834F7">
        <w:rPr>
          <w:rFonts w:ascii="Times New Roman" w:hAnsi="Times New Roman" w:cs="Times New Roman"/>
          <w:sz w:val="24"/>
          <w:szCs w:val="24"/>
        </w:rPr>
        <w:t xml:space="preserve">The Board hears literally </w:t>
      </w:r>
      <w:r w:rsidR="00354A40">
        <w:rPr>
          <w:rFonts w:ascii="Times New Roman" w:hAnsi="Times New Roman" w:cs="Times New Roman"/>
          <w:sz w:val="24"/>
          <w:szCs w:val="24"/>
        </w:rPr>
        <w:t xml:space="preserve">hundreds </w:t>
      </w:r>
      <w:r w:rsidR="00E834F7" w:rsidRPr="00FC6F7D">
        <w:rPr>
          <w:rFonts w:ascii="Times New Roman" w:hAnsi="Times New Roman" w:cs="Times New Roman"/>
          <w:sz w:val="24"/>
          <w:szCs w:val="24"/>
        </w:rPr>
        <w:t xml:space="preserve">of </w:t>
      </w:r>
      <w:r w:rsidR="00E834F7" w:rsidRPr="0037119E">
        <w:rPr>
          <w:rFonts w:ascii="Times New Roman" w:hAnsi="Times New Roman" w:cs="Times New Roman"/>
          <w:i/>
          <w:sz w:val="24"/>
          <w:szCs w:val="24"/>
        </w:rPr>
        <w:t>Wright Line</w:t>
      </w:r>
      <w:r w:rsidR="00E834F7" w:rsidRPr="00FC6F7D">
        <w:rPr>
          <w:rFonts w:ascii="Times New Roman" w:hAnsi="Times New Roman" w:cs="Times New Roman"/>
          <w:sz w:val="24"/>
          <w:szCs w:val="24"/>
        </w:rPr>
        <w:t xml:space="preserve"> cases where the Board applies the precedent to determine whether a violation </w:t>
      </w:r>
      <w:r w:rsidR="00354A40">
        <w:rPr>
          <w:rFonts w:ascii="Times New Roman" w:hAnsi="Times New Roman" w:cs="Times New Roman"/>
          <w:sz w:val="24"/>
          <w:szCs w:val="24"/>
        </w:rPr>
        <w:t>occurred</w:t>
      </w:r>
      <w:r w:rsidR="00E834F7" w:rsidRPr="00FC6F7D">
        <w:rPr>
          <w:rFonts w:ascii="Times New Roman" w:hAnsi="Times New Roman" w:cs="Times New Roman"/>
          <w:sz w:val="24"/>
          <w:szCs w:val="24"/>
        </w:rPr>
        <w:t xml:space="preserve">. Similarly, </w:t>
      </w:r>
      <w:r w:rsidR="00354A40">
        <w:rPr>
          <w:rFonts w:ascii="Times New Roman" w:hAnsi="Times New Roman" w:cs="Times New Roman"/>
          <w:sz w:val="24"/>
          <w:szCs w:val="24"/>
        </w:rPr>
        <w:t xml:space="preserve">in </w:t>
      </w:r>
      <w:r w:rsidR="00E834F7" w:rsidRPr="00FC6F7D">
        <w:rPr>
          <w:rFonts w:ascii="Times New Roman" w:hAnsi="Times New Roman" w:cs="Times New Roman"/>
          <w:sz w:val="24"/>
          <w:szCs w:val="24"/>
        </w:rPr>
        <w:t>hundreds of cases</w:t>
      </w:r>
      <w:r w:rsidR="00354A40">
        <w:rPr>
          <w:rFonts w:ascii="Times New Roman" w:hAnsi="Times New Roman" w:cs="Times New Roman"/>
          <w:sz w:val="24"/>
          <w:szCs w:val="24"/>
        </w:rPr>
        <w:t>, the Board reviews</w:t>
      </w:r>
      <w:r w:rsidR="00E834F7" w:rsidRPr="00FC6F7D">
        <w:rPr>
          <w:rFonts w:ascii="Times New Roman" w:hAnsi="Times New Roman" w:cs="Times New Roman"/>
          <w:sz w:val="24"/>
          <w:szCs w:val="24"/>
        </w:rPr>
        <w:t xml:space="preserve"> whether or not someone is an “employee” under the Act’s provisions. In my database</w:t>
      </w:r>
      <w:r w:rsidR="00E834F7">
        <w:rPr>
          <w:rFonts w:ascii="Times New Roman" w:hAnsi="Times New Roman" w:cs="Times New Roman"/>
          <w:sz w:val="24"/>
          <w:szCs w:val="24"/>
        </w:rPr>
        <w:t xml:space="preserve">, </w:t>
      </w:r>
      <w:r w:rsidR="00E834F7" w:rsidRPr="00FC6F7D">
        <w:rPr>
          <w:rFonts w:ascii="Times New Roman" w:hAnsi="Times New Roman" w:cs="Times New Roman"/>
          <w:sz w:val="24"/>
          <w:szCs w:val="24"/>
        </w:rPr>
        <w:t xml:space="preserve">I include the </w:t>
      </w:r>
      <w:r w:rsidR="00E834F7">
        <w:rPr>
          <w:rFonts w:ascii="Times New Roman" w:hAnsi="Times New Roman" w:cs="Times New Roman"/>
          <w:sz w:val="24"/>
          <w:szCs w:val="24"/>
        </w:rPr>
        <w:t>major</w:t>
      </w:r>
      <w:r w:rsidR="00E834F7" w:rsidRPr="00FC6F7D">
        <w:rPr>
          <w:rFonts w:ascii="Times New Roman" w:hAnsi="Times New Roman" w:cs="Times New Roman"/>
          <w:sz w:val="24"/>
          <w:szCs w:val="24"/>
        </w:rPr>
        <w:t xml:space="preserve"> Board case where</w:t>
      </w:r>
      <w:r w:rsidR="00E834F7">
        <w:rPr>
          <w:rFonts w:ascii="Times New Roman" w:hAnsi="Times New Roman" w:cs="Times New Roman"/>
          <w:sz w:val="24"/>
          <w:szCs w:val="24"/>
        </w:rPr>
        <w:t xml:space="preserve"> the Board as a matter of </w:t>
      </w:r>
      <w:r w:rsidR="00E834F7" w:rsidRPr="00FC6F7D">
        <w:rPr>
          <w:rFonts w:ascii="Times New Roman" w:hAnsi="Times New Roman" w:cs="Times New Roman"/>
          <w:sz w:val="24"/>
          <w:szCs w:val="24"/>
        </w:rPr>
        <w:t xml:space="preserve">impression </w:t>
      </w:r>
      <w:r w:rsidR="00E834F7">
        <w:rPr>
          <w:rFonts w:ascii="Times New Roman" w:hAnsi="Times New Roman" w:cs="Times New Roman"/>
          <w:sz w:val="24"/>
          <w:szCs w:val="24"/>
        </w:rPr>
        <w:t xml:space="preserve">devises the </w:t>
      </w:r>
      <w:r w:rsidR="00E834F7" w:rsidRPr="00E834F7">
        <w:rPr>
          <w:rFonts w:ascii="Times New Roman" w:hAnsi="Times New Roman" w:cs="Times New Roman"/>
          <w:i/>
          <w:sz w:val="24"/>
          <w:szCs w:val="24"/>
        </w:rPr>
        <w:t>Wright Line</w:t>
      </w:r>
      <w:r w:rsidR="00E834F7">
        <w:rPr>
          <w:rFonts w:ascii="Times New Roman" w:hAnsi="Times New Roman" w:cs="Times New Roman"/>
          <w:sz w:val="24"/>
          <w:szCs w:val="24"/>
        </w:rPr>
        <w:t xml:space="preserve"> test or </w:t>
      </w:r>
      <w:r w:rsidR="00E834F7" w:rsidRPr="00FC6F7D">
        <w:rPr>
          <w:rFonts w:ascii="Times New Roman" w:hAnsi="Times New Roman" w:cs="Times New Roman"/>
          <w:sz w:val="24"/>
          <w:szCs w:val="24"/>
        </w:rPr>
        <w:t>determines the test to ascertain whether or not someone is an “employee” but I do not include the hundreds of cases applying facts to discern whether</w:t>
      </w:r>
      <w:r w:rsidR="00E834F7">
        <w:rPr>
          <w:rFonts w:ascii="Times New Roman" w:hAnsi="Times New Roman" w:cs="Times New Roman"/>
          <w:sz w:val="24"/>
          <w:szCs w:val="24"/>
        </w:rPr>
        <w:t xml:space="preserve"> or not an employer satisfied its burden under </w:t>
      </w:r>
      <w:r w:rsidR="00E834F7" w:rsidRPr="00E834F7">
        <w:rPr>
          <w:rFonts w:ascii="Times New Roman" w:hAnsi="Times New Roman" w:cs="Times New Roman"/>
          <w:i/>
          <w:sz w:val="24"/>
          <w:szCs w:val="24"/>
        </w:rPr>
        <w:t>Wright Line</w:t>
      </w:r>
      <w:r w:rsidR="00E834F7">
        <w:rPr>
          <w:rFonts w:ascii="Times New Roman" w:hAnsi="Times New Roman" w:cs="Times New Roman"/>
          <w:sz w:val="24"/>
          <w:szCs w:val="24"/>
        </w:rPr>
        <w:t xml:space="preserve"> or someone is an “employee</w:t>
      </w:r>
      <w:r w:rsidR="00E834F7" w:rsidRPr="00FC6F7D">
        <w:rPr>
          <w:rFonts w:ascii="Times New Roman" w:hAnsi="Times New Roman" w:cs="Times New Roman"/>
          <w:sz w:val="24"/>
          <w:szCs w:val="24"/>
        </w:rPr>
        <w:t>”</w:t>
      </w:r>
      <w:r w:rsidR="00E834F7">
        <w:rPr>
          <w:rFonts w:ascii="Times New Roman" w:hAnsi="Times New Roman" w:cs="Times New Roman"/>
          <w:sz w:val="24"/>
          <w:szCs w:val="24"/>
        </w:rPr>
        <w:t xml:space="preserve"> as those cases concern fact-specific analysis of a test developed in another prior Board decision.</w:t>
      </w:r>
      <w:r w:rsidR="00E834F7" w:rsidRPr="00FC6F7D">
        <w:rPr>
          <w:rFonts w:ascii="Times New Roman" w:hAnsi="Times New Roman" w:cs="Times New Roman"/>
          <w:sz w:val="24"/>
          <w:szCs w:val="24"/>
        </w:rPr>
        <w:t xml:space="preserve"> In tho</w:t>
      </w:r>
      <w:r w:rsidR="00E834F7">
        <w:rPr>
          <w:rFonts w:ascii="Times New Roman" w:hAnsi="Times New Roman" w:cs="Times New Roman"/>
          <w:sz w:val="24"/>
          <w:szCs w:val="24"/>
        </w:rPr>
        <w:t>se cases, the Board cannot safe</w:t>
      </w:r>
      <w:r w:rsidR="00E834F7" w:rsidRPr="00FC6F7D">
        <w:rPr>
          <w:rFonts w:ascii="Times New Roman" w:hAnsi="Times New Roman" w:cs="Times New Roman"/>
          <w:sz w:val="24"/>
          <w:szCs w:val="24"/>
        </w:rPr>
        <w:t>ly be said to be engaging in statutory interpretation, because the Board is sim</w:t>
      </w:r>
      <w:r w:rsidR="00E834F7">
        <w:rPr>
          <w:rFonts w:ascii="Times New Roman" w:hAnsi="Times New Roman" w:cs="Times New Roman"/>
          <w:sz w:val="24"/>
          <w:szCs w:val="24"/>
        </w:rPr>
        <w:t xml:space="preserve">ply </w:t>
      </w:r>
      <w:r w:rsidR="00E834F7">
        <w:rPr>
          <w:rFonts w:ascii="Times New Roman" w:hAnsi="Times New Roman" w:cs="Times New Roman"/>
          <w:sz w:val="24"/>
          <w:szCs w:val="24"/>
        </w:rPr>
        <w:lastRenderedPageBreak/>
        <w:t>applying facts to law. Indeed, t</w:t>
      </w:r>
      <w:r w:rsidR="00E834F7" w:rsidRPr="00FC6F7D">
        <w:rPr>
          <w:rFonts w:ascii="Times New Roman" w:hAnsi="Times New Roman" w:cs="Times New Roman"/>
          <w:sz w:val="24"/>
          <w:szCs w:val="24"/>
        </w:rPr>
        <w:t xml:space="preserve">here is no dispute concerning whether the challenged practice is in violation of law; rather the inquiry is whether there is sufficient evidence to sustain </w:t>
      </w:r>
      <w:r w:rsidR="00E834F7">
        <w:rPr>
          <w:rFonts w:ascii="Times New Roman" w:hAnsi="Times New Roman" w:cs="Times New Roman"/>
          <w:sz w:val="24"/>
          <w:szCs w:val="24"/>
        </w:rPr>
        <w:t>a violation.</w:t>
      </w:r>
      <w:r w:rsidR="00354A40">
        <w:rPr>
          <w:rFonts w:ascii="Times New Roman" w:hAnsi="Times New Roman" w:cs="Times New Roman"/>
          <w:sz w:val="24"/>
          <w:szCs w:val="24"/>
        </w:rPr>
        <w:t xml:space="preserve"> </w:t>
      </w:r>
      <w:r w:rsidR="00E834F7" w:rsidRPr="00FC6F7D">
        <w:rPr>
          <w:rFonts w:ascii="Times New Roman" w:hAnsi="Times New Roman" w:cs="Times New Roman"/>
          <w:sz w:val="24"/>
          <w:szCs w:val="24"/>
        </w:rPr>
        <w:t>I also did not include cases where the NLR</w:t>
      </w:r>
      <w:r w:rsidR="00566A0F">
        <w:rPr>
          <w:rFonts w:ascii="Times New Roman" w:hAnsi="Times New Roman" w:cs="Times New Roman"/>
          <w:sz w:val="24"/>
          <w:szCs w:val="24"/>
        </w:rPr>
        <w:t>B interprets a different statute or is deciding a jurisdictional issue</w:t>
      </w:r>
      <w:r w:rsidR="00E834F7">
        <w:rPr>
          <w:rFonts w:ascii="Times New Roman" w:hAnsi="Times New Roman" w:cs="Times New Roman"/>
          <w:sz w:val="24"/>
          <w:szCs w:val="24"/>
        </w:rPr>
        <w:t>.</w:t>
      </w:r>
      <w:r w:rsidR="00354A40">
        <w:rPr>
          <w:rStyle w:val="FootnoteReference"/>
          <w:rFonts w:ascii="Times New Roman" w:hAnsi="Times New Roman" w:cs="Times New Roman"/>
          <w:sz w:val="24"/>
          <w:szCs w:val="24"/>
        </w:rPr>
        <w:footnoteReference w:id="148"/>
      </w:r>
      <w:r w:rsidR="00E834F7">
        <w:rPr>
          <w:rFonts w:ascii="Times New Roman" w:hAnsi="Times New Roman" w:cs="Times New Roman"/>
          <w:sz w:val="24"/>
          <w:szCs w:val="24"/>
        </w:rPr>
        <w:t xml:space="preserve"> </w:t>
      </w:r>
    </w:p>
    <w:p w14:paraId="44E317A7" w14:textId="759951D1" w:rsidR="00EE054F" w:rsidRDefault="00F05479" w:rsidP="00A709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8C15BC">
        <w:rPr>
          <w:rFonts w:ascii="Times New Roman" w:hAnsi="Times New Roman" w:cs="Times New Roman"/>
          <w:sz w:val="24"/>
          <w:szCs w:val="24"/>
        </w:rPr>
        <w:t xml:space="preserve">ome cases do not really make clear their interpretive strategy. </w:t>
      </w:r>
      <w:r w:rsidR="00354A40">
        <w:rPr>
          <w:rFonts w:ascii="Times New Roman" w:hAnsi="Times New Roman" w:cs="Times New Roman"/>
          <w:sz w:val="24"/>
          <w:szCs w:val="24"/>
        </w:rPr>
        <w:t xml:space="preserve">The Board sets forth a fact scenario, makes a determination, but does not specify their reasoning except to rely on caselaw. </w:t>
      </w:r>
      <w:r w:rsidR="008D11BA">
        <w:rPr>
          <w:rFonts w:ascii="Times New Roman" w:hAnsi="Times New Roman" w:cs="Times New Roman"/>
          <w:sz w:val="24"/>
          <w:szCs w:val="24"/>
        </w:rPr>
        <w:t xml:space="preserve">To the extent one believes that these </w:t>
      </w:r>
      <w:r>
        <w:rPr>
          <w:rFonts w:ascii="Times New Roman" w:hAnsi="Times New Roman" w:cs="Times New Roman"/>
          <w:sz w:val="24"/>
          <w:szCs w:val="24"/>
        </w:rPr>
        <w:t>“</w:t>
      </w:r>
      <w:r w:rsidR="008D11BA">
        <w:rPr>
          <w:rFonts w:ascii="Times New Roman" w:hAnsi="Times New Roman" w:cs="Times New Roman"/>
          <w:sz w:val="24"/>
          <w:szCs w:val="24"/>
        </w:rPr>
        <w:t>caselaw only</w:t>
      </w:r>
      <w:r>
        <w:rPr>
          <w:rFonts w:ascii="Times New Roman" w:hAnsi="Times New Roman" w:cs="Times New Roman"/>
          <w:sz w:val="24"/>
          <w:szCs w:val="24"/>
        </w:rPr>
        <w:t>”</w:t>
      </w:r>
      <w:r w:rsidR="008D11BA">
        <w:rPr>
          <w:rFonts w:ascii="Times New Roman" w:hAnsi="Times New Roman" w:cs="Times New Roman"/>
          <w:sz w:val="24"/>
          <w:szCs w:val="24"/>
        </w:rPr>
        <w:t xml:space="preserve"> decisions represent implicit policy determinations, the database would necessarily underestimate the extent to which the Board uses pure policymaking to guide statu</w:t>
      </w:r>
      <w:r w:rsidR="00F607FC">
        <w:rPr>
          <w:rFonts w:ascii="Times New Roman" w:hAnsi="Times New Roman" w:cs="Times New Roman"/>
          <w:sz w:val="24"/>
          <w:szCs w:val="24"/>
        </w:rPr>
        <w:t xml:space="preserve">tory interpretations. </w:t>
      </w:r>
      <w:r w:rsidR="008D11BA">
        <w:rPr>
          <w:rFonts w:ascii="Times New Roman" w:hAnsi="Times New Roman" w:cs="Times New Roman"/>
          <w:sz w:val="24"/>
          <w:szCs w:val="24"/>
        </w:rPr>
        <w:t xml:space="preserve">However, one needs to draw the line somewhere, and there are a few reasons why I excluded such cases. </w:t>
      </w:r>
      <w:r w:rsidR="00C1538D">
        <w:rPr>
          <w:rFonts w:ascii="Times New Roman" w:hAnsi="Times New Roman" w:cs="Times New Roman"/>
          <w:sz w:val="24"/>
          <w:szCs w:val="24"/>
        </w:rPr>
        <w:t>None of the</w:t>
      </w:r>
      <w:r w:rsidR="00AB0411">
        <w:rPr>
          <w:rFonts w:ascii="Times New Roman" w:hAnsi="Times New Roman" w:cs="Times New Roman"/>
          <w:sz w:val="24"/>
          <w:szCs w:val="24"/>
        </w:rPr>
        <w:t xml:space="preserve"> cases</w:t>
      </w:r>
      <w:r w:rsidR="008F2323">
        <w:rPr>
          <w:rFonts w:ascii="Times New Roman" w:hAnsi="Times New Roman" w:cs="Times New Roman"/>
          <w:sz w:val="24"/>
          <w:szCs w:val="24"/>
        </w:rPr>
        <w:t xml:space="preserve"> </w:t>
      </w:r>
      <w:r w:rsidR="00AB0411">
        <w:rPr>
          <w:rFonts w:ascii="Times New Roman" w:hAnsi="Times New Roman" w:cs="Times New Roman"/>
          <w:sz w:val="24"/>
          <w:szCs w:val="24"/>
        </w:rPr>
        <w:t xml:space="preserve">involved any discussion of the text itself (other than a reference to what the text actually said), legislative history, policy or practical considerations. </w:t>
      </w:r>
      <w:r w:rsidR="00346DAC">
        <w:rPr>
          <w:rFonts w:ascii="Times New Roman" w:hAnsi="Times New Roman" w:cs="Times New Roman"/>
          <w:sz w:val="24"/>
          <w:szCs w:val="24"/>
        </w:rPr>
        <w:t>Moreover, unlike the vast majority of the cases I included in my database, hardly any of these cases involved a dissent or concurrence, wh</w:t>
      </w:r>
      <w:r w:rsidR="008F2323">
        <w:rPr>
          <w:rFonts w:ascii="Times New Roman" w:hAnsi="Times New Roman" w:cs="Times New Roman"/>
          <w:sz w:val="24"/>
          <w:szCs w:val="24"/>
        </w:rPr>
        <w:t>ich, given the propensity of Board members to frequently dissent,</w:t>
      </w:r>
      <w:r w:rsidR="00884C0C">
        <w:rPr>
          <w:rFonts w:ascii="Times New Roman" w:hAnsi="Times New Roman" w:cs="Times New Roman"/>
          <w:sz w:val="24"/>
          <w:szCs w:val="24"/>
        </w:rPr>
        <w:t xml:space="preserve"> especially in important cases,</w:t>
      </w:r>
      <w:r w:rsidR="008F2323">
        <w:rPr>
          <w:rFonts w:ascii="Times New Roman" w:hAnsi="Times New Roman" w:cs="Times New Roman"/>
          <w:sz w:val="24"/>
          <w:szCs w:val="24"/>
        </w:rPr>
        <w:t xml:space="preserve"> the cases in question </w:t>
      </w:r>
      <w:r w:rsidR="00346DAC">
        <w:rPr>
          <w:rFonts w:ascii="Times New Roman" w:hAnsi="Times New Roman" w:cs="Times New Roman"/>
          <w:sz w:val="24"/>
          <w:szCs w:val="24"/>
        </w:rPr>
        <w:t xml:space="preserve">most likely </w:t>
      </w:r>
      <w:r w:rsidR="008F2323">
        <w:rPr>
          <w:rFonts w:ascii="Times New Roman" w:hAnsi="Times New Roman" w:cs="Times New Roman"/>
          <w:sz w:val="24"/>
          <w:szCs w:val="24"/>
        </w:rPr>
        <w:t>concerned</w:t>
      </w:r>
      <w:r w:rsidR="00346DAC">
        <w:rPr>
          <w:rFonts w:ascii="Times New Roman" w:hAnsi="Times New Roman" w:cs="Times New Roman"/>
          <w:sz w:val="24"/>
          <w:szCs w:val="24"/>
        </w:rPr>
        <w:t xml:space="preserve"> an easy to analyze factual situation clearly fitting within established precedent. </w:t>
      </w:r>
      <w:r w:rsidR="00A709B4">
        <w:rPr>
          <w:rFonts w:ascii="Times New Roman" w:hAnsi="Times New Roman" w:cs="Times New Roman"/>
          <w:sz w:val="24"/>
          <w:szCs w:val="24"/>
        </w:rPr>
        <w:t>Finally, these cases were decided by three-judge panels. Although not strictly a ru</w:t>
      </w:r>
      <w:r w:rsidR="00884C0C">
        <w:rPr>
          <w:rFonts w:ascii="Times New Roman" w:hAnsi="Times New Roman" w:cs="Times New Roman"/>
          <w:sz w:val="24"/>
          <w:szCs w:val="24"/>
        </w:rPr>
        <w:t>le (and there are three-panel Bo</w:t>
      </w:r>
      <w:r w:rsidR="00A709B4">
        <w:rPr>
          <w:rFonts w:ascii="Times New Roman" w:hAnsi="Times New Roman" w:cs="Times New Roman"/>
          <w:sz w:val="24"/>
          <w:szCs w:val="24"/>
        </w:rPr>
        <w:t xml:space="preserve">ard decisions I included in the database), the Board generally does </w:t>
      </w:r>
      <w:r w:rsidR="00354A40">
        <w:rPr>
          <w:rFonts w:ascii="Times New Roman" w:hAnsi="Times New Roman" w:cs="Times New Roman"/>
          <w:sz w:val="24"/>
          <w:szCs w:val="24"/>
        </w:rPr>
        <w:t xml:space="preserve">not </w:t>
      </w:r>
      <w:r w:rsidR="00A709B4">
        <w:rPr>
          <w:rFonts w:ascii="Times New Roman" w:hAnsi="Times New Roman" w:cs="Times New Roman"/>
          <w:sz w:val="24"/>
          <w:szCs w:val="24"/>
        </w:rPr>
        <w:t>decide important cases using three-judge panels; mos</w:t>
      </w:r>
      <w:r w:rsidR="00884C0C">
        <w:rPr>
          <w:rFonts w:ascii="Times New Roman" w:hAnsi="Times New Roman" w:cs="Times New Roman"/>
          <w:sz w:val="24"/>
          <w:szCs w:val="24"/>
        </w:rPr>
        <w:t>t “important” cases are decided by the full Board</w:t>
      </w:r>
      <w:r w:rsidR="00A709B4">
        <w:rPr>
          <w:rFonts w:ascii="Times New Roman" w:hAnsi="Times New Roman" w:cs="Times New Roman"/>
          <w:sz w:val="24"/>
          <w:szCs w:val="24"/>
        </w:rPr>
        <w:t xml:space="preserve"> and as such full Board cases represent a disproportionate amount of the statutory inte</w:t>
      </w:r>
      <w:r w:rsidR="00A13E2D">
        <w:rPr>
          <w:rFonts w:ascii="Times New Roman" w:hAnsi="Times New Roman" w:cs="Times New Roman"/>
          <w:sz w:val="24"/>
          <w:szCs w:val="24"/>
        </w:rPr>
        <w:t xml:space="preserve">rpretations done by the Board. </w:t>
      </w:r>
      <w:r w:rsidR="00A709B4">
        <w:rPr>
          <w:rFonts w:ascii="Times New Roman" w:hAnsi="Times New Roman" w:cs="Times New Roman"/>
          <w:sz w:val="24"/>
          <w:szCs w:val="24"/>
        </w:rPr>
        <w:t>In any event</w:t>
      </w:r>
      <w:r w:rsidR="00AB0411">
        <w:rPr>
          <w:rFonts w:ascii="Times New Roman" w:hAnsi="Times New Roman" w:cs="Times New Roman"/>
          <w:sz w:val="24"/>
          <w:szCs w:val="24"/>
        </w:rPr>
        <w:t xml:space="preserve">, to the extent the study is underinclusive it is underinclusive in the sense that it </w:t>
      </w:r>
      <w:r w:rsidR="00A709B4">
        <w:rPr>
          <w:rFonts w:ascii="Times New Roman" w:hAnsi="Times New Roman" w:cs="Times New Roman"/>
          <w:sz w:val="24"/>
          <w:szCs w:val="24"/>
        </w:rPr>
        <w:t>may exclude</w:t>
      </w:r>
      <w:r w:rsidR="00AB0411">
        <w:rPr>
          <w:rFonts w:ascii="Times New Roman" w:hAnsi="Times New Roman" w:cs="Times New Roman"/>
          <w:sz w:val="24"/>
          <w:szCs w:val="24"/>
        </w:rPr>
        <w:t xml:space="preserve"> some cases where the NLRB’s sole method </w:t>
      </w:r>
      <w:r w:rsidR="00354A40">
        <w:rPr>
          <w:rFonts w:ascii="Times New Roman" w:hAnsi="Times New Roman" w:cs="Times New Roman"/>
          <w:sz w:val="24"/>
          <w:szCs w:val="24"/>
        </w:rPr>
        <w:lastRenderedPageBreak/>
        <w:t>of interpreting is to piece together</w:t>
      </w:r>
      <w:r w:rsidR="00AB0411">
        <w:rPr>
          <w:rFonts w:ascii="Times New Roman" w:hAnsi="Times New Roman" w:cs="Times New Roman"/>
          <w:sz w:val="24"/>
          <w:szCs w:val="24"/>
        </w:rPr>
        <w:t xml:space="preserve"> some sort of statutory interpretation from its own or Supreme Court caselaw</w:t>
      </w:r>
      <w:r w:rsidR="00C1538D">
        <w:rPr>
          <w:rFonts w:ascii="Times New Roman" w:hAnsi="Times New Roman" w:cs="Times New Roman"/>
          <w:sz w:val="24"/>
          <w:szCs w:val="24"/>
        </w:rPr>
        <w:t xml:space="preserve"> laced together with a policy prescription</w:t>
      </w:r>
      <w:r w:rsidR="00AB0411">
        <w:rPr>
          <w:rFonts w:ascii="Times New Roman" w:hAnsi="Times New Roman" w:cs="Times New Roman"/>
          <w:sz w:val="24"/>
          <w:szCs w:val="24"/>
        </w:rPr>
        <w:t>.</w:t>
      </w:r>
      <w:r w:rsidR="00AB0411">
        <w:rPr>
          <w:rStyle w:val="FootnoteReference"/>
          <w:rFonts w:ascii="Times New Roman" w:hAnsi="Times New Roman" w:cs="Times New Roman"/>
          <w:sz w:val="24"/>
          <w:szCs w:val="24"/>
        </w:rPr>
        <w:footnoteReference w:id="149"/>
      </w:r>
    </w:p>
    <w:p w14:paraId="3C446796" w14:textId="0E22337F" w:rsidR="008F2323" w:rsidRDefault="008F2323" w:rsidP="00C153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analysis rests on the assumption that the Board is transparent and that the opinions actually reflect the statutory methodology used by the Board. In many cases, the Board may choose not to set forth in writing what statutory methodology it employed, or it may set forth parts of its methodology and hide other parts. There is no way to know for sure whether the opinion itself accurately represents a</w:t>
      </w:r>
      <w:r w:rsidR="00F508F4">
        <w:rPr>
          <w:rFonts w:ascii="Times New Roman" w:hAnsi="Times New Roman" w:cs="Times New Roman"/>
          <w:sz w:val="24"/>
          <w:szCs w:val="24"/>
        </w:rPr>
        <w:t>n accurate or complete</w:t>
      </w:r>
      <w:r>
        <w:rPr>
          <w:rFonts w:ascii="Times New Roman" w:hAnsi="Times New Roman" w:cs="Times New Roman"/>
          <w:sz w:val="24"/>
          <w:szCs w:val="24"/>
        </w:rPr>
        <w:t xml:space="preserve"> transcription of how the Board interprets statutes. The same concern, however, can be said of any empirical analysis of statutory interpretation or even analysis of judicial voting generally. We never know for sure, for instance, if a liberal vote represents the judge’s ideological preferences. Judges may choose to dissent in one case but not others. These concerns are endemic to any study of judicial politics, but they by no means lead to the conclusion that we should not study these issues empirically. Rather, </w:t>
      </w:r>
      <w:r w:rsidR="002C3A56">
        <w:rPr>
          <w:rFonts w:ascii="Times New Roman" w:hAnsi="Times New Roman" w:cs="Times New Roman"/>
          <w:sz w:val="24"/>
          <w:szCs w:val="24"/>
        </w:rPr>
        <w:t>so long as we set forth the limitations, we can still gain useful information about judicial voting and judicial interpretation with the information we have available to us.</w:t>
      </w:r>
    </w:p>
    <w:p w14:paraId="35C4D8BD" w14:textId="258258F2" w:rsidR="00B038B2" w:rsidRPr="00FC6F7D" w:rsidRDefault="00C1538D" w:rsidP="001D0E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set forth the limitations, </w:t>
      </w:r>
      <w:r w:rsidR="00B038B2" w:rsidRPr="00FC6F7D">
        <w:rPr>
          <w:rFonts w:ascii="Times New Roman" w:hAnsi="Times New Roman" w:cs="Times New Roman"/>
          <w:sz w:val="24"/>
          <w:szCs w:val="24"/>
        </w:rPr>
        <w:t xml:space="preserve">I </w:t>
      </w:r>
      <w:r w:rsidR="00A045E7" w:rsidRPr="00FC6F7D">
        <w:rPr>
          <w:rFonts w:ascii="Times New Roman" w:hAnsi="Times New Roman" w:cs="Times New Roman"/>
          <w:sz w:val="24"/>
          <w:szCs w:val="24"/>
        </w:rPr>
        <w:t xml:space="preserve">next </w:t>
      </w:r>
      <w:r w:rsidR="00B038B2" w:rsidRPr="00FC6F7D">
        <w:rPr>
          <w:rFonts w:ascii="Times New Roman" w:hAnsi="Times New Roman" w:cs="Times New Roman"/>
          <w:sz w:val="24"/>
          <w:szCs w:val="24"/>
        </w:rPr>
        <w:t>analyze the different interpretive method</w:t>
      </w:r>
      <w:r w:rsidR="0037119E">
        <w:rPr>
          <w:rFonts w:ascii="Times New Roman" w:hAnsi="Times New Roman" w:cs="Times New Roman"/>
          <w:sz w:val="24"/>
          <w:szCs w:val="24"/>
        </w:rPr>
        <w:t xml:space="preserve">ologies employed by the Board. </w:t>
      </w:r>
      <w:r w:rsidR="00B038B2" w:rsidRPr="00FC6F7D">
        <w:rPr>
          <w:rFonts w:ascii="Times New Roman" w:hAnsi="Times New Roman" w:cs="Times New Roman"/>
          <w:sz w:val="24"/>
          <w:szCs w:val="24"/>
        </w:rPr>
        <w:t xml:space="preserve">I first made a general finding of whether the decision </w:t>
      </w:r>
      <w:r w:rsidR="00F607FC">
        <w:rPr>
          <w:rFonts w:ascii="Times New Roman" w:hAnsi="Times New Roman" w:cs="Times New Roman"/>
          <w:sz w:val="24"/>
          <w:szCs w:val="24"/>
        </w:rPr>
        <w:t xml:space="preserve">was more textual or purposive. </w:t>
      </w:r>
      <w:r w:rsidR="00B038B2" w:rsidRPr="00FC6F7D">
        <w:rPr>
          <w:rFonts w:ascii="Times New Roman" w:hAnsi="Times New Roman" w:cs="Times New Roman"/>
          <w:sz w:val="24"/>
          <w:szCs w:val="24"/>
        </w:rPr>
        <w:t xml:space="preserve">Then I coded for specific types of statutory tools: plain meaning rule; </w:t>
      </w:r>
      <w:r>
        <w:rPr>
          <w:rFonts w:ascii="Times New Roman" w:hAnsi="Times New Roman" w:cs="Times New Roman"/>
          <w:sz w:val="24"/>
          <w:szCs w:val="24"/>
        </w:rPr>
        <w:t xml:space="preserve">the </w:t>
      </w:r>
      <w:r w:rsidR="009D010F">
        <w:rPr>
          <w:rFonts w:ascii="Times New Roman" w:hAnsi="Times New Roman" w:cs="Times New Roman"/>
          <w:sz w:val="24"/>
          <w:szCs w:val="24"/>
        </w:rPr>
        <w:t>Latin canons</w:t>
      </w:r>
      <w:r w:rsidR="00B038B2" w:rsidRPr="00FC6F7D">
        <w:rPr>
          <w:rFonts w:ascii="Times New Roman" w:hAnsi="Times New Roman" w:cs="Times New Roman"/>
          <w:sz w:val="24"/>
          <w:szCs w:val="24"/>
        </w:rPr>
        <w:t>; dictionary definition; legislative history</w:t>
      </w:r>
      <w:r>
        <w:rPr>
          <w:rFonts w:ascii="Times New Roman" w:hAnsi="Times New Roman" w:cs="Times New Roman"/>
          <w:sz w:val="24"/>
          <w:szCs w:val="24"/>
        </w:rPr>
        <w:t xml:space="preserve"> (as well as source of legislative history)</w:t>
      </w:r>
      <w:r w:rsidR="00B038B2" w:rsidRPr="00FC6F7D">
        <w:rPr>
          <w:rFonts w:ascii="Times New Roman" w:hAnsi="Times New Roman" w:cs="Times New Roman"/>
          <w:sz w:val="24"/>
          <w:szCs w:val="24"/>
        </w:rPr>
        <w:t>; substantive</w:t>
      </w:r>
      <w:r>
        <w:rPr>
          <w:rFonts w:ascii="Times New Roman" w:hAnsi="Times New Roman" w:cs="Times New Roman"/>
          <w:sz w:val="24"/>
          <w:szCs w:val="24"/>
        </w:rPr>
        <w:t>/textual canons, mentions of policy and references to practical implications</w:t>
      </w:r>
      <w:r w:rsidR="00F607FC">
        <w:rPr>
          <w:rFonts w:ascii="Times New Roman" w:hAnsi="Times New Roman" w:cs="Times New Roman"/>
          <w:sz w:val="24"/>
          <w:szCs w:val="24"/>
        </w:rPr>
        <w:t xml:space="preserve">. </w:t>
      </w:r>
      <w:r w:rsidR="00B038B2" w:rsidRPr="00FC6F7D">
        <w:rPr>
          <w:rFonts w:ascii="Times New Roman" w:hAnsi="Times New Roman" w:cs="Times New Roman"/>
          <w:sz w:val="24"/>
          <w:szCs w:val="24"/>
        </w:rPr>
        <w:t xml:space="preserve">These </w:t>
      </w:r>
      <w:r w:rsidR="00B038B2" w:rsidRPr="00FC6F7D">
        <w:rPr>
          <w:rFonts w:ascii="Times New Roman" w:hAnsi="Times New Roman" w:cs="Times New Roman"/>
          <w:sz w:val="24"/>
          <w:szCs w:val="24"/>
        </w:rPr>
        <w:lastRenderedPageBreak/>
        <w:t>interpretive rules are similar to those used in other empirical studies of statutory interpretation.</w:t>
      </w:r>
      <w:r w:rsidR="00B038B2" w:rsidRPr="00FC6F7D">
        <w:rPr>
          <w:rStyle w:val="FootnoteReference"/>
          <w:rFonts w:ascii="Times New Roman" w:hAnsi="Times New Roman" w:cs="Times New Roman"/>
          <w:sz w:val="24"/>
          <w:szCs w:val="24"/>
        </w:rPr>
        <w:footnoteReference w:id="150"/>
      </w:r>
      <w:r w:rsidR="00F607FC">
        <w:rPr>
          <w:rFonts w:ascii="Times New Roman" w:hAnsi="Times New Roman" w:cs="Times New Roman"/>
          <w:sz w:val="24"/>
          <w:szCs w:val="24"/>
        </w:rPr>
        <w:t xml:space="preserve"> </w:t>
      </w:r>
      <w:r w:rsidR="00B038B2" w:rsidRPr="00FC6F7D">
        <w:rPr>
          <w:rFonts w:ascii="Times New Roman" w:hAnsi="Times New Roman" w:cs="Times New Roman"/>
          <w:sz w:val="24"/>
          <w:szCs w:val="24"/>
        </w:rPr>
        <w:t xml:space="preserve">Practical consequences </w:t>
      </w:r>
      <w:r w:rsidR="009D010F">
        <w:rPr>
          <w:rFonts w:ascii="Times New Roman" w:hAnsi="Times New Roman" w:cs="Times New Roman"/>
          <w:sz w:val="24"/>
          <w:szCs w:val="24"/>
        </w:rPr>
        <w:t>concerned such</w:t>
      </w:r>
      <w:r w:rsidR="000A76EA" w:rsidRPr="00FC6F7D">
        <w:rPr>
          <w:rFonts w:ascii="Times New Roman" w:hAnsi="Times New Roman" w:cs="Times New Roman"/>
          <w:sz w:val="24"/>
          <w:szCs w:val="24"/>
        </w:rPr>
        <w:t xml:space="preserve"> things as the workability of the proposed ruling, the effect such a ruling would have on labor relations, the burdens imposed on </w:t>
      </w:r>
      <w:r w:rsidR="00BF0CF0">
        <w:rPr>
          <w:rFonts w:ascii="Times New Roman" w:hAnsi="Times New Roman" w:cs="Times New Roman"/>
          <w:sz w:val="24"/>
          <w:szCs w:val="24"/>
        </w:rPr>
        <w:t xml:space="preserve">the </w:t>
      </w:r>
      <w:r w:rsidR="000A76EA" w:rsidRPr="00FC6F7D">
        <w:rPr>
          <w:rFonts w:ascii="Times New Roman" w:hAnsi="Times New Roman" w:cs="Times New Roman"/>
          <w:sz w:val="24"/>
          <w:szCs w:val="24"/>
        </w:rPr>
        <w:t>worker or the employer under the proposed ruling or the overall effects that may occur</w:t>
      </w:r>
      <w:r w:rsidR="0037119E">
        <w:rPr>
          <w:rFonts w:ascii="Times New Roman" w:hAnsi="Times New Roman" w:cs="Times New Roman"/>
          <w:sz w:val="24"/>
          <w:szCs w:val="24"/>
        </w:rPr>
        <w:t xml:space="preserve"> in labor law generally should the Board’s rule stand</w:t>
      </w:r>
      <w:r w:rsidR="000A76EA" w:rsidRPr="00FC6F7D">
        <w:rPr>
          <w:rFonts w:ascii="Times New Roman" w:hAnsi="Times New Roman" w:cs="Times New Roman"/>
          <w:sz w:val="24"/>
          <w:szCs w:val="24"/>
        </w:rPr>
        <w:t xml:space="preserve">. </w:t>
      </w:r>
      <w:r w:rsidR="00A045E7" w:rsidRPr="00FC6F7D">
        <w:rPr>
          <w:rFonts w:ascii="Times New Roman" w:hAnsi="Times New Roman" w:cs="Times New Roman"/>
          <w:sz w:val="24"/>
          <w:szCs w:val="24"/>
        </w:rPr>
        <w:t xml:space="preserve">Like other scholars, I </w:t>
      </w:r>
      <w:r w:rsidR="00F324F4" w:rsidRPr="00FC6F7D">
        <w:rPr>
          <w:rFonts w:ascii="Times New Roman" w:hAnsi="Times New Roman" w:cs="Times New Roman"/>
          <w:sz w:val="24"/>
          <w:szCs w:val="24"/>
        </w:rPr>
        <w:t>included a</w:t>
      </w:r>
      <w:r w:rsidR="0037119E">
        <w:rPr>
          <w:rFonts w:ascii="Times New Roman" w:hAnsi="Times New Roman" w:cs="Times New Roman"/>
          <w:sz w:val="24"/>
          <w:szCs w:val="24"/>
        </w:rPr>
        <w:t>bsurdi</w:t>
      </w:r>
      <w:r w:rsidR="00A045E7" w:rsidRPr="00FC6F7D">
        <w:rPr>
          <w:rFonts w:ascii="Times New Roman" w:hAnsi="Times New Roman" w:cs="Times New Roman"/>
          <w:sz w:val="24"/>
          <w:szCs w:val="24"/>
        </w:rPr>
        <w:t>ty</w:t>
      </w:r>
      <w:r w:rsidR="00F324F4" w:rsidRPr="00FC6F7D">
        <w:rPr>
          <w:rFonts w:ascii="Times New Roman" w:hAnsi="Times New Roman" w:cs="Times New Roman"/>
          <w:sz w:val="24"/>
          <w:szCs w:val="24"/>
        </w:rPr>
        <w:t xml:space="preserve"> under policy or practical consequences.</w:t>
      </w:r>
      <w:r w:rsidR="00F324F4" w:rsidRPr="00FC6F7D">
        <w:rPr>
          <w:rStyle w:val="FootnoteReference"/>
          <w:rFonts w:ascii="Times New Roman" w:hAnsi="Times New Roman" w:cs="Times New Roman"/>
          <w:sz w:val="24"/>
          <w:szCs w:val="24"/>
        </w:rPr>
        <w:footnoteReference w:id="151"/>
      </w:r>
      <w:r w:rsidR="00F324F4" w:rsidRPr="00FC6F7D">
        <w:rPr>
          <w:rFonts w:ascii="Times New Roman" w:hAnsi="Times New Roman" w:cs="Times New Roman"/>
          <w:sz w:val="24"/>
          <w:szCs w:val="24"/>
        </w:rPr>
        <w:t xml:space="preserve"> I only coded an interpretive rule if it was relied on by the B</w:t>
      </w:r>
      <w:r w:rsidR="009D010F">
        <w:rPr>
          <w:rFonts w:ascii="Times New Roman" w:hAnsi="Times New Roman" w:cs="Times New Roman"/>
          <w:sz w:val="24"/>
          <w:szCs w:val="24"/>
        </w:rPr>
        <w:t>oard</w:t>
      </w:r>
      <w:r w:rsidR="00F324F4" w:rsidRPr="00FC6F7D">
        <w:rPr>
          <w:rFonts w:ascii="Times New Roman" w:hAnsi="Times New Roman" w:cs="Times New Roman"/>
          <w:sz w:val="24"/>
          <w:szCs w:val="24"/>
        </w:rPr>
        <w:t>; if the opinion only mentions a rule in passing or if it rejected a particular tool as being of probative</w:t>
      </w:r>
      <w:r w:rsidR="00F607FC">
        <w:rPr>
          <w:rFonts w:ascii="Times New Roman" w:hAnsi="Times New Roman" w:cs="Times New Roman"/>
          <w:sz w:val="24"/>
          <w:szCs w:val="24"/>
        </w:rPr>
        <w:t xml:space="preserve"> value, I did not code for it. </w:t>
      </w:r>
      <w:r w:rsidR="00F324F4" w:rsidRPr="00FC6F7D">
        <w:rPr>
          <w:rFonts w:ascii="Times New Roman" w:hAnsi="Times New Roman" w:cs="Times New Roman"/>
          <w:sz w:val="24"/>
          <w:szCs w:val="24"/>
        </w:rPr>
        <w:t xml:space="preserve">Likewise, if the decision ranked-ordered interpretive tools, I made note of it. </w:t>
      </w:r>
      <w:r w:rsidR="002A45D1" w:rsidRPr="00FC6F7D">
        <w:rPr>
          <w:rFonts w:ascii="Times New Roman" w:hAnsi="Times New Roman" w:cs="Times New Roman"/>
          <w:sz w:val="24"/>
          <w:szCs w:val="24"/>
        </w:rPr>
        <w:t>In my analysis, I also coded for the use of “dueling” canons by which the majority and dissent both employed the same interpretive canon to advance their viewpoint.</w:t>
      </w:r>
      <w:r w:rsidR="00F607FC">
        <w:rPr>
          <w:rFonts w:ascii="Times New Roman" w:hAnsi="Times New Roman" w:cs="Times New Roman"/>
          <w:sz w:val="24"/>
          <w:szCs w:val="24"/>
        </w:rPr>
        <w:t xml:space="preserve"> </w:t>
      </w:r>
      <w:r w:rsidR="00A045E7" w:rsidRPr="00FC6F7D">
        <w:rPr>
          <w:rFonts w:ascii="Times New Roman" w:hAnsi="Times New Roman" w:cs="Times New Roman"/>
          <w:sz w:val="24"/>
          <w:szCs w:val="24"/>
        </w:rPr>
        <w:t>Board members may “duel” with each other in a textual matter by 1) focusing on different words; 2) focusing on the text of differe</w:t>
      </w:r>
      <w:r w:rsidR="00BF0CF0">
        <w:rPr>
          <w:rFonts w:ascii="Times New Roman" w:hAnsi="Times New Roman" w:cs="Times New Roman"/>
          <w:sz w:val="24"/>
          <w:szCs w:val="24"/>
        </w:rPr>
        <w:t xml:space="preserve">nt statutes; or 3) focusing on </w:t>
      </w:r>
      <w:r w:rsidR="00A045E7" w:rsidRPr="00FC6F7D">
        <w:rPr>
          <w:rFonts w:ascii="Times New Roman" w:hAnsi="Times New Roman" w:cs="Times New Roman"/>
          <w:sz w:val="24"/>
          <w:szCs w:val="24"/>
        </w:rPr>
        <w:t>the same word but ascribe a different meaning to the text.</w:t>
      </w:r>
      <w:r w:rsidR="00A045E7" w:rsidRPr="00FC6F7D">
        <w:rPr>
          <w:rStyle w:val="FootnoteReference"/>
          <w:rFonts w:ascii="Times New Roman" w:hAnsi="Times New Roman" w:cs="Times New Roman"/>
          <w:sz w:val="24"/>
          <w:szCs w:val="24"/>
        </w:rPr>
        <w:footnoteReference w:id="152"/>
      </w:r>
      <w:r w:rsidR="00BF0CF0">
        <w:rPr>
          <w:rFonts w:ascii="Times New Roman" w:hAnsi="Times New Roman" w:cs="Times New Roman"/>
          <w:sz w:val="24"/>
          <w:szCs w:val="24"/>
        </w:rPr>
        <w:t xml:space="preserve"> Purposivists can also</w:t>
      </w:r>
      <w:r w:rsidR="00A045E7" w:rsidRPr="00FC6F7D">
        <w:rPr>
          <w:rFonts w:ascii="Times New Roman" w:hAnsi="Times New Roman" w:cs="Times New Roman"/>
          <w:sz w:val="24"/>
          <w:szCs w:val="24"/>
        </w:rPr>
        <w:t xml:space="preserve"> “duel” with each other </w:t>
      </w:r>
      <w:r w:rsidR="00BF0CF0">
        <w:rPr>
          <w:rFonts w:ascii="Times New Roman" w:hAnsi="Times New Roman" w:cs="Times New Roman"/>
          <w:sz w:val="24"/>
          <w:szCs w:val="24"/>
        </w:rPr>
        <w:t xml:space="preserve">by </w:t>
      </w:r>
      <w:r w:rsidR="00A045E7" w:rsidRPr="00FC6F7D">
        <w:rPr>
          <w:rFonts w:ascii="Times New Roman" w:hAnsi="Times New Roman" w:cs="Times New Roman"/>
          <w:sz w:val="24"/>
          <w:szCs w:val="24"/>
        </w:rPr>
        <w:t>1) focusing on different, competing purposes; 2) focus</w:t>
      </w:r>
      <w:r w:rsidR="00BF0CF0">
        <w:rPr>
          <w:rFonts w:ascii="Times New Roman" w:hAnsi="Times New Roman" w:cs="Times New Roman"/>
          <w:sz w:val="24"/>
          <w:szCs w:val="24"/>
        </w:rPr>
        <w:t>ing</w:t>
      </w:r>
      <w:r w:rsidR="00A045E7" w:rsidRPr="00FC6F7D">
        <w:rPr>
          <w:rFonts w:ascii="Times New Roman" w:hAnsi="Times New Roman" w:cs="Times New Roman"/>
          <w:sz w:val="24"/>
          <w:szCs w:val="24"/>
        </w:rPr>
        <w:t xml:space="preserve"> on </w:t>
      </w:r>
      <w:r w:rsidR="00BF0CF0">
        <w:rPr>
          <w:rFonts w:ascii="Times New Roman" w:hAnsi="Times New Roman" w:cs="Times New Roman"/>
          <w:sz w:val="24"/>
          <w:szCs w:val="24"/>
        </w:rPr>
        <w:t xml:space="preserve">the </w:t>
      </w:r>
      <w:r w:rsidR="00A045E7" w:rsidRPr="00FC6F7D">
        <w:rPr>
          <w:rFonts w:ascii="Times New Roman" w:hAnsi="Times New Roman" w:cs="Times New Roman"/>
          <w:sz w:val="24"/>
          <w:szCs w:val="24"/>
        </w:rPr>
        <w:t xml:space="preserve">same purpose but draw different conclusions about that purpose; or 3) </w:t>
      </w:r>
      <w:r w:rsidR="00BF0CF0">
        <w:rPr>
          <w:rFonts w:ascii="Times New Roman" w:hAnsi="Times New Roman" w:cs="Times New Roman"/>
          <w:sz w:val="24"/>
          <w:szCs w:val="24"/>
        </w:rPr>
        <w:t>focusing</w:t>
      </w:r>
      <w:r w:rsidR="00A045E7" w:rsidRPr="00FC6F7D">
        <w:rPr>
          <w:rFonts w:ascii="Times New Roman" w:hAnsi="Times New Roman" w:cs="Times New Roman"/>
          <w:sz w:val="24"/>
          <w:szCs w:val="24"/>
        </w:rPr>
        <w:t xml:space="preserve"> on a broad, general statutory purpose while another one focuses on narrowly drawn specific purpose</w:t>
      </w:r>
      <w:r w:rsidR="00BF0CF0">
        <w:rPr>
          <w:rFonts w:ascii="Times New Roman" w:hAnsi="Times New Roman" w:cs="Times New Roman"/>
          <w:sz w:val="24"/>
          <w:szCs w:val="24"/>
        </w:rPr>
        <w:t>s</w:t>
      </w:r>
      <w:r w:rsidR="00A045E7" w:rsidRPr="00FC6F7D">
        <w:rPr>
          <w:rFonts w:ascii="Times New Roman" w:hAnsi="Times New Roman" w:cs="Times New Roman"/>
          <w:sz w:val="24"/>
          <w:szCs w:val="24"/>
        </w:rPr>
        <w:t>.</w:t>
      </w:r>
      <w:r w:rsidR="00A045E7" w:rsidRPr="00FC6F7D">
        <w:rPr>
          <w:rStyle w:val="FootnoteReference"/>
          <w:rFonts w:ascii="Times New Roman" w:hAnsi="Times New Roman" w:cs="Times New Roman"/>
          <w:sz w:val="24"/>
          <w:szCs w:val="24"/>
        </w:rPr>
        <w:footnoteReference w:id="153"/>
      </w:r>
      <w:r w:rsidR="00F607FC">
        <w:rPr>
          <w:rFonts w:ascii="Times New Roman" w:hAnsi="Times New Roman" w:cs="Times New Roman"/>
          <w:sz w:val="24"/>
          <w:szCs w:val="24"/>
        </w:rPr>
        <w:t xml:space="preserve"> </w:t>
      </w:r>
      <w:r w:rsidR="00BA7EAA">
        <w:rPr>
          <w:rFonts w:ascii="Times New Roman" w:hAnsi="Times New Roman" w:cs="Times New Roman"/>
          <w:sz w:val="24"/>
          <w:szCs w:val="24"/>
        </w:rPr>
        <w:t>If a case had multiple dissents, I combined the dissents into one for purposes of this analysis</w:t>
      </w:r>
      <w:r>
        <w:rPr>
          <w:rFonts w:ascii="Times New Roman" w:hAnsi="Times New Roman" w:cs="Times New Roman"/>
          <w:sz w:val="24"/>
          <w:szCs w:val="24"/>
        </w:rPr>
        <w:t xml:space="preserve"> as there were no mixed partisan dissents, that is, there were no cases in which both a Democrat and Republican Board member both dissented</w:t>
      </w:r>
      <w:r w:rsidR="00884C0C">
        <w:rPr>
          <w:rFonts w:ascii="Times New Roman" w:hAnsi="Times New Roman" w:cs="Times New Roman"/>
          <w:sz w:val="24"/>
          <w:szCs w:val="24"/>
        </w:rPr>
        <w:t xml:space="preserve"> on a statutory interpretation issue</w:t>
      </w:r>
      <w:r w:rsidR="00BA7EAA">
        <w:rPr>
          <w:rFonts w:ascii="Times New Roman" w:hAnsi="Times New Roman" w:cs="Times New Roman"/>
          <w:sz w:val="24"/>
          <w:szCs w:val="24"/>
        </w:rPr>
        <w:t>.</w:t>
      </w:r>
      <w:r w:rsidR="00BA7EAA">
        <w:rPr>
          <w:rStyle w:val="FootnoteReference"/>
          <w:rFonts w:ascii="Times New Roman" w:hAnsi="Times New Roman" w:cs="Times New Roman"/>
          <w:sz w:val="24"/>
          <w:szCs w:val="24"/>
        </w:rPr>
        <w:footnoteReference w:id="154"/>
      </w:r>
      <w:r w:rsidR="00F607FC">
        <w:rPr>
          <w:rFonts w:ascii="Times New Roman" w:hAnsi="Times New Roman" w:cs="Times New Roman"/>
          <w:sz w:val="24"/>
          <w:szCs w:val="24"/>
        </w:rPr>
        <w:t xml:space="preserve"> </w:t>
      </w:r>
      <w:r>
        <w:rPr>
          <w:rFonts w:ascii="Times New Roman" w:hAnsi="Times New Roman" w:cs="Times New Roman"/>
          <w:sz w:val="24"/>
          <w:szCs w:val="24"/>
        </w:rPr>
        <w:t>Any dissents came from members of the same political party.</w:t>
      </w:r>
    </w:p>
    <w:p w14:paraId="4E4128D4" w14:textId="1A96012B" w:rsidR="00196292" w:rsidRPr="006031C9" w:rsidRDefault="00E07E14" w:rsidP="006031C9">
      <w:pPr>
        <w:pStyle w:val="ListParagraph"/>
        <w:numPr>
          <w:ilvl w:val="0"/>
          <w:numId w:val="6"/>
        </w:numPr>
        <w:spacing w:after="0" w:line="480" w:lineRule="auto"/>
        <w:rPr>
          <w:rFonts w:ascii="Times New Roman" w:hAnsi="Times New Roman" w:cs="Times New Roman"/>
          <w:b/>
          <w:sz w:val="24"/>
          <w:szCs w:val="24"/>
        </w:rPr>
      </w:pPr>
      <w:r w:rsidRPr="006031C9">
        <w:rPr>
          <w:rFonts w:ascii="Times New Roman" w:hAnsi="Times New Roman" w:cs="Times New Roman"/>
          <w:b/>
          <w:sz w:val="24"/>
          <w:szCs w:val="24"/>
        </w:rPr>
        <w:lastRenderedPageBreak/>
        <w:t>Overview</w:t>
      </w:r>
      <w:r w:rsidR="006031C9">
        <w:rPr>
          <w:rFonts w:ascii="Times New Roman" w:hAnsi="Times New Roman" w:cs="Times New Roman"/>
          <w:b/>
          <w:sz w:val="24"/>
          <w:szCs w:val="24"/>
        </w:rPr>
        <w:t xml:space="preserve"> of</w:t>
      </w:r>
      <w:r w:rsidRPr="006031C9">
        <w:rPr>
          <w:rFonts w:ascii="Times New Roman" w:hAnsi="Times New Roman" w:cs="Times New Roman"/>
          <w:b/>
          <w:sz w:val="24"/>
          <w:szCs w:val="24"/>
        </w:rPr>
        <w:t xml:space="preserve"> Results of Statutory Interpretation at the NLRB</w:t>
      </w:r>
    </w:p>
    <w:p w14:paraId="1103A305" w14:textId="2B93087C" w:rsidR="00884C0C" w:rsidRDefault="00F508F4" w:rsidP="005C4C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engaged in a mix of interpretative techniques in its decisions in the near 25-year period under study. </w:t>
      </w:r>
      <w:r w:rsidR="005C4C03">
        <w:rPr>
          <w:rFonts w:ascii="Times New Roman" w:hAnsi="Times New Roman" w:cs="Times New Roman"/>
          <w:sz w:val="24"/>
          <w:szCs w:val="24"/>
        </w:rPr>
        <w:t>In Part I</w:t>
      </w:r>
      <w:r w:rsidR="006031C9">
        <w:rPr>
          <w:rFonts w:ascii="Times New Roman" w:hAnsi="Times New Roman" w:cs="Times New Roman"/>
          <w:sz w:val="24"/>
          <w:szCs w:val="24"/>
        </w:rPr>
        <w:t>I.C</w:t>
      </w:r>
      <w:r w:rsidR="005C4C03">
        <w:rPr>
          <w:rFonts w:ascii="Times New Roman" w:hAnsi="Times New Roman" w:cs="Times New Roman"/>
          <w:sz w:val="24"/>
          <w:szCs w:val="24"/>
        </w:rPr>
        <w:t>.i,</w:t>
      </w:r>
      <w:r w:rsidR="00913716">
        <w:rPr>
          <w:rFonts w:ascii="Times New Roman" w:hAnsi="Times New Roman" w:cs="Times New Roman"/>
          <w:sz w:val="24"/>
          <w:szCs w:val="24"/>
        </w:rPr>
        <w:t xml:space="preserve"> I detail the general trends, pointing out differences in interpretive methodology based on partisan composition of the panel, presidential administration, case type and whether the Board found a violation of law.</w:t>
      </w:r>
      <w:r w:rsidR="005C4C03">
        <w:rPr>
          <w:rFonts w:ascii="Times New Roman" w:hAnsi="Times New Roman" w:cs="Times New Roman"/>
          <w:sz w:val="24"/>
          <w:szCs w:val="24"/>
        </w:rPr>
        <w:t xml:space="preserve"> I </w:t>
      </w:r>
      <w:r w:rsidR="00913716">
        <w:rPr>
          <w:rFonts w:ascii="Times New Roman" w:hAnsi="Times New Roman" w:cs="Times New Roman"/>
          <w:sz w:val="24"/>
          <w:szCs w:val="24"/>
        </w:rPr>
        <w:t xml:space="preserve">then turn to a detailed </w:t>
      </w:r>
      <w:r w:rsidR="006D0801">
        <w:rPr>
          <w:rFonts w:ascii="Times New Roman" w:hAnsi="Times New Roman" w:cs="Times New Roman"/>
          <w:sz w:val="24"/>
          <w:szCs w:val="24"/>
        </w:rPr>
        <w:t xml:space="preserve">empirical and doctrinal </w:t>
      </w:r>
      <w:r w:rsidR="00913716">
        <w:rPr>
          <w:rFonts w:ascii="Times New Roman" w:hAnsi="Times New Roman" w:cs="Times New Roman"/>
          <w:sz w:val="24"/>
          <w:szCs w:val="24"/>
        </w:rPr>
        <w:t>discussion of the Board’s use of each int</w:t>
      </w:r>
      <w:r w:rsidR="006031C9">
        <w:rPr>
          <w:rFonts w:ascii="Times New Roman" w:hAnsi="Times New Roman" w:cs="Times New Roman"/>
          <w:sz w:val="24"/>
          <w:szCs w:val="24"/>
        </w:rPr>
        <w:t>erpretive method. In Part II.C</w:t>
      </w:r>
      <w:r w:rsidR="005B5B1A">
        <w:rPr>
          <w:rFonts w:ascii="Times New Roman" w:hAnsi="Times New Roman" w:cs="Times New Roman"/>
          <w:sz w:val="24"/>
          <w:szCs w:val="24"/>
        </w:rPr>
        <w:t>.ii</w:t>
      </w:r>
      <w:r w:rsidR="00913716">
        <w:rPr>
          <w:rFonts w:ascii="Times New Roman" w:hAnsi="Times New Roman" w:cs="Times New Roman"/>
          <w:sz w:val="24"/>
          <w:szCs w:val="24"/>
        </w:rPr>
        <w:t xml:space="preserve">, I </w:t>
      </w:r>
      <w:r w:rsidR="005C4C03">
        <w:rPr>
          <w:rFonts w:ascii="Times New Roman" w:hAnsi="Times New Roman" w:cs="Times New Roman"/>
          <w:sz w:val="24"/>
          <w:szCs w:val="24"/>
        </w:rPr>
        <w:t>discuss the use of textualism by the Board</w:t>
      </w:r>
      <w:r w:rsidR="00913716">
        <w:rPr>
          <w:rFonts w:ascii="Times New Roman" w:hAnsi="Times New Roman" w:cs="Times New Roman"/>
          <w:sz w:val="24"/>
          <w:szCs w:val="24"/>
        </w:rPr>
        <w:t xml:space="preserve">, detailing in particular how the Board </w:t>
      </w:r>
      <w:r w:rsidR="005C4C03">
        <w:rPr>
          <w:rFonts w:ascii="Times New Roman" w:hAnsi="Times New Roman" w:cs="Times New Roman"/>
          <w:sz w:val="24"/>
          <w:szCs w:val="24"/>
        </w:rPr>
        <w:t>uses textual, language and substantive canons of interpretatio</w:t>
      </w:r>
      <w:r w:rsidR="003D187A">
        <w:rPr>
          <w:rFonts w:ascii="Times New Roman" w:hAnsi="Times New Roman" w:cs="Times New Roman"/>
          <w:sz w:val="24"/>
          <w:szCs w:val="24"/>
        </w:rPr>
        <w:t>n before reviewing</w:t>
      </w:r>
      <w:r w:rsidR="006031C9">
        <w:rPr>
          <w:rFonts w:ascii="Times New Roman" w:hAnsi="Times New Roman" w:cs="Times New Roman"/>
          <w:sz w:val="24"/>
          <w:szCs w:val="24"/>
        </w:rPr>
        <w:t xml:space="preserve"> in Part II.C</w:t>
      </w:r>
      <w:r w:rsidR="00913716">
        <w:rPr>
          <w:rFonts w:ascii="Times New Roman" w:hAnsi="Times New Roman" w:cs="Times New Roman"/>
          <w:sz w:val="24"/>
          <w:szCs w:val="24"/>
        </w:rPr>
        <w:t>.ii</w:t>
      </w:r>
      <w:r w:rsidR="009D010F">
        <w:rPr>
          <w:rFonts w:ascii="Times New Roman" w:hAnsi="Times New Roman" w:cs="Times New Roman"/>
          <w:sz w:val="24"/>
          <w:szCs w:val="24"/>
        </w:rPr>
        <w:t>i</w:t>
      </w:r>
      <w:r w:rsidR="005C4C03">
        <w:rPr>
          <w:rFonts w:ascii="Times New Roman" w:hAnsi="Times New Roman" w:cs="Times New Roman"/>
          <w:sz w:val="24"/>
          <w:szCs w:val="24"/>
        </w:rPr>
        <w:t>, the Board’s use of legislative history.</w:t>
      </w:r>
      <w:r w:rsidR="00913716">
        <w:rPr>
          <w:rFonts w:ascii="Times New Roman" w:hAnsi="Times New Roman" w:cs="Times New Roman"/>
          <w:sz w:val="24"/>
          <w:szCs w:val="24"/>
        </w:rPr>
        <w:t xml:space="preserve"> P</w:t>
      </w:r>
      <w:r w:rsidR="006031C9">
        <w:rPr>
          <w:rFonts w:ascii="Times New Roman" w:hAnsi="Times New Roman" w:cs="Times New Roman"/>
          <w:sz w:val="24"/>
          <w:szCs w:val="24"/>
        </w:rPr>
        <w:t>art II.C</w:t>
      </w:r>
      <w:r w:rsidR="009D010F">
        <w:rPr>
          <w:rFonts w:ascii="Times New Roman" w:hAnsi="Times New Roman" w:cs="Times New Roman"/>
          <w:sz w:val="24"/>
          <w:szCs w:val="24"/>
        </w:rPr>
        <w:t>.iv</w:t>
      </w:r>
      <w:r w:rsidR="00913716">
        <w:rPr>
          <w:rFonts w:ascii="Times New Roman" w:hAnsi="Times New Roman" w:cs="Times New Roman"/>
          <w:sz w:val="24"/>
          <w:szCs w:val="24"/>
        </w:rPr>
        <w:t xml:space="preserve"> discusses the Board’s use of policy and practical considerations in its decision</w:t>
      </w:r>
      <w:r w:rsidR="003D187A">
        <w:rPr>
          <w:rFonts w:ascii="Times New Roman" w:hAnsi="Times New Roman" w:cs="Times New Roman"/>
          <w:sz w:val="24"/>
          <w:szCs w:val="24"/>
        </w:rPr>
        <w:t>-</w:t>
      </w:r>
      <w:r w:rsidR="00913716">
        <w:rPr>
          <w:rFonts w:ascii="Times New Roman" w:hAnsi="Times New Roman" w:cs="Times New Roman"/>
          <w:sz w:val="24"/>
          <w:szCs w:val="24"/>
        </w:rPr>
        <w:t>making.</w:t>
      </w:r>
      <w:r w:rsidR="005C4C03">
        <w:rPr>
          <w:rFonts w:ascii="Times New Roman" w:hAnsi="Times New Roman" w:cs="Times New Roman"/>
          <w:sz w:val="24"/>
          <w:szCs w:val="24"/>
        </w:rPr>
        <w:t xml:space="preserve"> </w:t>
      </w:r>
      <w:r w:rsidR="00F05681">
        <w:rPr>
          <w:rFonts w:ascii="Times New Roman" w:hAnsi="Times New Roman" w:cs="Times New Roman"/>
          <w:sz w:val="24"/>
          <w:szCs w:val="24"/>
        </w:rPr>
        <w:t>Finally, in Part II.C.v, I summarize my findings.</w:t>
      </w:r>
    </w:p>
    <w:p w14:paraId="26F969DA" w14:textId="2136BEE8" w:rsidR="006031C9" w:rsidRPr="006031C9" w:rsidRDefault="006031C9" w:rsidP="006031C9">
      <w:pPr>
        <w:pStyle w:val="ListParagraph"/>
        <w:numPr>
          <w:ilvl w:val="0"/>
          <w:numId w:val="9"/>
        </w:numPr>
        <w:spacing w:after="0" w:line="480" w:lineRule="auto"/>
        <w:rPr>
          <w:rFonts w:ascii="Times New Roman" w:hAnsi="Times New Roman" w:cs="Times New Roman"/>
          <w:b/>
          <w:sz w:val="24"/>
          <w:szCs w:val="24"/>
        </w:rPr>
      </w:pPr>
      <w:r>
        <w:rPr>
          <w:rFonts w:ascii="Times New Roman" w:hAnsi="Times New Roman" w:cs="Times New Roman"/>
          <w:b/>
          <w:sz w:val="24"/>
          <w:szCs w:val="24"/>
        </w:rPr>
        <w:t>General Trends in Statutory Interpretation of Majority Opinions</w:t>
      </w:r>
    </w:p>
    <w:p w14:paraId="1E3B0AEA" w14:textId="789DE253" w:rsidR="005C4C03" w:rsidRDefault="00DC560C" w:rsidP="005C4C03">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 xml:space="preserve">Table 1 lists descriptive statistics </w:t>
      </w:r>
      <w:r w:rsidR="00C303AF">
        <w:rPr>
          <w:rFonts w:ascii="Times New Roman" w:hAnsi="Times New Roman" w:cs="Times New Roman"/>
          <w:sz w:val="24"/>
          <w:szCs w:val="24"/>
        </w:rPr>
        <w:t>of the</w:t>
      </w:r>
      <w:r w:rsidR="00873819">
        <w:rPr>
          <w:rFonts w:ascii="Times New Roman" w:hAnsi="Times New Roman" w:cs="Times New Roman"/>
          <w:sz w:val="24"/>
          <w:szCs w:val="24"/>
        </w:rPr>
        <w:t xml:space="preserve"> 137</w:t>
      </w:r>
      <w:r w:rsidR="00C303AF">
        <w:rPr>
          <w:rFonts w:ascii="Times New Roman" w:hAnsi="Times New Roman" w:cs="Times New Roman"/>
          <w:sz w:val="24"/>
          <w:szCs w:val="24"/>
        </w:rPr>
        <w:t xml:space="preserve"> </w:t>
      </w:r>
      <w:r w:rsidR="00CF2C74">
        <w:rPr>
          <w:rFonts w:ascii="Times New Roman" w:hAnsi="Times New Roman" w:cs="Times New Roman"/>
          <w:sz w:val="24"/>
          <w:szCs w:val="24"/>
        </w:rPr>
        <w:t>cases that interpreted statutes</w:t>
      </w:r>
      <w:r w:rsidR="00190CC9">
        <w:rPr>
          <w:rFonts w:ascii="Times New Roman" w:hAnsi="Times New Roman" w:cs="Times New Roman"/>
          <w:sz w:val="24"/>
          <w:szCs w:val="24"/>
        </w:rPr>
        <w:t xml:space="preserve"> in majority opinion</w:t>
      </w:r>
      <w:r w:rsidR="00F508F4">
        <w:rPr>
          <w:rFonts w:ascii="Times New Roman" w:hAnsi="Times New Roman" w:cs="Times New Roman"/>
          <w:sz w:val="24"/>
          <w:szCs w:val="24"/>
        </w:rPr>
        <w:t>s</w:t>
      </w:r>
      <w:r w:rsidR="00884C0C">
        <w:rPr>
          <w:rFonts w:ascii="Times New Roman" w:hAnsi="Times New Roman" w:cs="Times New Roman"/>
          <w:sz w:val="24"/>
          <w:szCs w:val="24"/>
        </w:rPr>
        <w:t xml:space="preserve">. </w:t>
      </w:r>
      <w:r w:rsidR="005A6C4B">
        <w:rPr>
          <w:rFonts w:ascii="Times New Roman" w:hAnsi="Times New Roman" w:cs="Times New Roman"/>
          <w:sz w:val="24"/>
          <w:szCs w:val="24"/>
        </w:rPr>
        <w:t>Each case often employed</w:t>
      </w:r>
      <w:r w:rsidR="00196292">
        <w:rPr>
          <w:rFonts w:ascii="Times New Roman" w:hAnsi="Times New Roman" w:cs="Times New Roman"/>
          <w:sz w:val="24"/>
          <w:szCs w:val="24"/>
        </w:rPr>
        <w:t xml:space="preserve"> m</w:t>
      </w:r>
      <w:r w:rsidR="00884C0C">
        <w:rPr>
          <w:rFonts w:ascii="Times New Roman" w:hAnsi="Times New Roman" w:cs="Times New Roman"/>
          <w:sz w:val="24"/>
          <w:szCs w:val="24"/>
        </w:rPr>
        <w:t>ultiple types of methods</w:t>
      </w:r>
      <w:r w:rsidR="00196292">
        <w:rPr>
          <w:rFonts w:ascii="Times New Roman" w:hAnsi="Times New Roman" w:cs="Times New Roman"/>
          <w:sz w:val="24"/>
          <w:szCs w:val="24"/>
        </w:rPr>
        <w:t>, as, for instance, a Board decision could employ text, legislative history, policy and practical</w:t>
      </w:r>
      <w:r w:rsidR="00A709B4">
        <w:rPr>
          <w:rFonts w:ascii="Times New Roman" w:hAnsi="Times New Roman" w:cs="Times New Roman"/>
          <w:sz w:val="24"/>
          <w:szCs w:val="24"/>
        </w:rPr>
        <w:t xml:space="preserve"> all in one decision</w:t>
      </w:r>
      <w:r w:rsidR="00196292">
        <w:rPr>
          <w:rFonts w:ascii="Times New Roman" w:hAnsi="Times New Roman" w:cs="Times New Roman"/>
          <w:sz w:val="24"/>
          <w:szCs w:val="24"/>
        </w:rPr>
        <w:t xml:space="preserve">. </w:t>
      </w:r>
      <w:r w:rsidR="00267E81">
        <w:rPr>
          <w:rFonts w:ascii="Times New Roman" w:hAnsi="Times New Roman" w:cs="Times New Roman"/>
          <w:sz w:val="24"/>
          <w:szCs w:val="24"/>
        </w:rPr>
        <w:t>Figure 1 details the mean value for each methodology, by case type.</w:t>
      </w:r>
      <w:r w:rsidR="009028C7">
        <w:rPr>
          <w:rFonts w:ascii="Times New Roman" w:hAnsi="Times New Roman" w:cs="Times New Roman"/>
          <w:sz w:val="24"/>
          <w:szCs w:val="24"/>
        </w:rPr>
        <w:t xml:space="preserve"> </w:t>
      </w:r>
      <w:r w:rsidR="00196292">
        <w:rPr>
          <w:rFonts w:ascii="Times New Roman" w:hAnsi="Times New Roman" w:cs="Times New Roman"/>
          <w:sz w:val="24"/>
          <w:szCs w:val="24"/>
        </w:rPr>
        <w:t>“General Text” refers to cases in which the Board analyzes the text in part</w:t>
      </w:r>
      <w:r w:rsidR="002F1C34">
        <w:rPr>
          <w:rFonts w:ascii="Times New Roman" w:hAnsi="Times New Roman" w:cs="Times New Roman"/>
          <w:sz w:val="24"/>
          <w:szCs w:val="24"/>
        </w:rPr>
        <w:t xml:space="preserve"> but the use of text is equal to or secondary to other interpretive methods. “</w:t>
      </w:r>
      <w:r w:rsidR="00196292">
        <w:rPr>
          <w:rFonts w:ascii="Times New Roman" w:hAnsi="Times New Roman" w:cs="Times New Roman"/>
          <w:sz w:val="24"/>
          <w:szCs w:val="24"/>
        </w:rPr>
        <w:t>Primary Text</w:t>
      </w:r>
      <w:r w:rsidR="002F1C34">
        <w:rPr>
          <w:rFonts w:ascii="Times New Roman" w:hAnsi="Times New Roman" w:cs="Times New Roman"/>
          <w:sz w:val="24"/>
          <w:szCs w:val="24"/>
        </w:rPr>
        <w:t>” in turn</w:t>
      </w:r>
      <w:r w:rsidR="00196292">
        <w:rPr>
          <w:rFonts w:ascii="Times New Roman" w:hAnsi="Times New Roman" w:cs="Times New Roman"/>
          <w:sz w:val="24"/>
          <w:szCs w:val="24"/>
        </w:rPr>
        <w:t xml:space="preserve"> references cases in which the Board either primarily rests its conclusions on the text, </w:t>
      </w:r>
      <w:r w:rsidR="00E343CC">
        <w:rPr>
          <w:rFonts w:ascii="Times New Roman" w:hAnsi="Times New Roman" w:cs="Times New Roman"/>
          <w:sz w:val="24"/>
          <w:szCs w:val="24"/>
        </w:rPr>
        <w:t xml:space="preserve">using, by for instance, one of the textual canons, </w:t>
      </w:r>
      <w:r w:rsidR="00196292">
        <w:rPr>
          <w:rFonts w:ascii="Times New Roman" w:hAnsi="Times New Roman" w:cs="Times New Roman"/>
          <w:sz w:val="24"/>
          <w:szCs w:val="24"/>
        </w:rPr>
        <w:t>or if the Board argues that the text has a plain meaning that controls the outcome of the case.</w:t>
      </w:r>
    </w:p>
    <w:p w14:paraId="7667BD95" w14:textId="77777777" w:rsidR="00F45650" w:rsidRDefault="00F45650" w:rsidP="00510E3A">
      <w:pPr>
        <w:spacing w:after="0" w:line="480" w:lineRule="auto"/>
        <w:rPr>
          <w:rFonts w:ascii="Times New Roman" w:hAnsi="Times New Roman" w:cs="Times New Roman"/>
          <w:b/>
          <w:sz w:val="20"/>
          <w:szCs w:val="24"/>
        </w:rPr>
      </w:pPr>
    </w:p>
    <w:p w14:paraId="04E101E8" w14:textId="77777777" w:rsidR="00F45650" w:rsidRDefault="00F45650" w:rsidP="00510E3A">
      <w:pPr>
        <w:spacing w:after="0" w:line="480" w:lineRule="auto"/>
        <w:rPr>
          <w:rFonts w:ascii="Times New Roman" w:hAnsi="Times New Roman" w:cs="Times New Roman"/>
          <w:b/>
          <w:sz w:val="20"/>
          <w:szCs w:val="24"/>
        </w:rPr>
      </w:pPr>
    </w:p>
    <w:p w14:paraId="1C1A30A8" w14:textId="57C883B4" w:rsidR="00510E3A" w:rsidRPr="00C10D9B" w:rsidRDefault="00510E3A" w:rsidP="00510E3A">
      <w:pPr>
        <w:spacing w:after="0" w:line="480" w:lineRule="auto"/>
        <w:rPr>
          <w:rFonts w:ascii="Times New Roman" w:hAnsi="Times New Roman" w:cs="Times New Roman"/>
          <w:b/>
          <w:sz w:val="20"/>
          <w:szCs w:val="24"/>
        </w:rPr>
      </w:pPr>
      <w:r w:rsidRPr="00C10D9B">
        <w:rPr>
          <w:rFonts w:ascii="Times New Roman" w:hAnsi="Times New Roman" w:cs="Times New Roman"/>
          <w:b/>
          <w:sz w:val="20"/>
          <w:szCs w:val="24"/>
        </w:rPr>
        <w:lastRenderedPageBreak/>
        <w:t>Table 1: Methods of Statutory Interpretation, by Case Type (Percent)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267E81" w:rsidRPr="00C10D9B" w14:paraId="18F8FFF2" w14:textId="77777777" w:rsidTr="0037119E">
        <w:trPr>
          <w:trHeight w:val="1133"/>
        </w:trPr>
        <w:tc>
          <w:tcPr>
            <w:tcW w:w="1335" w:type="dxa"/>
          </w:tcPr>
          <w:p w14:paraId="46FC941B" w14:textId="77777777" w:rsidR="00510E3A" w:rsidRPr="00C10D9B" w:rsidRDefault="00510E3A" w:rsidP="00F508F4">
            <w:pPr>
              <w:spacing w:after="0" w:line="480" w:lineRule="auto"/>
              <w:rPr>
                <w:rFonts w:ascii="Times New Roman" w:hAnsi="Times New Roman" w:cs="Times New Roman"/>
                <w:sz w:val="20"/>
                <w:szCs w:val="24"/>
              </w:rPr>
            </w:pPr>
          </w:p>
        </w:tc>
        <w:tc>
          <w:tcPr>
            <w:tcW w:w="1335" w:type="dxa"/>
          </w:tcPr>
          <w:p w14:paraId="62CABC61" w14:textId="4B49B798" w:rsidR="00510E3A" w:rsidRPr="00C10D9B" w:rsidRDefault="00501300"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General Text</w:t>
            </w:r>
          </w:p>
        </w:tc>
        <w:tc>
          <w:tcPr>
            <w:tcW w:w="1336" w:type="dxa"/>
          </w:tcPr>
          <w:p w14:paraId="5EDACBDA" w14:textId="77777777" w:rsidR="00510E3A" w:rsidRPr="00C10D9B" w:rsidRDefault="00510E3A"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Primary</w:t>
            </w:r>
          </w:p>
          <w:p w14:paraId="16A9B6A6" w14:textId="0ACB45B0" w:rsidR="005C4C03" w:rsidRPr="00C10D9B" w:rsidRDefault="005C4C03"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Text</w:t>
            </w:r>
          </w:p>
        </w:tc>
        <w:tc>
          <w:tcPr>
            <w:tcW w:w="1336" w:type="dxa"/>
          </w:tcPr>
          <w:p w14:paraId="532F6205" w14:textId="77777777" w:rsidR="002F1C34" w:rsidRPr="00C10D9B" w:rsidRDefault="002F1C34"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Latin</w:t>
            </w:r>
          </w:p>
          <w:p w14:paraId="05634859" w14:textId="7EB47DAF" w:rsidR="002F1C34" w:rsidRPr="00C10D9B" w:rsidRDefault="002F1C34"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And</w:t>
            </w:r>
          </w:p>
          <w:p w14:paraId="07D0B6E1" w14:textId="0DE42B71" w:rsidR="00510E3A" w:rsidRPr="00C10D9B" w:rsidRDefault="00510E3A"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Language Canons</w:t>
            </w:r>
          </w:p>
        </w:tc>
        <w:tc>
          <w:tcPr>
            <w:tcW w:w="1336" w:type="dxa"/>
          </w:tcPr>
          <w:p w14:paraId="6D048E88" w14:textId="0D23FC94" w:rsidR="00510E3A" w:rsidRPr="00C10D9B" w:rsidRDefault="00510E3A"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L</w:t>
            </w:r>
            <w:r w:rsidR="00501300" w:rsidRPr="00C10D9B">
              <w:rPr>
                <w:rFonts w:ascii="Times New Roman" w:hAnsi="Times New Roman" w:cs="Times New Roman"/>
                <w:b/>
                <w:sz w:val="20"/>
                <w:szCs w:val="24"/>
              </w:rPr>
              <w:t>egislative History</w:t>
            </w:r>
          </w:p>
        </w:tc>
        <w:tc>
          <w:tcPr>
            <w:tcW w:w="1336" w:type="dxa"/>
          </w:tcPr>
          <w:p w14:paraId="62DCEB78" w14:textId="5D850184" w:rsidR="00510E3A" w:rsidRPr="00C10D9B" w:rsidRDefault="00510E3A"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Policy</w:t>
            </w:r>
          </w:p>
        </w:tc>
        <w:tc>
          <w:tcPr>
            <w:tcW w:w="1336" w:type="dxa"/>
          </w:tcPr>
          <w:p w14:paraId="5042425E" w14:textId="52980097" w:rsidR="00510E3A" w:rsidRPr="001F2511" w:rsidRDefault="00510E3A" w:rsidP="00F508F4">
            <w:pPr>
              <w:spacing w:after="0" w:line="480" w:lineRule="auto"/>
              <w:rPr>
                <w:rFonts w:ascii="Times New Roman" w:hAnsi="Times New Roman" w:cs="Times New Roman"/>
                <w:b/>
                <w:sz w:val="20"/>
                <w:szCs w:val="24"/>
              </w:rPr>
            </w:pPr>
            <w:r w:rsidRPr="001F2511">
              <w:rPr>
                <w:rFonts w:ascii="Times New Roman" w:hAnsi="Times New Roman" w:cs="Times New Roman"/>
                <w:b/>
                <w:sz w:val="20"/>
                <w:szCs w:val="24"/>
              </w:rPr>
              <w:t>Practical</w:t>
            </w:r>
          </w:p>
        </w:tc>
      </w:tr>
      <w:tr w:rsidR="00267E81" w:rsidRPr="00C10D9B" w14:paraId="0CEF1E8B" w14:textId="77777777" w:rsidTr="00510E3A">
        <w:tc>
          <w:tcPr>
            <w:tcW w:w="1335" w:type="dxa"/>
          </w:tcPr>
          <w:p w14:paraId="237F9AB1" w14:textId="4CDB3DF2" w:rsidR="00510E3A" w:rsidRPr="00C10D9B" w:rsidRDefault="00510E3A"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All Cases</w:t>
            </w:r>
          </w:p>
        </w:tc>
        <w:tc>
          <w:tcPr>
            <w:tcW w:w="1335" w:type="dxa"/>
          </w:tcPr>
          <w:p w14:paraId="715E3F7B" w14:textId="73B68C19"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5</w:t>
            </w:r>
            <w:r w:rsidR="0000195E" w:rsidRPr="00C10D9B">
              <w:rPr>
                <w:rFonts w:ascii="Times New Roman" w:hAnsi="Times New Roman" w:cs="Times New Roman"/>
                <w:sz w:val="20"/>
                <w:szCs w:val="24"/>
              </w:rPr>
              <w:t>0</w:t>
            </w:r>
            <w:r w:rsidR="00963DFC" w:rsidRPr="00C10D9B">
              <w:rPr>
                <w:rFonts w:ascii="Times New Roman" w:hAnsi="Times New Roman" w:cs="Times New Roman"/>
                <w:sz w:val="20"/>
                <w:szCs w:val="24"/>
              </w:rPr>
              <w:t xml:space="preserve">  </w:t>
            </w:r>
          </w:p>
        </w:tc>
        <w:tc>
          <w:tcPr>
            <w:tcW w:w="1336" w:type="dxa"/>
          </w:tcPr>
          <w:p w14:paraId="47B640F4" w14:textId="3D46A8E2" w:rsidR="00510E3A" w:rsidRPr="00C10D9B" w:rsidRDefault="0000195E"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2</w:t>
            </w:r>
            <w:r w:rsidR="00DE10C4" w:rsidRPr="00C10D9B">
              <w:rPr>
                <w:rFonts w:ascii="Times New Roman" w:hAnsi="Times New Roman" w:cs="Times New Roman"/>
                <w:sz w:val="20"/>
                <w:szCs w:val="24"/>
              </w:rPr>
              <w:t>1</w:t>
            </w:r>
          </w:p>
        </w:tc>
        <w:tc>
          <w:tcPr>
            <w:tcW w:w="1336" w:type="dxa"/>
          </w:tcPr>
          <w:p w14:paraId="35E6A071" w14:textId="13ABEB7A"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2</w:t>
            </w:r>
            <w:r w:rsidR="00DE10C4" w:rsidRPr="00C10D9B">
              <w:rPr>
                <w:rFonts w:ascii="Times New Roman" w:hAnsi="Times New Roman" w:cs="Times New Roman"/>
                <w:sz w:val="20"/>
                <w:szCs w:val="24"/>
              </w:rPr>
              <w:t>9</w:t>
            </w:r>
          </w:p>
        </w:tc>
        <w:tc>
          <w:tcPr>
            <w:tcW w:w="1336" w:type="dxa"/>
          </w:tcPr>
          <w:p w14:paraId="6BA5D3AF" w14:textId="520A329B"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4</w:t>
            </w:r>
            <w:r w:rsidR="00DE10C4" w:rsidRPr="00C10D9B">
              <w:rPr>
                <w:rFonts w:ascii="Times New Roman" w:hAnsi="Times New Roman" w:cs="Times New Roman"/>
                <w:sz w:val="20"/>
                <w:szCs w:val="24"/>
              </w:rPr>
              <w:t>7</w:t>
            </w:r>
          </w:p>
        </w:tc>
        <w:tc>
          <w:tcPr>
            <w:tcW w:w="1336" w:type="dxa"/>
          </w:tcPr>
          <w:p w14:paraId="53B6C919" w14:textId="42909120"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8</w:t>
            </w:r>
            <w:r w:rsidR="00DE10C4" w:rsidRPr="00C10D9B">
              <w:rPr>
                <w:rFonts w:ascii="Times New Roman" w:hAnsi="Times New Roman" w:cs="Times New Roman"/>
                <w:sz w:val="20"/>
                <w:szCs w:val="24"/>
              </w:rPr>
              <w:t>4</w:t>
            </w:r>
          </w:p>
        </w:tc>
        <w:tc>
          <w:tcPr>
            <w:tcW w:w="1336" w:type="dxa"/>
          </w:tcPr>
          <w:p w14:paraId="264DACE9" w14:textId="61FD9A93"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40</w:t>
            </w:r>
          </w:p>
        </w:tc>
      </w:tr>
      <w:tr w:rsidR="00267E81" w:rsidRPr="00C10D9B" w14:paraId="41A44FFE" w14:textId="77777777" w:rsidTr="00510E3A">
        <w:trPr>
          <w:trHeight w:val="575"/>
        </w:trPr>
        <w:tc>
          <w:tcPr>
            <w:tcW w:w="1335" w:type="dxa"/>
          </w:tcPr>
          <w:p w14:paraId="4C73814E" w14:textId="04C5B5B2" w:rsidR="00510E3A" w:rsidRPr="00C10D9B" w:rsidRDefault="00510E3A"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CA</w:t>
            </w:r>
            <w:r w:rsidR="006774F1" w:rsidRPr="00C10D9B">
              <w:rPr>
                <w:rFonts w:ascii="Times New Roman" w:hAnsi="Times New Roman" w:cs="Times New Roman"/>
                <w:b/>
                <w:sz w:val="20"/>
                <w:szCs w:val="24"/>
              </w:rPr>
              <w:t xml:space="preserve"> (against employer)</w:t>
            </w:r>
          </w:p>
        </w:tc>
        <w:tc>
          <w:tcPr>
            <w:tcW w:w="1335" w:type="dxa"/>
          </w:tcPr>
          <w:p w14:paraId="063459C4" w14:textId="34693F3F"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5</w:t>
            </w:r>
            <w:r w:rsidR="0000195E" w:rsidRPr="00C10D9B">
              <w:rPr>
                <w:rFonts w:ascii="Times New Roman" w:hAnsi="Times New Roman" w:cs="Times New Roman"/>
                <w:sz w:val="20"/>
                <w:szCs w:val="24"/>
              </w:rPr>
              <w:t>2</w:t>
            </w:r>
          </w:p>
        </w:tc>
        <w:tc>
          <w:tcPr>
            <w:tcW w:w="1336" w:type="dxa"/>
          </w:tcPr>
          <w:p w14:paraId="2164722C" w14:textId="0AB83C80" w:rsidR="00510E3A" w:rsidRPr="00C10D9B" w:rsidRDefault="0000195E"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2</w:t>
            </w:r>
            <w:r w:rsidR="00DE10C4" w:rsidRPr="00C10D9B">
              <w:rPr>
                <w:rFonts w:ascii="Times New Roman" w:hAnsi="Times New Roman" w:cs="Times New Roman"/>
                <w:sz w:val="20"/>
                <w:szCs w:val="24"/>
              </w:rPr>
              <w:t>0</w:t>
            </w:r>
          </w:p>
        </w:tc>
        <w:tc>
          <w:tcPr>
            <w:tcW w:w="1336" w:type="dxa"/>
          </w:tcPr>
          <w:p w14:paraId="257CBDC7" w14:textId="2B1747B3"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31</w:t>
            </w:r>
          </w:p>
        </w:tc>
        <w:tc>
          <w:tcPr>
            <w:tcW w:w="1336" w:type="dxa"/>
          </w:tcPr>
          <w:p w14:paraId="3D89532F" w14:textId="75D8A906"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45</w:t>
            </w:r>
          </w:p>
        </w:tc>
        <w:tc>
          <w:tcPr>
            <w:tcW w:w="1336" w:type="dxa"/>
          </w:tcPr>
          <w:p w14:paraId="58490E62" w14:textId="15AB7A27"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88</w:t>
            </w:r>
          </w:p>
        </w:tc>
        <w:tc>
          <w:tcPr>
            <w:tcW w:w="1336" w:type="dxa"/>
          </w:tcPr>
          <w:p w14:paraId="05B9BD6A" w14:textId="7F4DB0BA"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40</w:t>
            </w:r>
            <w:r w:rsidR="00DE10C4" w:rsidRPr="00C10D9B">
              <w:rPr>
                <w:rFonts w:ascii="Times New Roman" w:hAnsi="Times New Roman" w:cs="Times New Roman"/>
                <w:sz w:val="20"/>
                <w:szCs w:val="24"/>
              </w:rPr>
              <w:t>*</w:t>
            </w:r>
          </w:p>
        </w:tc>
      </w:tr>
      <w:tr w:rsidR="00267E81" w:rsidRPr="00C10D9B" w14:paraId="4F76C504" w14:textId="77777777" w:rsidTr="00510E3A">
        <w:trPr>
          <w:trHeight w:val="63"/>
        </w:trPr>
        <w:tc>
          <w:tcPr>
            <w:tcW w:w="1335" w:type="dxa"/>
          </w:tcPr>
          <w:p w14:paraId="2FD822CA" w14:textId="11BB70E8" w:rsidR="00510E3A" w:rsidRPr="00C10D9B" w:rsidRDefault="00510E3A"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CB</w:t>
            </w:r>
            <w:r w:rsidR="006774F1" w:rsidRPr="00C10D9B">
              <w:rPr>
                <w:rFonts w:ascii="Times New Roman" w:hAnsi="Times New Roman" w:cs="Times New Roman"/>
                <w:b/>
                <w:sz w:val="20"/>
                <w:szCs w:val="24"/>
              </w:rPr>
              <w:t>/CC/CD/</w:t>
            </w:r>
          </w:p>
          <w:p w14:paraId="579D9DDC" w14:textId="5EE73FBC" w:rsidR="006774F1" w:rsidRPr="00C10D9B" w:rsidRDefault="006774F1"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CE (against unions)</w:t>
            </w:r>
          </w:p>
        </w:tc>
        <w:tc>
          <w:tcPr>
            <w:tcW w:w="1335" w:type="dxa"/>
          </w:tcPr>
          <w:p w14:paraId="54BDF1EA" w14:textId="5068348A"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3</w:t>
            </w:r>
            <w:r w:rsidR="0000195E" w:rsidRPr="00C10D9B">
              <w:rPr>
                <w:rFonts w:ascii="Times New Roman" w:hAnsi="Times New Roman" w:cs="Times New Roman"/>
                <w:sz w:val="20"/>
                <w:szCs w:val="24"/>
              </w:rPr>
              <w:t>9</w:t>
            </w:r>
          </w:p>
        </w:tc>
        <w:tc>
          <w:tcPr>
            <w:tcW w:w="1336" w:type="dxa"/>
          </w:tcPr>
          <w:p w14:paraId="15F6748E" w14:textId="53714F71" w:rsidR="00510E3A" w:rsidRPr="00C10D9B" w:rsidRDefault="00DE10C4"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18</w:t>
            </w:r>
          </w:p>
        </w:tc>
        <w:tc>
          <w:tcPr>
            <w:tcW w:w="1336" w:type="dxa"/>
          </w:tcPr>
          <w:p w14:paraId="2AE21732" w14:textId="37265F37"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21</w:t>
            </w:r>
          </w:p>
        </w:tc>
        <w:tc>
          <w:tcPr>
            <w:tcW w:w="1336" w:type="dxa"/>
          </w:tcPr>
          <w:p w14:paraId="3EA0A810" w14:textId="4D7AAA00"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54</w:t>
            </w:r>
          </w:p>
        </w:tc>
        <w:tc>
          <w:tcPr>
            <w:tcW w:w="1336" w:type="dxa"/>
          </w:tcPr>
          <w:p w14:paraId="345C51EB" w14:textId="6E79F039"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82</w:t>
            </w:r>
          </w:p>
        </w:tc>
        <w:tc>
          <w:tcPr>
            <w:tcW w:w="1336" w:type="dxa"/>
          </w:tcPr>
          <w:p w14:paraId="54BF719F" w14:textId="3D018B67"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27</w:t>
            </w:r>
            <w:r w:rsidR="00DE10C4" w:rsidRPr="00C10D9B">
              <w:rPr>
                <w:rFonts w:ascii="Times New Roman" w:hAnsi="Times New Roman" w:cs="Times New Roman"/>
                <w:sz w:val="20"/>
                <w:szCs w:val="24"/>
              </w:rPr>
              <w:t>*</w:t>
            </w:r>
          </w:p>
        </w:tc>
      </w:tr>
      <w:tr w:rsidR="00267E81" w:rsidRPr="00C10D9B" w14:paraId="6BCB2F16" w14:textId="77777777" w:rsidTr="00510E3A">
        <w:tc>
          <w:tcPr>
            <w:tcW w:w="1335" w:type="dxa"/>
          </w:tcPr>
          <w:p w14:paraId="0BED98AE" w14:textId="35070009" w:rsidR="00510E3A" w:rsidRPr="00C10D9B" w:rsidRDefault="00510E3A"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Election</w:t>
            </w:r>
            <w:r w:rsidR="00267E81" w:rsidRPr="00C10D9B">
              <w:rPr>
                <w:rFonts w:ascii="Times New Roman" w:hAnsi="Times New Roman" w:cs="Times New Roman"/>
                <w:b/>
                <w:sz w:val="20"/>
                <w:szCs w:val="24"/>
              </w:rPr>
              <w:t>/</w:t>
            </w:r>
          </w:p>
          <w:p w14:paraId="71AD8E1C" w14:textId="68993548" w:rsidR="00267E81" w:rsidRPr="00C10D9B" w:rsidRDefault="00267E81" w:rsidP="0037119E">
            <w:pPr>
              <w:spacing w:after="0" w:line="240" w:lineRule="auto"/>
              <w:rPr>
                <w:rFonts w:ascii="Times New Roman" w:hAnsi="Times New Roman" w:cs="Times New Roman"/>
                <w:b/>
                <w:sz w:val="20"/>
                <w:szCs w:val="24"/>
              </w:rPr>
            </w:pPr>
            <w:r w:rsidRPr="00C10D9B">
              <w:rPr>
                <w:rFonts w:ascii="Times New Roman" w:hAnsi="Times New Roman" w:cs="Times New Roman"/>
                <w:b/>
                <w:sz w:val="20"/>
                <w:szCs w:val="24"/>
              </w:rPr>
              <w:t xml:space="preserve">Bargaining Unit </w:t>
            </w:r>
          </w:p>
        </w:tc>
        <w:tc>
          <w:tcPr>
            <w:tcW w:w="1335" w:type="dxa"/>
          </w:tcPr>
          <w:p w14:paraId="2A31B0EC" w14:textId="4F11A4EF"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5</w:t>
            </w:r>
            <w:r w:rsidR="0000195E" w:rsidRPr="00C10D9B">
              <w:rPr>
                <w:rFonts w:ascii="Times New Roman" w:hAnsi="Times New Roman" w:cs="Times New Roman"/>
                <w:sz w:val="20"/>
                <w:szCs w:val="24"/>
              </w:rPr>
              <w:t>3</w:t>
            </w:r>
          </w:p>
        </w:tc>
        <w:tc>
          <w:tcPr>
            <w:tcW w:w="1336" w:type="dxa"/>
          </w:tcPr>
          <w:p w14:paraId="4F5D252D" w14:textId="6ECEFD7D" w:rsidR="00510E3A" w:rsidRPr="00C10D9B" w:rsidRDefault="000A6AAC"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28</w:t>
            </w:r>
          </w:p>
        </w:tc>
        <w:tc>
          <w:tcPr>
            <w:tcW w:w="1336" w:type="dxa"/>
          </w:tcPr>
          <w:p w14:paraId="43680836" w14:textId="561F9BDE"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33</w:t>
            </w:r>
          </w:p>
        </w:tc>
        <w:tc>
          <w:tcPr>
            <w:tcW w:w="1336" w:type="dxa"/>
          </w:tcPr>
          <w:p w14:paraId="090FE9CB" w14:textId="13D94205"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44</w:t>
            </w:r>
          </w:p>
        </w:tc>
        <w:tc>
          <w:tcPr>
            <w:tcW w:w="1336" w:type="dxa"/>
          </w:tcPr>
          <w:p w14:paraId="4288D2FC" w14:textId="5701B48A"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83</w:t>
            </w:r>
          </w:p>
        </w:tc>
        <w:tc>
          <w:tcPr>
            <w:tcW w:w="1336" w:type="dxa"/>
          </w:tcPr>
          <w:p w14:paraId="1612D6E8" w14:textId="6281C641" w:rsidR="00510E3A" w:rsidRPr="00C10D9B" w:rsidRDefault="00510E3A" w:rsidP="0037119E">
            <w:pPr>
              <w:spacing w:after="0" w:line="240" w:lineRule="auto"/>
              <w:rPr>
                <w:rFonts w:ascii="Times New Roman" w:hAnsi="Times New Roman" w:cs="Times New Roman"/>
                <w:sz w:val="20"/>
                <w:szCs w:val="24"/>
              </w:rPr>
            </w:pPr>
            <w:r w:rsidRPr="00C10D9B">
              <w:rPr>
                <w:rFonts w:ascii="Times New Roman" w:hAnsi="Times New Roman" w:cs="Times New Roman"/>
                <w:sz w:val="20"/>
                <w:szCs w:val="24"/>
              </w:rPr>
              <w:t>53</w:t>
            </w:r>
            <w:r w:rsidR="00DE10C4" w:rsidRPr="00C10D9B">
              <w:rPr>
                <w:rFonts w:ascii="Times New Roman" w:hAnsi="Times New Roman" w:cs="Times New Roman"/>
                <w:sz w:val="20"/>
                <w:szCs w:val="24"/>
              </w:rPr>
              <w:t>*</w:t>
            </w:r>
          </w:p>
        </w:tc>
      </w:tr>
    </w:tbl>
    <w:p w14:paraId="4712CFA9" w14:textId="77777777" w:rsidR="00F45650" w:rsidRDefault="00F45650" w:rsidP="009D12A5">
      <w:pPr>
        <w:spacing w:after="0" w:line="480" w:lineRule="auto"/>
        <w:rPr>
          <w:rFonts w:ascii="Times New Roman" w:hAnsi="Times New Roman" w:cs="Times New Roman"/>
          <w:b/>
          <w:sz w:val="24"/>
          <w:szCs w:val="24"/>
        </w:rPr>
      </w:pPr>
    </w:p>
    <w:p w14:paraId="21467C3D" w14:textId="660BD502" w:rsidR="005C4C03" w:rsidRPr="0037119E" w:rsidRDefault="0037119E" w:rsidP="009D12A5">
      <w:pPr>
        <w:spacing w:after="0" w:line="480" w:lineRule="auto"/>
        <w:rPr>
          <w:rFonts w:ascii="Times New Roman" w:hAnsi="Times New Roman" w:cs="Times New Roman"/>
          <w:b/>
          <w:sz w:val="24"/>
          <w:szCs w:val="24"/>
        </w:rPr>
      </w:pPr>
      <w:r w:rsidRPr="0037119E">
        <w:rPr>
          <w:rFonts w:ascii="Times New Roman" w:hAnsi="Times New Roman" w:cs="Times New Roman"/>
          <w:b/>
          <w:sz w:val="24"/>
          <w:szCs w:val="24"/>
        </w:rPr>
        <w:t>Figure 1</w:t>
      </w:r>
    </w:p>
    <w:p w14:paraId="3DBC76B1" w14:textId="022229B0" w:rsidR="002D57B0" w:rsidRDefault="002D57B0" w:rsidP="00624959">
      <w:pPr>
        <w:spacing w:after="0" w:line="480" w:lineRule="auto"/>
        <w:ind w:firstLine="720"/>
        <w:rPr>
          <w:rFonts w:ascii="Times New Roman" w:hAnsi="Times New Roman" w:cs="Times New Roman"/>
          <w:sz w:val="24"/>
          <w:szCs w:val="24"/>
        </w:rPr>
      </w:pPr>
      <w:r w:rsidRPr="00926498">
        <w:rPr>
          <w:noProof/>
        </w:rPr>
        <w:drawing>
          <wp:inline distT="0" distB="0" distL="0" distR="0" wp14:anchorId="73A6000E" wp14:editId="425CFEFE">
            <wp:extent cx="5118100" cy="37465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0A38CB7F" w14:textId="269A6B6D" w:rsidR="00873819" w:rsidRDefault="00873819" w:rsidP="006249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majority opinions, Board members cited to the text or engaged in some t</w:t>
      </w:r>
      <w:r w:rsidR="00F90E40">
        <w:rPr>
          <w:rFonts w:ascii="Times New Roman" w:hAnsi="Times New Roman" w:cs="Times New Roman"/>
          <w:sz w:val="24"/>
          <w:szCs w:val="24"/>
        </w:rPr>
        <w:t xml:space="preserve">ype of textual analysis </w:t>
      </w:r>
      <w:r w:rsidR="00F607FC">
        <w:rPr>
          <w:rFonts w:ascii="Times New Roman" w:hAnsi="Times New Roman" w:cs="Times New Roman"/>
          <w:sz w:val="24"/>
          <w:szCs w:val="24"/>
        </w:rPr>
        <w:t xml:space="preserve">in part </w:t>
      </w:r>
      <w:r w:rsidR="00F90E40">
        <w:rPr>
          <w:rFonts w:ascii="Times New Roman" w:hAnsi="Times New Roman" w:cs="Times New Roman"/>
          <w:sz w:val="24"/>
          <w:szCs w:val="24"/>
        </w:rPr>
        <w:t xml:space="preserve">about </w:t>
      </w:r>
      <w:r w:rsidR="0000195E">
        <w:rPr>
          <w:rFonts w:ascii="Times New Roman" w:hAnsi="Times New Roman" w:cs="Times New Roman"/>
          <w:sz w:val="24"/>
          <w:szCs w:val="24"/>
        </w:rPr>
        <w:t>half</w:t>
      </w:r>
      <w:r w:rsidR="00F607FC">
        <w:rPr>
          <w:rFonts w:ascii="Times New Roman" w:hAnsi="Times New Roman" w:cs="Times New Roman"/>
          <w:sz w:val="24"/>
          <w:szCs w:val="24"/>
        </w:rPr>
        <w:t xml:space="preserve"> of the time. </w:t>
      </w:r>
      <w:r>
        <w:rPr>
          <w:rFonts w:ascii="Times New Roman" w:hAnsi="Times New Roman" w:cs="Times New Roman"/>
          <w:sz w:val="24"/>
          <w:szCs w:val="24"/>
        </w:rPr>
        <w:t>However,</w:t>
      </w:r>
      <w:r w:rsidR="006249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24959">
        <w:rPr>
          <w:rFonts w:ascii="Times New Roman" w:hAnsi="Times New Roman" w:cs="Times New Roman"/>
          <w:sz w:val="24"/>
          <w:szCs w:val="24"/>
        </w:rPr>
        <w:t>Board placed</w:t>
      </w:r>
      <w:r w:rsidR="0000195E">
        <w:rPr>
          <w:rFonts w:ascii="Times New Roman" w:hAnsi="Times New Roman" w:cs="Times New Roman"/>
          <w:sz w:val="24"/>
          <w:szCs w:val="24"/>
        </w:rPr>
        <w:t xml:space="preserve"> the textual analysis front and center in its interpretation strategy</w:t>
      </w:r>
      <w:r w:rsidR="00DE10C4">
        <w:rPr>
          <w:rFonts w:ascii="Times New Roman" w:hAnsi="Times New Roman" w:cs="Times New Roman"/>
          <w:sz w:val="24"/>
          <w:szCs w:val="24"/>
        </w:rPr>
        <w:t xml:space="preserve"> </w:t>
      </w:r>
      <w:r w:rsidR="00BC33E5">
        <w:rPr>
          <w:rFonts w:ascii="Times New Roman" w:hAnsi="Times New Roman" w:cs="Times New Roman"/>
          <w:sz w:val="24"/>
          <w:szCs w:val="24"/>
        </w:rPr>
        <w:t xml:space="preserve">in only 21% of cases </w:t>
      </w:r>
      <w:r w:rsidR="00DE10C4">
        <w:rPr>
          <w:rFonts w:ascii="Times New Roman" w:hAnsi="Times New Roman" w:cs="Times New Roman"/>
          <w:sz w:val="24"/>
          <w:szCs w:val="24"/>
        </w:rPr>
        <w:t xml:space="preserve">by either adopting a plain meaning </w:t>
      </w:r>
      <w:r w:rsidR="00DE10C4">
        <w:rPr>
          <w:rFonts w:ascii="Times New Roman" w:hAnsi="Times New Roman" w:cs="Times New Roman"/>
          <w:sz w:val="24"/>
          <w:szCs w:val="24"/>
        </w:rPr>
        <w:lastRenderedPageBreak/>
        <w:t>approach or by relying on a textualist method such as the whole act rule or other textualist canons in interpreting the statute at hand.</w:t>
      </w:r>
      <w:r>
        <w:rPr>
          <w:rFonts w:ascii="Times New Roman" w:hAnsi="Times New Roman" w:cs="Times New Roman"/>
          <w:sz w:val="24"/>
          <w:szCs w:val="24"/>
        </w:rPr>
        <w:t xml:space="preserve"> </w:t>
      </w:r>
      <w:r w:rsidR="00DE10C4">
        <w:rPr>
          <w:rFonts w:ascii="Times New Roman" w:hAnsi="Times New Roman" w:cs="Times New Roman"/>
          <w:sz w:val="24"/>
          <w:szCs w:val="24"/>
        </w:rPr>
        <w:t xml:space="preserve">Even </w:t>
      </w:r>
      <w:r>
        <w:rPr>
          <w:rFonts w:ascii="Times New Roman" w:hAnsi="Times New Roman" w:cs="Times New Roman"/>
          <w:sz w:val="24"/>
          <w:szCs w:val="24"/>
        </w:rPr>
        <w:t>when advancing a “p</w:t>
      </w:r>
      <w:r w:rsidR="00DE10C4">
        <w:rPr>
          <w:rFonts w:ascii="Times New Roman" w:hAnsi="Times New Roman" w:cs="Times New Roman"/>
          <w:sz w:val="24"/>
          <w:szCs w:val="24"/>
        </w:rPr>
        <w:t>rimarily</w:t>
      </w:r>
      <w:r w:rsidR="00C81D17">
        <w:rPr>
          <w:rFonts w:ascii="Times New Roman" w:hAnsi="Times New Roman" w:cs="Times New Roman"/>
          <w:sz w:val="24"/>
          <w:szCs w:val="24"/>
        </w:rPr>
        <w:t xml:space="preserve"> textualist” interpretation</w:t>
      </w:r>
      <w:r w:rsidR="00624959">
        <w:rPr>
          <w:rFonts w:ascii="Times New Roman" w:hAnsi="Times New Roman" w:cs="Times New Roman"/>
          <w:sz w:val="24"/>
          <w:szCs w:val="24"/>
        </w:rPr>
        <w:t>, the Board did</w:t>
      </w:r>
      <w:r>
        <w:rPr>
          <w:rFonts w:ascii="Times New Roman" w:hAnsi="Times New Roman" w:cs="Times New Roman"/>
          <w:sz w:val="24"/>
          <w:szCs w:val="24"/>
        </w:rPr>
        <w:t xml:space="preserve"> no</w:t>
      </w:r>
      <w:r w:rsidR="005C4C03">
        <w:rPr>
          <w:rFonts w:ascii="Times New Roman" w:hAnsi="Times New Roman" w:cs="Times New Roman"/>
          <w:sz w:val="24"/>
          <w:szCs w:val="24"/>
        </w:rPr>
        <w:t>t rely solely on the text. In 69</w:t>
      </w:r>
      <w:r w:rsidR="00D0285D">
        <w:rPr>
          <w:rFonts w:ascii="Times New Roman" w:hAnsi="Times New Roman" w:cs="Times New Roman"/>
          <w:sz w:val="24"/>
          <w:szCs w:val="24"/>
        </w:rPr>
        <w:t>% of the “primary text” cases,</w:t>
      </w:r>
      <w:r w:rsidR="00DE10C4">
        <w:rPr>
          <w:rFonts w:ascii="Times New Roman" w:hAnsi="Times New Roman" w:cs="Times New Roman"/>
          <w:sz w:val="24"/>
          <w:szCs w:val="24"/>
        </w:rPr>
        <w:t xml:space="preserve"> </w:t>
      </w:r>
      <w:r w:rsidR="00FE4E2A">
        <w:rPr>
          <w:rFonts w:ascii="Times New Roman" w:hAnsi="Times New Roman" w:cs="Times New Roman"/>
          <w:sz w:val="24"/>
          <w:szCs w:val="24"/>
        </w:rPr>
        <w:t>the Board buttressed</w:t>
      </w:r>
      <w:r>
        <w:rPr>
          <w:rFonts w:ascii="Times New Roman" w:hAnsi="Times New Roman" w:cs="Times New Roman"/>
          <w:sz w:val="24"/>
          <w:szCs w:val="24"/>
        </w:rPr>
        <w:t xml:space="preserve"> its textual argument by r</w:t>
      </w:r>
      <w:r w:rsidR="00BC33E5">
        <w:rPr>
          <w:rFonts w:ascii="Times New Roman" w:hAnsi="Times New Roman" w:cs="Times New Roman"/>
          <w:sz w:val="24"/>
          <w:szCs w:val="24"/>
        </w:rPr>
        <w:t xml:space="preserve">elying on legislative history. </w:t>
      </w:r>
      <w:r>
        <w:rPr>
          <w:rFonts w:ascii="Times New Roman" w:hAnsi="Times New Roman" w:cs="Times New Roman"/>
          <w:sz w:val="24"/>
          <w:szCs w:val="24"/>
        </w:rPr>
        <w:t xml:space="preserve">Moreover, in </w:t>
      </w:r>
      <w:r w:rsidR="00DE10C4">
        <w:rPr>
          <w:rFonts w:ascii="Times New Roman" w:hAnsi="Times New Roman" w:cs="Times New Roman"/>
          <w:sz w:val="24"/>
          <w:szCs w:val="24"/>
        </w:rPr>
        <w:t>86</w:t>
      </w:r>
      <w:r w:rsidR="005C4C03">
        <w:rPr>
          <w:rFonts w:ascii="Times New Roman" w:hAnsi="Times New Roman" w:cs="Times New Roman"/>
          <w:sz w:val="24"/>
          <w:szCs w:val="24"/>
        </w:rPr>
        <w:t xml:space="preserve">% </w:t>
      </w:r>
      <w:r>
        <w:rPr>
          <w:rFonts w:ascii="Times New Roman" w:hAnsi="Times New Roman" w:cs="Times New Roman"/>
          <w:sz w:val="24"/>
          <w:szCs w:val="24"/>
        </w:rPr>
        <w:t>of these s</w:t>
      </w:r>
      <w:r w:rsidR="00884C0C">
        <w:rPr>
          <w:rFonts w:ascii="Times New Roman" w:hAnsi="Times New Roman" w:cs="Times New Roman"/>
          <w:sz w:val="24"/>
          <w:szCs w:val="24"/>
        </w:rPr>
        <w:t>ame cases, the Board complemented</w:t>
      </w:r>
      <w:r>
        <w:rPr>
          <w:rFonts w:ascii="Times New Roman" w:hAnsi="Times New Roman" w:cs="Times New Roman"/>
          <w:sz w:val="24"/>
          <w:szCs w:val="24"/>
        </w:rPr>
        <w:t xml:space="preserve"> its textual analysis by referring to policy considerations while in </w:t>
      </w:r>
      <w:r w:rsidR="00DE10C4">
        <w:rPr>
          <w:rFonts w:ascii="Times New Roman" w:hAnsi="Times New Roman" w:cs="Times New Roman"/>
          <w:sz w:val="24"/>
          <w:szCs w:val="24"/>
        </w:rPr>
        <w:t>about 52</w:t>
      </w:r>
      <w:r w:rsidR="005C4C03">
        <w:rPr>
          <w:rFonts w:ascii="Times New Roman" w:hAnsi="Times New Roman" w:cs="Times New Roman"/>
          <w:sz w:val="24"/>
          <w:szCs w:val="24"/>
        </w:rPr>
        <w:t xml:space="preserve">% </w:t>
      </w:r>
      <w:r>
        <w:rPr>
          <w:rFonts w:ascii="Times New Roman" w:hAnsi="Times New Roman" w:cs="Times New Roman"/>
          <w:sz w:val="24"/>
          <w:szCs w:val="24"/>
        </w:rPr>
        <w:t>of</w:t>
      </w:r>
      <w:r w:rsidR="00884C0C">
        <w:rPr>
          <w:rFonts w:ascii="Times New Roman" w:hAnsi="Times New Roman" w:cs="Times New Roman"/>
          <w:sz w:val="24"/>
          <w:szCs w:val="24"/>
        </w:rPr>
        <w:t xml:space="preserve"> the cases, the Board referenced</w:t>
      </w:r>
      <w:r>
        <w:rPr>
          <w:rFonts w:ascii="Times New Roman" w:hAnsi="Times New Roman" w:cs="Times New Roman"/>
          <w:sz w:val="24"/>
          <w:szCs w:val="24"/>
        </w:rPr>
        <w:t xml:space="preserve"> practical implications of its rulings. </w:t>
      </w:r>
      <w:r w:rsidR="0000195E">
        <w:rPr>
          <w:rFonts w:ascii="Times New Roman" w:hAnsi="Times New Roman" w:cs="Times New Roman"/>
          <w:sz w:val="24"/>
          <w:szCs w:val="24"/>
        </w:rPr>
        <w:t xml:space="preserve">The Board seems to engage in slightly </w:t>
      </w:r>
      <w:r w:rsidR="00934C79">
        <w:rPr>
          <w:rFonts w:ascii="Times New Roman" w:hAnsi="Times New Roman" w:cs="Times New Roman"/>
          <w:sz w:val="24"/>
          <w:szCs w:val="24"/>
        </w:rPr>
        <w:t>less text interpretations</w:t>
      </w:r>
      <w:r w:rsidR="0000195E">
        <w:rPr>
          <w:rFonts w:ascii="Times New Roman" w:hAnsi="Times New Roman" w:cs="Times New Roman"/>
          <w:sz w:val="24"/>
          <w:szCs w:val="24"/>
        </w:rPr>
        <w:t xml:space="preserve"> in unfair labor practice cases against unions, but the results are not statistically significant. Similarly, </w:t>
      </w:r>
      <w:r w:rsidR="00DE10C4">
        <w:rPr>
          <w:rFonts w:ascii="Times New Roman" w:hAnsi="Times New Roman" w:cs="Times New Roman"/>
          <w:sz w:val="24"/>
          <w:szCs w:val="24"/>
        </w:rPr>
        <w:t>the Board used Latin/language</w:t>
      </w:r>
      <w:r w:rsidR="00624959">
        <w:rPr>
          <w:rFonts w:ascii="Times New Roman" w:hAnsi="Times New Roman" w:cs="Times New Roman"/>
          <w:sz w:val="24"/>
          <w:szCs w:val="24"/>
        </w:rPr>
        <w:t xml:space="preserve"> canons </w:t>
      </w:r>
      <w:r w:rsidR="0000195E">
        <w:rPr>
          <w:rFonts w:ascii="Times New Roman" w:hAnsi="Times New Roman" w:cs="Times New Roman"/>
          <w:sz w:val="24"/>
          <w:szCs w:val="24"/>
        </w:rPr>
        <w:t xml:space="preserve">in </w:t>
      </w:r>
      <w:r w:rsidR="00DE10C4">
        <w:rPr>
          <w:rFonts w:ascii="Times New Roman" w:hAnsi="Times New Roman" w:cs="Times New Roman"/>
          <w:sz w:val="24"/>
          <w:szCs w:val="24"/>
        </w:rPr>
        <w:t xml:space="preserve">slightly less than a </w:t>
      </w:r>
      <w:r w:rsidR="0000195E">
        <w:rPr>
          <w:rFonts w:ascii="Times New Roman" w:hAnsi="Times New Roman" w:cs="Times New Roman"/>
          <w:sz w:val="24"/>
          <w:szCs w:val="24"/>
        </w:rPr>
        <w:t>third of their cases</w:t>
      </w:r>
      <w:r w:rsidR="00624959">
        <w:rPr>
          <w:rFonts w:ascii="Times New Roman" w:hAnsi="Times New Roman" w:cs="Times New Roman"/>
          <w:sz w:val="24"/>
          <w:szCs w:val="24"/>
        </w:rPr>
        <w:t xml:space="preserve">. The Board used these canons more in </w:t>
      </w:r>
      <w:r w:rsidR="00255F12">
        <w:rPr>
          <w:rFonts w:ascii="Times New Roman" w:hAnsi="Times New Roman" w:cs="Times New Roman"/>
          <w:sz w:val="24"/>
          <w:szCs w:val="24"/>
        </w:rPr>
        <w:t xml:space="preserve">unfair labor union practices against employers as well as election or bargaining unit cases, though again the differences between case types are not statistically significant. </w:t>
      </w:r>
    </w:p>
    <w:p w14:paraId="21A7BD20" w14:textId="7F052E06" w:rsidR="009028C7" w:rsidRDefault="00D0285D" w:rsidP="009118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Board used non-textualist methods</w:t>
      </w:r>
      <w:r w:rsidR="00624959">
        <w:rPr>
          <w:rFonts w:ascii="Times New Roman" w:hAnsi="Times New Roman" w:cs="Times New Roman"/>
          <w:sz w:val="24"/>
          <w:szCs w:val="24"/>
        </w:rPr>
        <w:t>, at least in part, in a</w:t>
      </w:r>
      <w:r w:rsidR="00FA7F69">
        <w:rPr>
          <w:rFonts w:ascii="Times New Roman" w:hAnsi="Times New Roman" w:cs="Times New Roman"/>
          <w:sz w:val="24"/>
          <w:szCs w:val="24"/>
        </w:rPr>
        <w:t>bout 95% of its decisions. In 47</w:t>
      </w:r>
      <w:r w:rsidR="00624959">
        <w:rPr>
          <w:rFonts w:ascii="Times New Roman" w:hAnsi="Times New Roman" w:cs="Times New Roman"/>
          <w:sz w:val="24"/>
          <w:szCs w:val="24"/>
        </w:rPr>
        <w:t>% of its decisions, the Board majority referred i</w:t>
      </w:r>
      <w:r>
        <w:rPr>
          <w:rFonts w:ascii="Times New Roman" w:hAnsi="Times New Roman" w:cs="Times New Roman"/>
          <w:sz w:val="24"/>
          <w:szCs w:val="24"/>
        </w:rPr>
        <w:t xml:space="preserve">n part to legislative history. </w:t>
      </w:r>
      <w:r w:rsidR="00624959">
        <w:rPr>
          <w:rFonts w:ascii="Times New Roman" w:hAnsi="Times New Roman" w:cs="Times New Roman"/>
          <w:sz w:val="24"/>
          <w:szCs w:val="24"/>
        </w:rPr>
        <w:t>Indeed, the Board most frequently cited to legislative history in cases containing allegations of union abuses.</w:t>
      </w:r>
      <w:r w:rsidR="00884C0C">
        <w:rPr>
          <w:rFonts w:ascii="Times New Roman" w:hAnsi="Times New Roman" w:cs="Times New Roman"/>
          <w:sz w:val="24"/>
          <w:szCs w:val="24"/>
        </w:rPr>
        <w:t xml:space="preserve"> The Taft-Hartley Act extended the Wagner Act’s prohibitions to unions, so legislative history on these </w:t>
      </w:r>
      <w:r w:rsidR="009118FB">
        <w:rPr>
          <w:rFonts w:ascii="Times New Roman" w:hAnsi="Times New Roman" w:cs="Times New Roman"/>
          <w:sz w:val="24"/>
          <w:szCs w:val="24"/>
        </w:rPr>
        <w:t>provisions in particular is rich so this difference is not entirely unexpected</w:t>
      </w:r>
      <w:r w:rsidR="00884C0C">
        <w:rPr>
          <w:rFonts w:ascii="Times New Roman" w:hAnsi="Times New Roman" w:cs="Times New Roman"/>
          <w:sz w:val="24"/>
          <w:szCs w:val="24"/>
        </w:rPr>
        <w:t xml:space="preserve">. </w:t>
      </w:r>
      <w:r w:rsidR="00624959">
        <w:rPr>
          <w:rFonts w:ascii="Times New Roman" w:hAnsi="Times New Roman" w:cs="Times New Roman"/>
          <w:sz w:val="24"/>
          <w:szCs w:val="24"/>
        </w:rPr>
        <w:t>In cases</w:t>
      </w:r>
      <w:r>
        <w:rPr>
          <w:rFonts w:ascii="Times New Roman" w:hAnsi="Times New Roman" w:cs="Times New Roman"/>
          <w:sz w:val="24"/>
          <w:szCs w:val="24"/>
        </w:rPr>
        <w:t xml:space="preserve"> alleging abuses by unions</w:t>
      </w:r>
      <w:r w:rsidR="00624959">
        <w:rPr>
          <w:rFonts w:ascii="Times New Roman" w:hAnsi="Times New Roman" w:cs="Times New Roman"/>
          <w:sz w:val="24"/>
          <w:szCs w:val="24"/>
        </w:rPr>
        <w:t xml:space="preserve">, as detailed more fully below, the Board </w:t>
      </w:r>
      <w:r w:rsidR="009118FB">
        <w:rPr>
          <w:rFonts w:ascii="Times New Roman" w:hAnsi="Times New Roman" w:cs="Times New Roman"/>
          <w:sz w:val="24"/>
          <w:szCs w:val="24"/>
        </w:rPr>
        <w:t>sometimes</w:t>
      </w:r>
      <w:r w:rsidR="00624959">
        <w:rPr>
          <w:rFonts w:ascii="Times New Roman" w:hAnsi="Times New Roman" w:cs="Times New Roman"/>
          <w:sz w:val="24"/>
          <w:szCs w:val="24"/>
        </w:rPr>
        <w:t xml:space="preserve"> used legislative history as the primary method of interpretation to serve as a limiting influence on the meaning of a given statutory term.</w:t>
      </w:r>
    </w:p>
    <w:p w14:paraId="067C76DC" w14:textId="0D34121E" w:rsidR="009118FB" w:rsidRDefault="00624959" w:rsidP="009118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addition, </w:t>
      </w:r>
      <w:r w:rsidR="00D0285D">
        <w:rPr>
          <w:rFonts w:ascii="Times New Roman" w:hAnsi="Times New Roman" w:cs="Times New Roman"/>
          <w:sz w:val="24"/>
          <w:szCs w:val="24"/>
        </w:rPr>
        <w:t>the Board most frequently referred to policy</w:t>
      </w:r>
      <w:r w:rsidR="009118FB">
        <w:rPr>
          <w:rFonts w:ascii="Times New Roman" w:hAnsi="Times New Roman" w:cs="Times New Roman"/>
          <w:sz w:val="24"/>
          <w:szCs w:val="24"/>
        </w:rPr>
        <w:t xml:space="preserve"> more so than any other method</w:t>
      </w:r>
      <w:r>
        <w:rPr>
          <w:rFonts w:ascii="Times New Roman" w:hAnsi="Times New Roman" w:cs="Times New Roman"/>
          <w:sz w:val="24"/>
          <w:szCs w:val="24"/>
        </w:rPr>
        <w:t xml:space="preserve">, as </w:t>
      </w:r>
      <w:r w:rsidR="003D187A">
        <w:rPr>
          <w:rFonts w:ascii="Times New Roman" w:hAnsi="Times New Roman" w:cs="Times New Roman"/>
          <w:sz w:val="24"/>
          <w:szCs w:val="24"/>
        </w:rPr>
        <w:t xml:space="preserve">in </w:t>
      </w:r>
      <w:r>
        <w:rPr>
          <w:rFonts w:ascii="Times New Roman" w:hAnsi="Times New Roman" w:cs="Times New Roman"/>
          <w:sz w:val="24"/>
          <w:szCs w:val="24"/>
        </w:rPr>
        <w:t>almost nine out of ten cases</w:t>
      </w:r>
      <w:r w:rsidR="003D187A">
        <w:rPr>
          <w:rFonts w:ascii="Times New Roman" w:hAnsi="Times New Roman" w:cs="Times New Roman"/>
          <w:sz w:val="24"/>
          <w:szCs w:val="24"/>
        </w:rPr>
        <w:t>, the Board voiced some sort of policy implication explicitly or implicitly</w:t>
      </w:r>
      <w:r w:rsidR="00884C0C">
        <w:rPr>
          <w:rFonts w:ascii="Times New Roman" w:hAnsi="Times New Roman" w:cs="Times New Roman"/>
          <w:sz w:val="24"/>
          <w:szCs w:val="24"/>
        </w:rPr>
        <w:t>, at least in part</w:t>
      </w:r>
      <w:r>
        <w:rPr>
          <w:rFonts w:ascii="Times New Roman" w:hAnsi="Times New Roman" w:cs="Times New Roman"/>
          <w:sz w:val="24"/>
          <w:szCs w:val="24"/>
        </w:rPr>
        <w:t xml:space="preserve">. </w:t>
      </w:r>
      <w:r w:rsidR="007903E3">
        <w:rPr>
          <w:rFonts w:ascii="Times New Roman" w:hAnsi="Times New Roman" w:cs="Times New Roman"/>
          <w:sz w:val="24"/>
          <w:szCs w:val="24"/>
        </w:rPr>
        <w:t>Given that the Board is, at its heart, a policymaking body, it is of no surprise that policy considerations often animate choice</w:t>
      </w:r>
      <w:r w:rsidR="0082360C">
        <w:rPr>
          <w:rFonts w:ascii="Times New Roman" w:hAnsi="Times New Roman" w:cs="Times New Roman"/>
          <w:sz w:val="24"/>
          <w:szCs w:val="24"/>
        </w:rPr>
        <w:t xml:space="preserve"> where Congress left a discernible “gap” </w:t>
      </w:r>
      <w:r w:rsidR="0082360C">
        <w:rPr>
          <w:rFonts w:ascii="Times New Roman" w:hAnsi="Times New Roman" w:cs="Times New Roman"/>
          <w:sz w:val="24"/>
          <w:szCs w:val="24"/>
        </w:rPr>
        <w:lastRenderedPageBreak/>
        <w:t>in the law</w:t>
      </w:r>
      <w:r w:rsidR="007903E3">
        <w:rPr>
          <w:rFonts w:ascii="Times New Roman" w:hAnsi="Times New Roman" w:cs="Times New Roman"/>
          <w:sz w:val="24"/>
          <w:szCs w:val="24"/>
        </w:rPr>
        <w:t xml:space="preserve">. </w:t>
      </w:r>
      <w:r>
        <w:rPr>
          <w:rFonts w:ascii="Times New Roman" w:hAnsi="Times New Roman" w:cs="Times New Roman"/>
          <w:sz w:val="24"/>
          <w:szCs w:val="24"/>
        </w:rPr>
        <w:t>Finally, practical considerations al</w:t>
      </w:r>
      <w:r w:rsidR="009118FB">
        <w:rPr>
          <w:rFonts w:ascii="Times New Roman" w:hAnsi="Times New Roman" w:cs="Times New Roman"/>
          <w:sz w:val="24"/>
          <w:szCs w:val="24"/>
        </w:rPr>
        <w:t>so played some role in decision</w:t>
      </w:r>
      <w:r w:rsidR="003D187A">
        <w:rPr>
          <w:rFonts w:ascii="Times New Roman" w:hAnsi="Times New Roman" w:cs="Times New Roman"/>
          <w:sz w:val="24"/>
          <w:szCs w:val="24"/>
        </w:rPr>
        <w:t>-</w:t>
      </w:r>
      <w:r>
        <w:rPr>
          <w:rFonts w:ascii="Times New Roman" w:hAnsi="Times New Roman" w:cs="Times New Roman"/>
          <w:sz w:val="24"/>
          <w:szCs w:val="24"/>
        </w:rPr>
        <w:t>making, especially in election representation and bargaining unit cases</w:t>
      </w:r>
      <w:r w:rsidR="007F499D">
        <w:rPr>
          <w:rFonts w:ascii="Times New Roman" w:hAnsi="Times New Roman" w:cs="Times New Roman"/>
          <w:sz w:val="24"/>
          <w:szCs w:val="24"/>
        </w:rPr>
        <w:t xml:space="preserve"> (53%)</w:t>
      </w:r>
      <w:r>
        <w:rPr>
          <w:rFonts w:ascii="Times New Roman" w:hAnsi="Times New Roman" w:cs="Times New Roman"/>
          <w:sz w:val="24"/>
          <w:szCs w:val="24"/>
        </w:rPr>
        <w:t>. As detailed more fully be</w:t>
      </w:r>
      <w:r w:rsidR="00884C0C">
        <w:rPr>
          <w:rFonts w:ascii="Times New Roman" w:hAnsi="Times New Roman" w:cs="Times New Roman"/>
          <w:sz w:val="24"/>
          <w:szCs w:val="24"/>
        </w:rPr>
        <w:t>low, these cases often concern</w:t>
      </w:r>
      <w:r>
        <w:rPr>
          <w:rFonts w:ascii="Times New Roman" w:hAnsi="Times New Roman" w:cs="Times New Roman"/>
          <w:sz w:val="24"/>
          <w:szCs w:val="24"/>
        </w:rPr>
        <w:t xml:space="preserve"> broader issues tha</w:t>
      </w:r>
      <w:r w:rsidR="00D0285D">
        <w:rPr>
          <w:rFonts w:ascii="Times New Roman" w:hAnsi="Times New Roman" w:cs="Times New Roman"/>
          <w:sz w:val="24"/>
          <w:szCs w:val="24"/>
        </w:rPr>
        <w:t xml:space="preserve">n unfair labor practice cases. </w:t>
      </w:r>
      <w:r>
        <w:rPr>
          <w:rFonts w:ascii="Times New Roman" w:hAnsi="Times New Roman" w:cs="Times New Roman"/>
          <w:sz w:val="24"/>
          <w:szCs w:val="24"/>
        </w:rPr>
        <w:t>As an example, many of these cases dealt with interpreting who was an “employee” under the N</w:t>
      </w:r>
      <w:r w:rsidR="00884C0C">
        <w:rPr>
          <w:rFonts w:ascii="Times New Roman" w:hAnsi="Times New Roman" w:cs="Times New Roman"/>
          <w:sz w:val="24"/>
          <w:szCs w:val="24"/>
        </w:rPr>
        <w:t>LRA, a conclusion that would have</w:t>
      </w:r>
      <w:r>
        <w:rPr>
          <w:rFonts w:ascii="Times New Roman" w:hAnsi="Times New Roman" w:cs="Times New Roman"/>
          <w:sz w:val="24"/>
          <w:szCs w:val="24"/>
        </w:rPr>
        <w:t xml:space="preserve"> far-reaching implications about the reach of the Board’s jurisdiction into labor policymaking. As such, it is not surprising that in those cases in particular, the Board would often resort to </w:t>
      </w:r>
      <w:r w:rsidR="009E080D">
        <w:rPr>
          <w:rFonts w:ascii="Times New Roman" w:hAnsi="Times New Roman" w:cs="Times New Roman"/>
          <w:sz w:val="24"/>
          <w:szCs w:val="24"/>
        </w:rPr>
        <w:t>consideration of practical implications</w:t>
      </w:r>
      <w:r w:rsidR="00FA7F69">
        <w:rPr>
          <w:rFonts w:ascii="Times New Roman" w:hAnsi="Times New Roman" w:cs="Times New Roman"/>
          <w:sz w:val="24"/>
          <w:szCs w:val="24"/>
        </w:rPr>
        <w:t>, with about 40% of all cases referring to practical considerations at least in part</w:t>
      </w:r>
      <w:r w:rsidR="009E080D">
        <w:rPr>
          <w:rFonts w:ascii="Times New Roman" w:hAnsi="Times New Roman" w:cs="Times New Roman"/>
          <w:sz w:val="24"/>
          <w:szCs w:val="24"/>
        </w:rPr>
        <w:t xml:space="preserve">. </w:t>
      </w:r>
      <w:r w:rsidR="00FA7F69">
        <w:rPr>
          <w:rFonts w:ascii="Times New Roman" w:hAnsi="Times New Roman" w:cs="Times New Roman"/>
          <w:sz w:val="24"/>
          <w:szCs w:val="24"/>
        </w:rPr>
        <w:t>The Board differed, to a statistically significant degree at 90% confidence, in the extent to which it relied on practical considerations</w:t>
      </w:r>
      <w:r w:rsidR="0082360C">
        <w:rPr>
          <w:rFonts w:ascii="Times New Roman" w:hAnsi="Times New Roman" w:cs="Times New Roman"/>
          <w:sz w:val="24"/>
          <w:szCs w:val="24"/>
        </w:rPr>
        <w:t xml:space="preserve"> depending on case type</w:t>
      </w:r>
      <w:r w:rsidR="00FA7F69">
        <w:rPr>
          <w:rFonts w:ascii="Times New Roman" w:hAnsi="Times New Roman" w:cs="Times New Roman"/>
          <w:sz w:val="24"/>
          <w:szCs w:val="24"/>
        </w:rPr>
        <w:t xml:space="preserve">. It relied on practical considerations </w:t>
      </w:r>
      <w:r w:rsidR="007F499D">
        <w:rPr>
          <w:rFonts w:ascii="Times New Roman" w:hAnsi="Times New Roman" w:cs="Times New Roman"/>
          <w:sz w:val="24"/>
          <w:szCs w:val="24"/>
        </w:rPr>
        <w:t xml:space="preserve">the least in </w:t>
      </w:r>
      <w:r w:rsidR="00FA7F69">
        <w:rPr>
          <w:rFonts w:ascii="Times New Roman" w:hAnsi="Times New Roman" w:cs="Times New Roman"/>
          <w:sz w:val="24"/>
          <w:szCs w:val="24"/>
        </w:rPr>
        <w:t>unfair labor pract</w:t>
      </w:r>
      <w:r w:rsidR="007F499D">
        <w:rPr>
          <w:rFonts w:ascii="Times New Roman" w:hAnsi="Times New Roman" w:cs="Times New Roman"/>
          <w:sz w:val="24"/>
          <w:szCs w:val="24"/>
        </w:rPr>
        <w:t>ice cases against unions (27%).</w:t>
      </w:r>
    </w:p>
    <w:p w14:paraId="2365C96F" w14:textId="12D26EBF" w:rsidR="00BC3046" w:rsidRDefault="009118FB" w:rsidP="00BC30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 tables and figures look at the data broken down by party of the panel and/or the presidential administration. Table 2 looks at the methodologies broken down by the majority party of the panel hearing the case. During the entire period under study, 76% of the panels had Democratic-majorities and just 24% had a Republican-majority. While Democratic panels slightly favored a textual analysis over Republican-dominated panels and Republican panels used </w:t>
      </w:r>
      <w:r w:rsidR="00527541">
        <w:rPr>
          <w:rFonts w:ascii="Times New Roman" w:hAnsi="Times New Roman" w:cs="Times New Roman"/>
          <w:sz w:val="24"/>
          <w:szCs w:val="24"/>
        </w:rPr>
        <w:t>legisla</w:t>
      </w:r>
      <w:r w:rsidR="00BD029F">
        <w:rPr>
          <w:rFonts w:ascii="Times New Roman" w:hAnsi="Times New Roman" w:cs="Times New Roman"/>
          <w:sz w:val="24"/>
          <w:szCs w:val="24"/>
        </w:rPr>
        <w:t>ti</w:t>
      </w:r>
      <w:r>
        <w:rPr>
          <w:rFonts w:ascii="Times New Roman" w:hAnsi="Times New Roman" w:cs="Times New Roman"/>
          <w:sz w:val="24"/>
          <w:szCs w:val="24"/>
        </w:rPr>
        <w:t xml:space="preserve">ve history and policy more than Democrats, the results were not statistically significant. At 95% confidence, however, we can say that Republican panels were more likely than Democratic panels to cite to practical considerations (35% v. 55%), an interesting finding considering that scholars often argue that Republicans are more likely to be textualists than Democrats. Table 3 breaks down the data by the presidential administration. Although there seems to be a jump in the use of textualism during the Bush II administration, the results are not statistically significant to a high degree of confidence. Table 4 and Figure 2 merges the data and </w:t>
      </w:r>
      <w:r>
        <w:rPr>
          <w:rFonts w:ascii="Times New Roman" w:hAnsi="Times New Roman" w:cs="Times New Roman"/>
          <w:sz w:val="24"/>
          <w:szCs w:val="24"/>
        </w:rPr>
        <w:lastRenderedPageBreak/>
        <w:t>looks at the data broken by both party and presidential administration. Although again the sample size precludes a finding of statistical significance for many of the results, of note is the fact that panels composed of Board members from the opposing party of the President seem to decide cases in line with the methodology most popularly associated with the opposing party.</w:t>
      </w:r>
      <w:r w:rsidR="00020A5F">
        <w:rPr>
          <w:rStyle w:val="FootnoteReference"/>
          <w:rFonts w:ascii="Times New Roman" w:hAnsi="Times New Roman" w:cs="Times New Roman"/>
          <w:sz w:val="24"/>
          <w:szCs w:val="24"/>
        </w:rPr>
        <w:footnoteReference w:id="155"/>
      </w:r>
      <w:r>
        <w:rPr>
          <w:rFonts w:ascii="Times New Roman" w:hAnsi="Times New Roman" w:cs="Times New Roman"/>
          <w:sz w:val="24"/>
          <w:szCs w:val="24"/>
        </w:rPr>
        <w:t xml:space="preserve"> For instance, during the Bush II administration, majority Democratic Boards decided 67% of decisions using a</w:t>
      </w:r>
      <w:r w:rsidR="005B5B1A">
        <w:rPr>
          <w:rFonts w:ascii="Times New Roman" w:hAnsi="Times New Roman" w:cs="Times New Roman"/>
          <w:sz w:val="24"/>
          <w:szCs w:val="24"/>
        </w:rPr>
        <w:t xml:space="preserve"> textualist methodology in part—</w:t>
      </w:r>
      <w:r>
        <w:rPr>
          <w:rFonts w:ascii="Times New Roman" w:hAnsi="Times New Roman" w:cs="Times New Roman"/>
          <w:sz w:val="24"/>
          <w:szCs w:val="24"/>
        </w:rPr>
        <w:t>a large jump from the 47% of the Clinton administration. Likewise, Republicans panels used legislative history more often during the Clinton administration (78%) than under the Bush II administration (43%), a result statistically significant at 90% confidence. Moreover, contrary to popular wisdom associating certain methodologies with ideological predisposition, it is Republican-dominated panels that seem to use practical reasoning more, especially during the Bush II administration, where the difference between Democratic-majority panels (20%) and Republican-majority panels (59%) is statistically significant at 90% confidence. These results of course must be taken with a grain of salt since the sample size is small but they nonetheless pose some interesting questions for future research about the amount of “control” that the presidential administration may pose for influencing interpretive methodology.</w:t>
      </w:r>
    </w:p>
    <w:p w14:paraId="2B17A282" w14:textId="4B1DB9C5" w:rsidR="00196292" w:rsidRPr="00912501" w:rsidRDefault="00912501" w:rsidP="00BC3046">
      <w:pPr>
        <w:spacing w:after="0" w:line="480" w:lineRule="auto"/>
        <w:rPr>
          <w:rFonts w:ascii="Times New Roman" w:hAnsi="Times New Roman" w:cs="Times New Roman"/>
          <w:b/>
          <w:sz w:val="20"/>
          <w:szCs w:val="24"/>
        </w:rPr>
      </w:pPr>
      <w:r>
        <w:rPr>
          <w:rFonts w:ascii="Times New Roman" w:hAnsi="Times New Roman" w:cs="Times New Roman"/>
          <w:b/>
          <w:sz w:val="20"/>
          <w:szCs w:val="24"/>
        </w:rPr>
        <w:t>Table 2</w:t>
      </w:r>
      <w:r w:rsidRPr="00C10D9B">
        <w:rPr>
          <w:rFonts w:ascii="Times New Roman" w:hAnsi="Times New Roman" w:cs="Times New Roman"/>
          <w:b/>
          <w:sz w:val="20"/>
          <w:szCs w:val="24"/>
        </w:rPr>
        <w:t>: Methods of Statutory Interpr</w:t>
      </w:r>
      <w:r>
        <w:rPr>
          <w:rFonts w:ascii="Times New Roman" w:hAnsi="Times New Roman" w:cs="Times New Roman"/>
          <w:b/>
          <w:sz w:val="20"/>
          <w:szCs w:val="24"/>
        </w:rPr>
        <w:t>etation, by Majority Party (Percent)</w:t>
      </w:r>
    </w:p>
    <w:tbl>
      <w:tblPr>
        <w:tblStyle w:val="TableGrid"/>
        <w:tblW w:w="0" w:type="auto"/>
        <w:tblLook w:val="04A0" w:firstRow="1" w:lastRow="0" w:firstColumn="1" w:lastColumn="0" w:noHBand="0" w:noVBand="1"/>
      </w:tblPr>
      <w:tblGrid>
        <w:gridCol w:w="1336"/>
        <w:gridCol w:w="1334"/>
        <w:gridCol w:w="1336"/>
        <w:gridCol w:w="1336"/>
        <w:gridCol w:w="1336"/>
        <w:gridCol w:w="1336"/>
        <w:gridCol w:w="1336"/>
      </w:tblGrid>
      <w:tr w:rsidR="00196292" w14:paraId="06C80217" w14:textId="77777777" w:rsidTr="00624959">
        <w:tc>
          <w:tcPr>
            <w:tcW w:w="1336" w:type="dxa"/>
          </w:tcPr>
          <w:p w14:paraId="44C22939" w14:textId="77777777" w:rsidR="00196292" w:rsidRPr="00912501" w:rsidRDefault="00196292" w:rsidP="00D0285D">
            <w:pPr>
              <w:spacing w:after="0" w:line="240" w:lineRule="auto"/>
              <w:rPr>
                <w:rFonts w:ascii="Times New Roman" w:hAnsi="Times New Roman" w:cs="Times New Roman"/>
                <w:sz w:val="20"/>
                <w:szCs w:val="24"/>
              </w:rPr>
            </w:pPr>
          </w:p>
        </w:tc>
        <w:tc>
          <w:tcPr>
            <w:tcW w:w="1334" w:type="dxa"/>
          </w:tcPr>
          <w:p w14:paraId="67B43AEF"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General Text</w:t>
            </w:r>
          </w:p>
        </w:tc>
        <w:tc>
          <w:tcPr>
            <w:tcW w:w="1336" w:type="dxa"/>
          </w:tcPr>
          <w:p w14:paraId="0845CAC1"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Primary</w:t>
            </w:r>
          </w:p>
          <w:p w14:paraId="787FFF1D"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Text</w:t>
            </w:r>
          </w:p>
        </w:tc>
        <w:tc>
          <w:tcPr>
            <w:tcW w:w="1336" w:type="dxa"/>
          </w:tcPr>
          <w:p w14:paraId="616AF3CB"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Latin and Language Canons</w:t>
            </w:r>
          </w:p>
        </w:tc>
        <w:tc>
          <w:tcPr>
            <w:tcW w:w="1336" w:type="dxa"/>
          </w:tcPr>
          <w:p w14:paraId="5F17A11D"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Legislative History</w:t>
            </w:r>
          </w:p>
        </w:tc>
        <w:tc>
          <w:tcPr>
            <w:tcW w:w="1336" w:type="dxa"/>
          </w:tcPr>
          <w:p w14:paraId="288CC4BB"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Policy</w:t>
            </w:r>
          </w:p>
        </w:tc>
        <w:tc>
          <w:tcPr>
            <w:tcW w:w="1336" w:type="dxa"/>
          </w:tcPr>
          <w:p w14:paraId="3B6402B1"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Practical</w:t>
            </w:r>
          </w:p>
        </w:tc>
      </w:tr>
      <w:tr w:rsidR="00196292" w14:paraId="6DF96FF6" w14:textId="77777777" w:rsidTr="00624959">
        <w:tc>
          <w:tcPr>
            <w:tcW w:w="1336" w:type="dxa"/>
          </w:tcPr>
          <w:p w14:paraId="4204F244" w14:textId="0A4C5A90"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 xml:space="preserve">Democratic </w:t>
            </w:r>
          </w:p>
        </w:tc>
        <w:tc>
          <w:tcPr>
            <w:tcW w:w="1334" w:type="dxa"/>
          </w:tcPr>
          <w:p w14:paraId="52CEE03C"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51</w:t>
            </w:r>
          </w:p>
        </w:tc>
        <w:tc>
          <w:tcPr>
            <w:tcW w:w="1336" w:type="dxa"/>
          </w:tcPr>
          <w:p w14:paraId="657D4D37" w14:textId="2E5A116D" w:rsidR="00196292" w:rsidRPr="00912501" w:rsidRDefault="000A6AAC"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w:t>
            </w:r>
            <w:r w:rsidR="00FA7F69" w:rsidRPr="00912501">
              <w:rPr>
                <w:rFonts w:ascii="Times New Roman" w:hAnsi="Times New Roman" w:cs="Times New Roman"/>
                <w:sz w:val="20"/>
                <w:szCs w:val="24"/>
              </w:rPr>
              <w:t>2</w:t>
            </w:r>
          </w:p>
        </w:tc>
        <w:tc>
          <w:tcPr>
            <w:tcW w:w="1336" w:type="dxa"/>
          </w:tcPr>
          <w:p w14:paraId="130814A5"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29</w:t>
            </w:r>
          </w:p>
        </w:tc>
        <w:tc>
          <w:tcPr>
            <w:tcW w:w="1336" w:type="dxa"/>
          </w:tcPr>
          <w:p w14:paraId="380CB35E"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46</w:t>
            </w:r>
          </w:p>
        </w:tc>
        <w:tc>
          <w:tcPr>
            <w:tcW w:w="1336" w:type="dxa"/>
          </w:tcPr>
          <w:p w14:paraId="5A49E42E"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83</w:t>
            </w:r>
          </w:p>
        </w:tc>
        <w:tc>
          <w:tcPr>
            <w:tcW w:w="1336" w:type="dxa"/>
          </w:tcPr>
          <w:p w14:paraId="5FC39A0B" w14:textId="4EF3F87A" w:rsidR="00196292" w:rsidRPr="00912501" w:rsidRDefault="00FA7F69"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36</w:t>
            </w:r>
            <w:r w:rsidR="00196292" w:rsidRPr="00912501">
              <w:rPr>
                <w:rFonts w:ascii="Times New Roman" w:hAnsi="Times New Roman" w:cs="Times New Roman"/>
                <w:sz w:val="20"/>
                <w:szCs w:val="24"/>
              </w:rPr>
              <w:t>**</w:t>
            </w:r>
            <w:r w:rsidR="00A162B3">
              <w:rPr>
                <w:rStyle w:val="FootnoteReference"/>
                <w:rFonts w:ascii="Times New Roman" w:hAnsi="Times New Roman" w:cs="Times New Roman"/>
                <w:sz w:val="20"/>
                <w:szCs w:val="24"/>
              </w:rPr>
              <w:footnoteReference w:id="156"/>
            </w:r>
          </w:p>
        </w:tc>
      </w:tr>
      <w:tr w:rsidR="00196292" w14:paraId="27603B39" w14:textId="77777777" w:rsidTr="00624959">
        <w:tc>
          <w:tcPr>
            <w:tcW w:w="1336" w:type="dxa"/>
          </w:tcPr>
          <w:p w14:paraId="154913A6" w14:textId="13F66556"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 xml:space="preserve">Republican </w:t>
            </w:r>
          </w:p>
        </w:tc>
        <w:tc>
          <w:tcPr>
            <w:tcW w:w="1334" w:type="dxa"/>
          </w:tcPr>
          <w:p w14:paraId="2F8394B5"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45</w:t>
            </w:r>
          </w:p>
        </w:tc>
        <w:tc>
          <w:tcPr>
            <w:tcW w:w="1336" w:type="dxa"/>
          </w:tcPr>
          <w:p w14:paraId="65ECAF94" w14:textId="538F65CE" w:rsidR="00196292" w:rsidRPr="00912501" w:rsidRDefault="00FA7F69"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18</w:t>
            </w:r>
          </w:p>
        </w:tc>
        <w:tc>
          <w:tcPr>
            <w:tcW w:w="1336" w:type="dxa"/>
          </w:tcPr>
          <w:p w14:paraId="4418BA13"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30</w:t>
            </w:r>
          </w:p>
        </w:tc>
        <w:tc>
          <w:tcPr>
            <w:tcW w:w="1336" w:type="dxa"/>
          </w:tcPr>
          <w:p w14:paraId="03A747AB"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53</w:t>
            </w:r>
          </w:p>
        </w:tc>
        <w:tc>
          <w:tcPr>
            <w:tcW w:w="1336" w:type="dxa"/>
          </w:tcPr>
          <w:p w14:paraId="437519A7"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92</w:t>
            </w:r>
          </w:p>
        </w:tc>
        <w:tc>
          <w:tcPr>
            <w:tcW w:w="1336" w:type="dxa"/>
          </w:tcPr>
          <w:p w14:paraId="7E65EDC9"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55**</w:t>
            </w:r>
          </w:p>
        </w:tc>
      </w:tr>
    </w:tbl>
    <w:p w14:paraId="18F1C2D0" w14:textId="77777777" w:rsidR="00912501" w:rsidRDefault="00912501" w:rsidP="00912501">
      <w:pPr>
        <w:spacing w:after="0" w:line="480" w:lineRule="auto"/>
        <w:rPr>
          <w:rFonts w:ascii="Times New Roman" w:hAnsi="Times New Roman" w:cs="Times New Roman"/>
          <w:sz w:val="24"/>
          <w:szCs w:val="24"/>
        </w:rPr>
      </w:pPr>
    </w:p>
    <w:p w14:paraId="47D64753" w14:textId="77777777" w:rsidR="005E768D" w:rsidRDefault="005E768D" w:rsidP="00D0285D">
      <w:pPr>
        <w:spacing w:after="0" w:line="480" w:lineRule="auto"/>
        <w:rPr>
          <w:rFonts w:ascii="Times New Roman" w:hAnsi="Times New Roman" w:cs="Times New Roman"/>
          <w:b/>
          <w:sz w:val="20"/>
          <w:szCs w:val="24"/>
        </w:rPr>
      </w:pPr>
    </w:p>
    <w:p w14:paraId="146D3221" w14:textId="640FCE5D" w:rsidR="00196292" w:rsidRPr="00912501" w:rsidRDefault="00196292" w:rsidP="00D0285D">
      <w:pPr>
        <w:spacing w:after="0" w:line="480" w:lineRule="auto"/>
        <w:rPr>
          <w:rFonts w:ascii="Times New Roman" w:hAnsi="Times New Roman" w:cs="Times New Roman"/>
          <w:b/>
          <w:sz w:val="20"/>
          <w:szCs w:val="24"/>
        </w:rPr>
      </w:pPr>
      <w:r w:rsidRPr="00912501">
        <w:rPr>
          <w:rFonts w:ascii="Times New Roman" w:hAnsi="Times New Roman" w:cs="Times New Roman"/>
          <w:b/>
          <w:sz w:val="20"/>
          <w:szCs w:val="24"/>
        </w:rPr>
        <w:lastRenderedPageBreak/>
        <w:t>Table 3</w:t>
      </w:r>
      <w:r w:rsidR="00912501" w:rsidRPr="00912501">
        <w:rPr>
          <w:rFonts w:ascii="Times New Roman" w:hAnsi="Times New Roman" w:cs="Times New Roman"/>
          <w:b/>
          <w:sz w:val="20"/>
          <w:szCs w:val="24"/>
        </w:rPr>
        <w:t xml:space="preserve">: </w:t>
      </w:r>
      <w:r w:rsidR="00912501" w:rsidRPr="00C10D9B">
        <w:rPr>
          <w:rFonts w:ascii="Times New Roman" w:hAnsi="Times New Roman" w:cs="Times New Roman"/>
          <w:b/>
          <w:sz w:val="20"/>
          <w:szCs w:val="24"/>
        </w:rPr>
        <w:t>Methods of Statut</w:t>
      </w:r>
      <w:r w:rsidR="00912501">
        <w:rPr>
          <w:rFonts w:ascii="Times New Roman" w:hAnsi="Times New Roman" w:cs="Times New Roman"/>
          <w:b/>
          <w:sz w:val="20"/>
          <w:szCs w:val="24"/>
        </w:rPr>
        <w:t>ory Interpretation, by Administration (Percent)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96292" w14:paraId="411B9B4F" w14:textId="77777777" w:rsidTr="00624959">
        <w:tc>
          <w:tcPr>
            <w:tcW w:w="1335" w:type="dxa"/>
          </w:tcPr>
          <w:p w14:paraId="3C28CEB7" w14:textId="77777777" w:rsidR="00196292" w:rsidRPr="00912501" w:rsidRDefault="00196292" w:rsidP="00D0285D">
            <w:pPr>
              <w:spacing w:after="0" w:line="240" w:lineRule="auto"/>
              <w:rPr>
                <w:rFonts w:ascii="Times New Roman" w:hAnsi="Times New Roman" w:cs="Times New Roman"/>
                <w:sz w:val="20"/>
                <w:szCs w:val="24"/>
              </w:rPr>
            </w:pPr>
          </w:p>
        </w:tc>
        <w:tc>
          <w:tcPr>
            <w:tcW w:w="1335" w:type="dxa"/>
          </w:tcPr>
          <w:p w14:paraId="048F1B33"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General Text</w:t>
            </w:r>
          </w:p>
        </w:tc>
        <w:tc>
          <w:tcPr>
            <w:tcW w:w="1336" w:type="dxa"/>
          </w:tcPr>
          <w:p w14:paraId="01132968"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Primary</w:t>
            </w:r>
          </w:p>
          <w:p w14:paraId="57281EE5"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Text</w:t>
            </w:r>
          </w:p>
        </w:tc>
        <w:tc>
          <w:tcPr>
            <w:tcW w:w="1336" w:type="dxa"/>
          </w:tcPr>
          <w:p w14:paraId="3936262A"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Latin and Language Canons</w:t>
            </w:r>
          </w:p>
        </w:tc>
        <w:tc>
          <w:tcPr>
            <w:tcW w:w="1336" w:type="dxa"/>
          </w:tcPr>
          <w:p w14:paraId="6D62D892"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Legislative History</w:t>
            </w:r>
          </w:p>
        </w:tc>
        <w:tc>
          <w:tcPr>
            <w:tcW w:w="1336" w:type="dxa"/>
          </w:tcPr>
          <w:p w14:paraId="041B458A"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Policy</w:t>
            </w:r>
          </w:p>
        </w:tc>
        <w:tc>
          <w:tcPr>
            <w:tcW w:w="1336" w:type="dxa"/>
          </w:tcPr>
          <w:p w14:paraId="25477336"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Practical</w:t>
            </w:r>
          </w:p>
        </w:tc>
      </w:tr>
      <w:tr w:rsidR="00196292" w14:paraId="0AA04EA8" w14:textId="77777777" w:rsidTr="00624959">
        <w:tc>
          <w:tcPr>
            <w:tcW w:w="1335" w:type="dxa"/>
          </w:tcPr>
          <w:p w14:paraId="5B22047B" w14:textId="7B7EADFC" w:rsidR="00196292" w:rsidRPr="00912501" w:rsidRDefault="003D187A" w:rsidP="00D0285D">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Clinton </w:t>
            </w:r>
          </w:p>
        </w:tc>
        <w:tc>
          <w:tcPr>
            <w:tcW w:w="1335" w:type="dxa"/>
          </w:tcPr>
          <w:p w14:paraId="4312DA45"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47</w:t>
            </w:r>
          </w:p>
        </w:tc>
        <w:tc>
          <w:tcPr>
            <w:tcW w:w="1336" w:type="dxa"/>
          </w:tcPr>
          <w:p w14:paraId="454C5F02" w14:textId="7F33A15B" w:rsidR="00196292" w:rsidRPr="00912501" w:rsidRDefault="00FA7F69"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17</w:t>
            </w:r>
          </w:p>
        </w:tc>
        <w:tc>
          <w:tcPr>
            <w:tcW w:w="1336" w:type="dxa"/>
          </w:tcPr>
          <w:p w14:paraId="1DE5B6AE"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26</w:t>
            </w:r>
          </w:p>
        </w:tc>
        <w:tc>
          <w:tcPr>
            <w:tcW w:w="1336" w:type="dxa"/>
          </w:tcPr>
          <w:p w14:paraId="109DFAB8"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57</w:t>
            </w:r>
          </w:p>
        </w:tc>
        <w:tc>
          <w:tcPr>
            <w:tcW w:w="1336" w:type="dxa"/>
          </w:tcPr>
          <w:p w14:paraId="17A81F97"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85</w:t>
            </w:r>
          </w:p>
        </w:tc>
        <w:tc>
          <w:tcPr>
            <w:tcW w:w="1336" w:type="dxa"/>
          </w:tcPr>
          <w:p w14:paraId="27D0A6EB"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36</w:t>
            </w:r>
          </w:p>
        </w:tc>
      </w:tr>
      <w:tr w:rsidR="00196292" w14:paraId="12BCFBA4" w14:textId="77777777" w:rsidTr="00624959">
        <w:tc>
          <w:tcPr>
            <w:tcW w:w="1335" w:type="dxa"/>
          </w:tcPr>
          <w:p w14:paraId="42F628DF" w14:textId="2698693F"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 xml:space="preserve">Bush II </w:t>
            </w:r>
          </w:p>
        </w:tc>
        <w:tc>
          <w:tcPr>
            <w:tcW w:w="1335" w:type="dxa"/>
          </w:tcPr>
          <w:p w14:paraId="788AC26F"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54</w:t>
            </w:r>
          </w:p>
        </w:tc>
        <w:tc>
          <w:tcPr>
            <w:tcW w:w="1336" w:type="dxa"/>
          </w:tcPr>
          <w:p w14:paraId="7E520AD7" w14:textId="01939C2A" w:rsidR="00196292" w:rsidRPr="00912501" w:rsidRDefault="000A6AAC"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w:t>
            </w:r>
            <w:r w:rsidR="00FA7F69" w:rsidRPr="00912501">
              <w:rPr>
                <w:rFonts w:ascii="Times New Roman" w:hAnsi="Times New Roman" w:cs="Times New Roman"/>
                <w:sz w:val="20"/>
                <w:szCs w:val="24"/>
              </w:rPr>
              <w:t>3</w:t>
            </w:r>
          </w:p>
        </w:tc>
        <w:tc>
          <w:tcPr>
            <w:tcW w:w="1336" w:type="dxa"/>
          </w:tcPr>
          <w:p w14:paraId="2C76D750"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36</w:t>
            </w:r>
          </w:p>
        </w:tc>
        <w:tc>
          <w:tcPr>
            <w:tcW w:w="1336" w:type="dxa"/>
          </w:tcPr>
          <w:p w14:paraId="662EDF9E"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42</w:t>
            </w:r>
          </w:p>
        </w:tc>
        <w:tc>
          <w:tcPr>
            <w:tcW w:w="1336" w:type="dxa"/>
          </w:tcPr>
          <w:p w14:paraId="2F459C26"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87</w:t>
            </w:r>
          </w:p>
        </w:tc>
        <w:tc>
          <w:tcPr>
            <w:tcW w:w="1336" w:type="dxa"/>
          </w:tcPr>
          <w:p w14:paraId="1C8418ED"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44</w:t>
            </w:r>
          </w:p>
        </w:tc>
      </w:tr>
      <w:tr w:rsidR="00196292" w14:paraId="13F1722A" w14:textId="77777777" w:rsidTr="00624959">
        <w:tc>
          <w:tcPr>
            <w:tcW w:w="1335" w:type="dxa"/>
          </w:tcPr>
          <w:p w14:paraId="770E7740" w14:textId="54C66124"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 xml:space="preserve">Obama </w:t>
            </w:r>
          </w:p>
        </w:tc>
        <w:tc>
          <w:tcPr>
            <w:tcW w:w="1335" w:type="dxa"/>
          </w:tcPr>
          <w:p w14:paraId="0101C6B1"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50</w:t>
            </w:r>
          </w:p>
        </w:tc>
        <w:tc>
          <w:tcPr>
            <w:tcW w:w="1336" w:type="dxa"/>
          </w:tcPr>
          <w:p w14:paraId="3C303244" w14:textId="1A7CDA38"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w:t>
            </w:r>
            <w:r w:rsidR="000A6AAC" w:rsidRPr="00912501">
              <w:rPr>
                <w:rFonts w:ascii="Times New Roman" w:hAnsi="Times New Roman" w:cs="Times New Roman"/>
                <w:sz w:val="20"/>
                <w:szCs w:val="24"/>
              </w:rPr>
              <w:t>5</w:t>
            </w:r>
          </w:p>
        </w:tc>
        <w:tc>
          <w:tcPr>
            <w:tcW w:w="1336" w:type="dxa"/>
          </w:tcPr>
          <w:p w14:paraId="20053CDD"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28</w:t>
            </w:r>
          </w:p>
        </w:tc>
        <w:tc>
          <w:tcPr>
            <w:tcW w:w="1336" w:type="dxa"/>
          </w:tcPr>
          <w:p w14:paraId="03FCA748"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40</w:t>
            </w:r>
          </w:p>
        </w:tc>
        <w:tc>
          <w:tcPr>
            <w:tcW w:w="1336" w:type="dxa"/>
          </w:tcPr>
          <w:p w14:paraId="0EAA2317"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85</w:t>
            </w:r>
          </w:p>
        </w:tc>
        <w:tc>
          <w:tcPr>
            <w:tcW w:w="1336" w:type="dxa"/>
          </w:tcPr>
          <w:p w14:paraId="3010EA18"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43</w:t>
            </w:r>
          </w:p>
        </w:tc>
      </w:tr>
    </w:tbl>
    <w:p w14:paraId="20D4D9FE" w14:textId="77777777" w:rsidR="00F45650" w:rsidRDefault="00F45650" w:rsidP="00912501">
      <w:pPr>
        <w:spacing w:after="0" w:line="480" w:lineRule="auto"/>
        <w:rPr>
          <w:rFonts w:ascii="Times New Roman" w:hAnsi="Times New Roman" w:cs="Times New Roman"/>
          <w:sz w:val="24"/>
          <w:szCs w:val="24"/>
        </w:rPr>
      </w:pPr>
    </w:p>
    <w:p w14:paraId="1A1919FB" w14:textId="0363A59B" w:rsidR="00912501" w:rsidRPr="00C10D9B" w:rsidRDefault="00912501" w:rsidP="00912501">
      <w:pPr>
        <w:spacing w:after="0" w:line="480" w:lineRule="auto"/>
        <w:rPr>
          <w:rFonts w:ascii="Times New Roman" w:hAnsi="Times New Roman" w:cs="Times New Roman"/>
          <w:b/>
          <w:sz w:val="20"/>
          <w:szCs w:val="24"/>
        </w:rPr>
      </w:pPr>
      <w:r>
        <w:rPr>
          <w:rFonts w:ascii="Times New Roman" w:hAnsi="Times New Roman" w:cs="Times New Roman"/>
          <w:b/>
          <w:sz w:val="20"/>
          <w:szCs w:val="24"/>
        </w:rPr>
        <w:t>Table 4</w:t>
      </w:r>
      <w:r w:rsidRPr="00C10D9B">
        <w:rPr>
          <w:rFonts w:ascii="Times New Roman" w:hAnsi="Times New Roman" w:cs="Times New Roman"/>
          <w:b/>
          <w:sz w:val="20"/>
          <w:szCs w:val="24"/>
        </w:rPr>
        <w:t>: Methods of Statu</w:t>
      </w:r>
      <w:r>
        <w:rPr>
          <w:rFonts w:ascii="Times New Roman" w:hAnsi="Times New Roman" w:cs="Times New Roman"/>
          <w:b/>
          <w:sz w:val="20"/>
          <w:szCs w:val="24"/>
        </w:rPr>
        <w:t>tory Interpretation, by Majority Party of Panel and Administration</w:t>
      </w:r>
      <w:r w:rsidRPr="00C10D9B">
        <w:rPr>
          <w:rFonts w:ascii="Times New Roman" w:hAnsi="Times New Roman" w:cs="Times New Roman"/>
          <w:b/>
          <w:sz w:val="20"/>
          <w:szCs w:val="24"/>
        </w:rPr>
        <w:t xml:space="preserve"> (Percent)</w:t>
      </w:r>
    </w:p>
    <w:p w14:paraId="3A5A67A7" w14:textId="15F7E2AF" w:rsidR="00196292" w:rsidRPr="00912501" w:rsidRDefault="00196292" w:rsidP="00D0285D">
      <w:pPr>
        <w:spacing w:after="0" w:line="240" w:lineRule="auto"/>
        <w:rPr>
          <w:rFonts w:ascii="Times New Roman" w:hAnsi="Times New Roman" w:cs="Times New Roman"/>
          <w:b/>
          <w:sz w:val="20"/>
          <w:szCs w:val="24"/>
        </w:rPr>
      </w:pPr>
    </w:p>
    <w:tbl>
      <w:tblPr>
        <w:tblStyle w:val="TableGrid"/>
        <w:tblW w:w="0" w:type="auto"/>
        <w:tblInd w:w="113" w:type="dxa"/>
        <w:tblLook w:val="04A0" w:firstRow="1" w:lastRow="0" w:firstColumn="1" w:lastColumn="0" w:noHBand="0" w:noVBand="1"/>
      </w:tblPr>
      <w:tblGrid>
        <w:gridCol w:w="1525"/>
        <w:gridCol w:w="1274"/>
        <w:gridCol w:w="1277"/>
        <w:gridCol w:w="1303"/>
        <w:gridCol w:w="1321"/>
        <w:gridCol w:w="1250"/>
        <w:gridCol w:w="1287"/>
      </w:tblGrid>
      <w:tr w:rsidR="00196292" w:rsidRPr="00912501" w14:paraId="36DF5516" w14:textId="77777777" w:rsidTr="000B650D">
        <w:tc>
          <w:tcPr>
            <w:tcW w:w="1536" w:type="dxa"/>
          </w:tcPr>
          <w:p w14:paraId="394733E8" w14:textId="77777777" w:rsidR="00196292" w:rsidRPr="00912501" w:rsidRDefault="00196292" w:rsidP="00D0285D">
            <w:pPr>
              <w:spacing w:after="0" w:line="240" w:lineRule="auto"/>
              <w:rPr>
                <w:rFonts w:ascii="Times New Roman" w:hAnsi="Times New Roman" w:cs="Times New Roman"/>
                <w:b/>
                <w:sz w:val="20"/>
                <w:szCs w:val="24"/>
              </w:rPr>
            </w:pPr>
          </w:p>
        </w:tc>
        <w:tc>
          <w:tcPr>
            <w:tcW w:w="1293" w:type="dxa"/>
          </w:tcPr>
          <w:p w14:paraId="7B9F14A2"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General Text</w:t>
            </w:r>
          </w:p>
        </w:tc>
        <w:tc>
          <w:tcPr>
            <w:tcW w:w="1295" w:type="dxa"/>
          </w:tcPr>
          <w:p w14:paraId="20E78463"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Primary</w:t>
            </w:r>
          </w:p>
          <w:p w14:paraId="6CCE956A"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Text</w:t>
            </w:r>
          </w:p>
        </w:tc>
        <w:tc>
          <w:tcPr>
            <w:tcW w:w="1316" w:type="dxa"/>
          </w:tcPr>
          <w:p w14:paraId="4C470057"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Latin and Language Canons</w:t>
            </w:r>
          </w:p>
        </w:tc>
        <w:tc>
          <w:tcPr>
            <w:tcW w:w="1330" w:type="dxa"/>
          </w:tcPr>
          <w:p w14:paraId="5AE4D4C2" w14:textId="0636DF95" w:rsidR="00196292" w:rsidRPr="00912501" w:rsidRDefault="00145BC4"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Legislative</w:t>
            </w:r>
            <w:r w:rsidR="00196292" w:rsidRPr="00912501">
              <w:rPr>
                <w:rFonts w:ascii="Times New Roman" w:hAnsi="Times New Roman" w:cs="Times New Roman"/>
                <w:b/>
                <w:sz w:val="20"/>
                <w:szCs w:val="24"/>
              </w:rPr>
              <w:t xml:space="preserve"> History</w:t>
            </w:r>
          </w:p>
        </w:tc>
        <w:tc>
          <w:tcPr>
            <w:tcW w:w="1277" w:type="dxa"/>
          </w:tcPr>
          <w:p w14:paraId="17C2F770"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Policy</w:t>
            </w:r>
          </w:p>
        </w:tc>
        <w:tc>
          <w:tcPr>
            <w:tcW w:w="1303" w:type="dxa"/>
          </w:tcPr>
          <w:p w14:paraId="2D9B38D0" w14:textId="77777777" w:rsidR="00196292" w:rsidRPr="00912501" w:rsidRDefault="00196292"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Practical</w:t>
            </w:r>
          </w:p>
        </w:tc>
      </w:tr>
      <w:tr w:rsidR="00196292" w:rsidRPr="00912501" w14:paraId="37241068" w14:textId="77777777" w:rsidTr="000B650D">
        <w:tc>
          <w:tcPr>
            <w:tcW w:w="1536" w:type="dxa"/>
          </w:tcPr>
          <w:p w14:paraId="30CFF872" w14:textId="36AAA4E0" w:rsidR="00196292" w:rsidRPr="00912501" w:rsidRDefault="003D187A" w:rsidP="00D0285D">
            <w:pPr>
              <w:spacing w:after="0" w:line="240" w:lineRule="auto"/>
              <w:rPr>
                <w:rFonts w:ascii="Times New Roman" w:hAnsi="Times New Roman" w:cs="Times New Roman"/>
                <w:sz w:val="20"/>
                <w:szCs w:val="24"/>
              </w:rPr>
            </w:pPr>
            <w:r>
              <w:rPr>
                <w:rFonts w:ascii="Times New Roman" w:hAnsi="Times New Roman" w:cs="Times New Roman"/>
                <w:sz w:val="20"/>
                <w:szCs w:val="24"/>
              </w:rPr>
              <w:t>Dem.</w:t>
            </w:r>
            <w:r w:rsidR="00196292" w:rsidRPr="00912501">
              <w:rPr>
                <w:rFonts w:ascii="Times New Roman" w:hAnsi="Times New Roman" w:cs="Times New Roman"/>
                <w:sz w:val="20"/>
                <w:szCs w:val="24"/>
              </w:rPr>
              <w:t xml:space="preserve">/Clinton </w:t>
            </w:r>
          </w:p>
        </w:tc>
        <w:tc>
          <w:tcPr>
            <w:tcW w:w="1293" w:type="dxa"/>
          </w:tcPr>
          <w:p w14:paraId="357B03E2"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47</w:t>
            </w:r>
          </w:p>
        </w:tc>
        <w:tc>
          <w:tcPr>
            <w:tcW w:w="1295" w:type="dxa"/>
          </w:tcPr>
          <w:p w14:paraId="4B50C01B" w14:textId="6B6DBC7B" w:rsidR="00196292" w:rsidRPr="00912501" w:rsidRDefault="00FA7F69"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18</w:t>
            </w:r>
          </w:p>
        </w:tc>
        <w:tc>
          <w:tcPr>
            <w:tcW w:w="1316" w:type="dxa"/>
          </w:tcPr>
          <w:p w14:paraId="73E69ED4"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29</w:t>
            </w:r>
          </w:p>
        </w:tc>
        <w:tc>
          <w:tcPr>
            <w:tcW w:w="1330" w:type="dxa"/>
          </w:tcPr>
          <w:p w14:paraId="71680EBE"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53</w:t>
            </w:r>
          </w:p>
        </w:tc>
        <w:tc>
          <w:tcPr>
            <w:tcW w:w="1277" w:type="dxa"/>
          </w:tcPr>
          <w:p w14:paraId="400A863C" w14:textId="77DC6494" w:rsidR="00196292" w:rsidRPr="00912501" w:rsidRDefault="00411239" w:rsidP="00D0285D">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355B02">
              <w:rPr>
                <w:rFonts w:ascii="Times New Roman" w:hAnsi="Times New Roman" w:cs="Times New Roman"/>
                <w:sz w:val="20"/>
                <w:szCs w:val="24"/>
              </w:rPr>
              <w:t xml:space="preserve"> </w:t>
            </w:r>
            <w:r w:rsidR="00196292" w:rsidRPr="00912501">
              <w:rPr>
                <w:rFonts w:ascii="Times New Roman" w:hAnsi="Times New Roman" w:cs="Times New Roman"/>
                <w:sz w:val="20"/>
                <w:szCs w:val="24"/>
              </w:rPr>
              <w:t>84</w:t>
            </w:r>
          </w:p>
        </w:tc>
        <w:tc>
          <w:tcPr>
            <w:tcW w:w="1303" w:type="dxa"/>
          </w:tcPr>
          <w:p w14:paraId="6ECC8555"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35</w:t>
            </w:r>
          </w:p>
        </w:tc>
      </w:tr>
      <w:tr w:rsidR="00196292" w:rsidRPr="00912501" w14:paraId="18B06B2C" w14:textId="77777777" w:rsidTr="000B650D">
        <w:tc>
          <w:tcPr>
            <w:tcW w:w="1536" w:type="dxa"/>
          </w:tcPr>
          <w:p w14:paraId="7D962970" w14:textId="0C72F3D3" w:rsidR="00196292" w:rsidRPr="00912501" w:rsidRDefault="003D187A" w:rsidP="00D0285D">
            <w:pPr>
              <w:spacing w:after="0" w:line="240" w:lineRule="auto"/>
              <w:rPr>
                <w:rFonts w:ascii="Times New Roman" w:hAnsi="Times New Roman" w:cs="Times New Roman"/>
                <w:sz w:val="20"/>
                <w:szCs w:val="24"/>
              </w:rPr>
            </w:pPr>
            <w:r>
              <w:rPr>
                <w:rFonts w:ascii="Times New Roman" w:hAnsi="Times New Roman" w:cs="Times New Roman"/>
                <w:sz w:val="20"/>
                <w:szCs w:val="24"/>
              </w:rPr>
              <w:t>Rep./Clinton</w:t>
            </w:r>
          </w:p>
        </w:tc>
        <w:tc>
          <w:tcPr>
            <w:tcW w:w="1293" w:type="dxa"/>
          </w:tcPr>
          <w:p w14:paraId="04C0AEB8"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44</w:t>
            </w:r>
          </w:p>
        </w:tc>
        <w:tc>
          <w:tcPr>
            <w:tcW w:w="1295" w:type="dxa"/>
          </w:tcPr>
          <w:p w14:paraId="6EFB743A" w14:textId="2E024A2E" w:rsidR="00196292" w:rsidRPr="00912501" w:rsidRDefault="00FA7F69"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11</w:t>
            </w:r>
          </w:p>
        </w:tc>
        <w:tc>
          <w:tcPr>
            <w:tcW w:w="1316" w:type="dxa"/>
          </w:tcPr>
          <w:p w14:paraId="3FA6B56E"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11</w:t>
            </w:r>
          </w:p>
        </w:tc>
        <w:tc>
          <w:tcPr>
            <w:tcW w:w="1330" w:type="dxa"/>
          </w:tcPr>
          <w:p w14:paraId="798B0736"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78*</w:t>
            </w:r>
          </w:p>
        </w:tc>
        <w:tc>
          <w:tcPr>
            <w:tcW w:w="1277" w:type="dxa"/>
          </w:tcPr>
          <w:p w14:paraId="65A0A30B"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89</w:t>
            </w:r>
          </w:p>
        </w:tc>
        <w:tc>
          <w:tcPr>
            <w:tcW w:w="1303" w:type="dxa"/>
          </w:tcPr>
          <w:p w14:paraId="5E9BC3B9"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44</w:t>
            </w:r>
          </w:p>
        </w:tc>
      </w:tr>
      <w:tr w:rsidR="00196292" w:rsidRPr="00912501" w14:paraId="0E150CF1" w14:textId="77777777" w:rsidTr="000B650D">
        <w:tc>
          <w:tcPr>
            <w:tcW w:w="1536" w:type="dxa"/>
          </w:tcPr>
          <w:p w14:paraId="430C3E17" w14:textId="158B5C46"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 xml:space="preserve">Dem. </w:t>
            </w:r>
            <w:r w:rsidR="003D187A">
              <w:rPr>
                <w:rFonts w:ascii="Times New Roman" w:hAnsi="Times New Roman" w:cs="Times New Roman"/>
                <w:sz w:val="20"/>
                <w:szCs w:val="24"/>
              </w:rPr>
              <w:t>/Bush II</w:t>
            </w:r>
          </w:p>
        </w:tc>
        <w:tc>
          <w:tcPr>
            <w:tcW w:w="1293" w:type="dxa"/>
          </w:tcPr>
          <w:p w14:paraId="47B6E0A8"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67</w:t>
            </w:r>
          </w:p>
        </w:tc>
        <w:tc>
          <w:tcPr>
            <w:tcW w:w="1295" w:type="dxa"/>
          </w:tcPr>
          <w:p w14:paraId="4DD560E0" w14:textId="266448B1" w:rsidR="00196292" w:rsidRPr="00912501" w:rsidRDefault="00FA7F69"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27</w:t>
            </w:r>
          </w:p>
        </w:tc>
        <w:tc>
          <w:tcPr>
            <w:tcW w:w="1316" w:type="dxa"/>
          </w:tcPr>
          <w:p w14:paraId="0DF25508"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33</w:t>
            </w:r>
          </w:p>
        </w:tc>
        <w:tc>
          <w:tcPr>
            <w:tcW w:w="1330" w:type="dxa"/>
          </w:tcPr>
          <w:p w14:paraId="24B4DDB6"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40</w:t>
            </w:r>
          </w:p>
        </w:tc>
        <w:tc>
          <w:tcPr>
            <w:tcW w:w="1277" w:type="dxa"/>
          </w:tcPr>
          <w:p w14:paraId="49AA65BC"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80</w:t>
            </w:r>
          </w:p>
        </w:tc>
        <w:tc>
          <w:tcPr>
            <w:tcW w:w="1303" w:type="dxa"/>
          </w:tcPr>
          <w:p w14:paraId="290DB63D"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20*</w:t>
            </w:r>
          </w:p>
        </w:tc>
      </w:tr>
      <w:tr w:rsidR="00196292" w:rsidRPr="00912501" w14:paraId="2379751F" w14:textId="77777777" w:rsidTr="000B650D">
        <w:tc>
          <w:tcPr>
            <w:tcW w:w="1536" w:type="dxa"/>
          </w:tcPr>
          <w:p w14:paraId="48CA64DA" w14:textId="45253007" w:rsidR="00196292" w:rsidRPr="00912501" w:rsidRDefault="003D187A" w:rsidP="00D0285D">
            <w:pPr>
              <w:spacing w:after="0" w:line="240" w:lineRule="auto"/>
              <w:rPr>
                <w:rFonts w:ascii="Times New Roman" w:hAnsi="Times New Roman" w:cs="Times New Roman"/>
                <w:sz w:val="20"/>
                <w:szCs w:val="24"/>
              </w:rPr>
            </w:pPr>
            <w:r>
              <w:rPr>
                <w:rFonts w:ascii="Times New Roman" w:hAnsi="Times New Roman" w:cs="Times New Roman"/>
                <w:sz w:val="20"/>
                <w:szCs w:val="24"/>
              </w:rPr>
              <w:t>Rep./Bush II</w:t>
            </w:r>
          </w:p>
        </w:tc>
        <w:tc>
          <w:tcPr>
            <w:tcW w:w="1293" w:type="dxa"/>
          </w:tcPr>
          <w:p w14:paraId="178BCED9"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46</w:t>
            </w:r>
          </w:p>
        </w:tc>
        <w:tc>
          <w:tcPr>
            <w:tcW w:w="1295" w:type="dxa"/>
          </w:tcPr>
          <w:p w14:paraId="698B1187" w14:textId="63974DEC"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w:t>
            </w:r>
            <w:r w:rsidR="00FA7F69" w:rsidRPr="00912501">
              <w:rPr>
                <w:rFonts w:ascii="Times New Roman" w:hAnsi="Times New Roman" w:cs="Times New Roman"/>
                <w:sz w:val="20"/>
                <w:szCs w:val="24"/>
              </w:rPr>
              <w:t>1</w:t>
            </w:r>
          </w:p>
        </w:tc>
        <w:tc>
          <w:tcPr>
            <w:tcW w:w="1316" w:type="dxa"/>
          </w:tcPr>
          <w:p w14:paraId="172C58D0"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38</w:t>
            </w:r>
          </w:p>
        </w:tc>
        <w:tc>
          <w:tcPr>
            <w:tcW w:w="1330" w:type="dxa"/>
          </w:tcPr>
          <w:p w14:paraId="1B57E534"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43*</w:t>
            </w:r>
          </w:p>
        </w:tc>
        <w:tc>
          <w:tcPr>
            <w:tcW w:w="1277" w:type="dxa"/>
          </w:tcPr>
          <w:p w14:paraId="1600B3DD"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92</w:t>
            </w:r>
          </w:p>
        </w:tc>
        <w:tc>
          <w:tcPr>
            <w:tcW w:w="1303" w:type="dxa"/>
          </w:tcPr>
          <w:p w14:paraId="3400F310"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59*</w:t>
            </w:r>
          </w:p>
        </w:tc>
      </w:tr>
      <w:tr w:rsidR="00196292" w:rsidRPr="00912501" w14:paraId="0B3A4EC3" w14:textId="77777777" w:rsidTr="000B650D">
        <w:tc>
          <w:tcPr>
            <w:tcW w:w="1536" w:type="dxa"/>
          </w:tcPr>
          <w:p w14:paraId="058EE49B" w14:textId="512F2530" w:rsidR="00196292" w:rsidRPr="00912501" w:rsidRDefault="003D187A" w:rsidP="00D0285D">
            <w:pPr>
              <w:spacing w:after="0" w:line="240" w:lineRule="auto"/>
              <w:rPr>
                <w:rFonts w:ascii="Times New Roman" w:hAnsi="Times New Roman" w:cs="Times New Roman"/>
                <w:sz w:val="20"/>
                <w:szCs w:val="24"/>
              </w:rPr>
            </w:pPr>
            <w:r>
              <w:rPr>
                <w:rFonts w:ascii="Times New Roman" w:hAnsi="Times New Roman" w:cs="Times New Roman"/>
                <w:sz w:val="20"/>
                <w:szCs w:val="24"/>
              </w:rPr>
              <w:t>Dem.</w:t>
            </w:r>
            <w:r w:rsidR="00A162A7">
              <w:rPr>
                <w:rFonts w:ascii="Times New Roman" w:hAnsi="Times New Roman" w:cs="Times New Roman"/>
                <w:sz w:val="20"/>
                <w:szCs w:val="24"/>
              </w:rPr>
              <w:t>/Obama</w:t>
            </w:r>
          </w:p>
        </w:tc>
        <w:tc>
          <w:tcPr>
            <w:tcW w:w="1293" w:type="dxa"/>
          </w:tcPr>
          <w:p w14:paraId="55E4C694"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50</w:t>
            </w:r>
          </w:p>
        </w:tc>
        <w:tc>
          <w:tcPr>
            <w:tcW w:w="1295" w:type="dxa"/>
          </w:tcPr>
          <w:p w14:paraId="44A3056A" w14:textId="4C0E8E3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w:t>
            </w:r>
            <w:r w:rsidR="000A6AAC" w:rsidRPr="00912501">
              <w:rPr>
                <w:rFonts w:ascii="Times New Roman" w:hAnsi="Times New Roman" w:cs="Times New Roman"/>
                <w:sz w:val="20"/>
                <w:szCs w:val="24"/>
              </w:rPr>
              <w:t>5</w:t>
            </w:r>
          </w:p>
        </w:tc>
        <w:tc>
          <w:tcPr>
            <w:tcW w:w="1316" w:type="dxa"/>
          </w:tcPr>
          <w:p w14:paraId="3D1391B1"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28</w:t>
            </w:r>
          </w:p>
        </w:tc>
        <w:tc>
          <w:tcPr>
            <w:tcW w:w="1330" w:type="dxa"/>
          </w:tcPr>
          <w:p w14:paraId="32C91981"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40</w:t>
            </w:r>
          </w:p>
        </w:tc>
        <w:tc>
          <w:tcPr>
            <w:tcW w:w="1277" w:type="dxa"/>
          </w:tcPr>
          <w:p w14:paraId="67E43A69"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85</w:t>
            </w:r>
          </w:p>
        </w:tc>
        <w:tc>
          <w:tcPr>
            <w:tcW w:w="1303" w:type="dxa"/>
          </w:tcPr>
          <w:p w14:paraId="39A1B219" w14:textId="77777777" w:rsidR="00196292" w:rsidRPr="00912501" w:rsidRDefault="00196292"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43</w:t>
            </w:r>
          </w:p>
        </w:tc>
      </w:tr>
    </w:tbl>
    <w:p w14:paraId="00195507" w14:textId="77777777" w:rsidR="00196292" w:rsidRDefault="00196292" w:rsidP="00D0285D">
      <w:pPr>
        <w:spacing w:after="0" w:line="240" w:lineRule="auto"/>
        <w:rPr>
          <w:rFonts w:ascii="Times New Roman" w:hAnsi="Times New Roman" w:cs="Times New Roman"/>
          <w:sz w:val="24"/>
          <w:szCs w:val="24"/>
        </w:rPr>
      </w:pPr>
    </w:p>
    <w:p w14:paraId="4DE1722A" w14:textId="5CE59610" w:rsidR="00D0285D" w:rsidRPr="00D0285D" w:rsidRDefault="00D0285D" w:rsidP="00D0285D">
      <w:pPr>
        <w:spacing w:after="0" w:line="240" w:lineRule="auto"/>
        <w:rPr>
          <w:rFonts w:ascii="Times New Roman" w:hAnsi="Times New Roman" w:cs="Times New Roman"/>
          <w:b/>
          <w:sz w:val="24"/>
          <w:szCs w:val="24"/>
        </w:rPr>
      </w:pPr>
      <w:r w:rsidRPr="00D0285D">
        <w:rPr>
          <w:rFonts w:ascii="Times New Roman" w:hAnsi="Times New Roman" w:cs="Times New Roman"/>
          <w:b/>
          <w:sz w:val="24"/>
          <w:szCs w:val="24"/>
        </w:rPr>
        <w:t>Figure 2</w:t>
      </w:r>
    </w:p>
    <w:p w14:paraId="5E405BEE" w14:textId="6613A834" w:rsidR="00075E60" w:rsidRDefault="00075E60" w:rsidP="007903E3">
      <w:pPr>
        <w:spacing w:after="0" w:line="480" w:lineRule="auto"/>
        <w:ind w:firstLine="720"/>
        <w:rPr>
          <w:rFonts w:ascii="Times New Roman" w:hAnsi="Times New Roman" w:cs="Times New Roman"/>
          <w:sz w:val="24"/>
          <w:szCs w:val="24"/>
        </w:rPr>
      </w:pPr>
      <w:r w:rsidRPr="00603C43">
        <w:rPr>
          <w:noProof/>
        </w:rPr>
        <w:drawing>
          <wp:inline distT="0" distB="0" distL="0" distR="0" wp14:anchorId="1B28BE91" wp14:editId="052374D4">
            <wp:extent cx="5118100" cy="3746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21F082F7" w14:textId="27F44EFE" w:rsidR="003D187A" w:rsidRDefault="007D1CF1" w:rsidP="003D18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5 and Figure 3 </w:t>
      </w:r>
      <w:r w:rsidR="0082360C">
        <w:rPr>
          <w:rFonts w:ascii="Times New Roman" w:hAnsi="Times New Roman" w:cs="Times New Roman"/>
          <w:sz w:val="24"/>
          <w:szCs w:val="24"/>
        </w:rPr>
        <w:t>turn</w:t>
      </w:r>
      <w:r w:rsidR="0005091B">
        <w:rPr>
          <w:rFonts w:ascii="Times New Roman" w:hAnsi="Times New Roman" w:cs="Times New Roman"/>
          <w:sz w:val="24"/>
          <w:szCs w:val="24"/>
        </w:rPr>
        <w:t xml:space="preserve"> to detailing what was the </w:t>
      </w:r>
      <w:r w:rsidR="0082360C">
        <w:rPr>
          <w:rFonts w:ascii="Times New Roman" w:hAnsi="Times New Roman" w:cs="Times New Roman"/>
          <w:sz w:val="24"/>
          <w:szCs w:val="24"/>
        </w:rPr>
        <w:t xml:space="preserve">single </w:t>
      </w:r>
      <w:r w:rsidR="0005091B" w:rsidRPr="0082360C">
        <w:rPr>
          <w:rFonts w:ascii="Times New Roman" w:hAnsi="Times New Roman" w:cs="Times New Roman"/>
          <w:i/>
          <w:sz w:val="24"/>
          <w:szCs w:val="24"/>
        </w:rPr>
        <w:t>primary</w:t>
      </w:r>
      <w:r w:rsidR="0005091B">
        <w:rPr>
          <w:rFonts w:ascii="Times New Roman" w:hAnsi="Times New Roman" w:cs="Times New Roman"/>
          <w:sz w:val="24"/>
          <w:szCs w:val="24"/>
        </w:rPr>
        <w:t xml:space="preserve"> method of i</w:t>
      </w:r>
      <w:r w:rsidR="00A13E2D">
        <w:rPr>
          <w:rFonts w:ascii="Times New Roman" w:hAnsi="Times New Roman" w:cs="Times New Roman"/>
          <w:sz w:val="24"/>
          <w:szCs w:val="24"/>
        </w:rPr>
        <w:t xml:space="preserve">nterpretation in a given case. </w:t>
      </w:r>
      <w:r w:rsidR="0005091B">
        <w:rPr>
          <w:rFonts w:ascii="Times New Roman" w:hAnsi="Times New Roman" w:cs="Times New Roman"/>
          <w:sz w:val="24"/>
          <w:szCs w:val="24"/>
        </w:rPr>
        <w:t xml:space="preserve">I assigned each case to one of three groups: 1) Primarily Textual; </w:t>
      </w:r>
      <w:r w:rsidR="0005091B">
        <w:rPr>
          <w:rFonts w:ascii="Times New Roman" w:hAnsi="Times New Roman" w:cs="Times New Roman"/>
          <w:sz w:val="24"/>
          <w:szCs w:val="24"/>
        </w:rPr>
        <w:lastRenderedPageBreak/>
        <w:t>2) Te</w:t>
      </w:r>
      <w:r w:rsidR="0082360C">
        <w:rPr>
          <w:rFonts w:ascii="Times New Roman" w:hAnsi="Times New Roman" w:cs="Times New Roman"/>
          <w:sz w:val="24"/>
          <w:szCs w:val="24"/>
        </w:rPr>
        <w:t>xtual/Legislative History+ (cases which may or may not also include considerations of policy or practical considerations but which rely first and foremost on the text and legislative history)</w:t>
      </w:r>
      <w:r w:rsidR="0005091B">
        <w:rPr>
          <w:rFonts w:ascii="Times New Roman" w:hAnsi="Times New Roman" w:cs="Times New Roman"/>
          <w:sz w:val="24"/>
          <w:szCs w:val="24"/>
        </w:rPr>
        <w:t xml:space="preserve">; and 3) Caselaw/Policy. </w:t>
      </w:r>
      <w:r w:rsidR="000A6AAC">
        <w:rPr>
          <w:rFonts w:ascii="Times New Roman" w:hAnsi="Times New Roman" w:cs="Times New Roman"/>
          <w:sz w:val="24"/>
          <w:szCs w:val="24"/>
        </w:rPr>
        <w:t>I characterized a case as primarily textual as opposed to the second category of tex</w:t>
      </w:r>
      <w:r w:rsidR="009118FB">
        <w:rPr>
          <w:rFonts w:ascii="Times New Roman" w:hAnsi="Times New Roman" w:cs="Times New Roman"/>
          <w:sz w:val="24"/>
          <w:szCs w:val="24"/>
        </w:rPr>
        <w:t>tual/legislative history/policy</w:t>
      </w:r>
      <w:r w:rsidR="000A6AAC">
        <w:rPr>
          <w:rFonts w:ascii="Times New Roman" w:hAnsi="Times New Roman" w:cs="Times New Roman"/>
          <w:sz w:val="24"/>
          <w:szCs w:val="24"/>
        </w:rPr>
        <w:t xml:space="preserve"> if the Board found the text to be dispositive of the issue in question. In most of these cases, the Board still referred to legislative history, policy and/or practical considerations, but the ref</w:t>
      </w:r>
      <w:r w:rsidR="0031485C">
        <w:rPr>
          <w:rFonts w:ascii="Times New Roman" w:hAnsi="Times New Roman" w:cs="Times New Roman"/>
          <w:sz w:val="24"/>
          <w:szCs w:val="24"/>
        </w:rPr>
        <w:t xml:space="preserve">erences to these methods was </w:t>
      </w:r>
      <w:r w:rsidR="000A6AAC">
        <w:rPr>
          <w:rFonts w:ascii="Times New Roman" w:hAnsi="Times New Roman" w:cs="Times New Roman"/>
          <w:sz w:val="24"/>
          <w:szCs w:val="24"/>
        </w:rPr>
        <w:t>supplementary rather than</w:t>
      </w:r>
      <w:r w:rsidR="0031485C">
        <w:rPr>
          <w:rFonts w:ascii="Times New Roman" w:hAnsi="Times New Roman" w:cs="Times New Roman"/>
          <w:sz w:val="24"/>
          <w:szCs w:val="24"/>
        </w:rPr>
        <w:t xml:space="preserve"> necessitated as part of the statutory interpretation.</w:t>
      </w:r>
      <w:r w:rsidR="000A6AAC">
        <w:rPr>
          <w:rFonts w:ascii="Times New Roman" w:hAnsi="Times New Roman" w:cs="Times New Roman"/>
          <w:sz w:val="24"/>
          <w:szCs w:val="24"/>
        </w:rPr>
        <w:t xml:space="preserve"> </w:t>
      </w:r>
      <w:r w:rsidR="0005091B">
        <w:rPr>
          <w:rFonts w:ascii="Times New Roman" w:hAnsi="Times New Roman" w:cs="Times New Roman"/>
          <w:sz w:val="24"/>
          <w:szCs w:val="24"/>
        </w:rPr>
        <w:t>In all, the Board decides most cases using exclusively a caselaw/policy-</w:t>
      </w:r>
      <w:r w:rsidR="00A863AC">
        <w:rPr>
          <w:rFonts w:ascii="Times New Roman" w:hAnsi="Times New Roman" w:cs="Times New Roman"/>
          <w:sz w:val="24"/>
          <w:szCs w:val="24"/>
        </w:rPr>
        <w:t>based approach (54</w:t>
      </w:r>
      <w:r w:rsidR="001F2511">
        <w:rPr>
          <w:rFonts w:ascii="Times New Roman" w:hAnsi="Times New Roman" w:cs="Times New Roman"/>
          <w:sz w:val="24"/>
          <w:szCs w:val="24"/>
        </w:rPr>
        <w:t>%), a result that may</w:t>
      </w:r>
      <w:r w:rsidR="0005091B">
        <w:rPr>
          <w:rFonts w:ascii="Times New Roman" w:hAnsi="Times New Roman" w:cs="Times New Roman"/>
          <w:sz w:val="24"/>
          <w:szCs w:val="24"/>
        </w:rPr>
        <w:t xml:space="preserve"> be even underinclusive to the extent that the database did not capture every instance of statutory inte</w:t>
      </w:r>
      <w:r w:rsidR="00A863AC">
        <w:rPr>
          <w:rFonts w:ascii="Times New Roman" w:hAnsi="Times New Roman" w:cs="Times New Roman"/>
          <w:sz w:val="24"/>
          <w:szCs w:val="24"/>
        </w:rPr>
        <w:t>rpretation. The Board decides 20% and 26</w:t>
      </w:r>
      <w:r w:rsidR="0005091B">
        <w:rPr>
          <w:rFonts w:ascii="Times New Roman" w:hAnsi="Times New Roman" w:cs="Times New Roman"/>
          <w:sz w:val="24"/>
          <w:szCs w:val="24"/>
        </w:rPr>
        <w:t>% of its cases respectively, using a primarily text-based or text/legislative history/policy based approach.</w:t>
      </w:r>
      <w:r w:rsidR="002363EE">
        <w:rPr>
          <w:rFonts w:ascii="Times New Roman" w:hAnsi="Times New Roman" w:cs="Times New Roman"/>
          <w:sz w:val="24"/>
          <w:szCs w:val="24"/>
        </w:rPr>
        <w:t xml:space="preserve"> </w:t>
      </w:r>
      <w:r w:rsidR="004534ED">
        <w:rPr>
          <w:rFonts w:ascii="Times New Roman" w:hAnsi="Times New Roman" w:cs="Times New Roman"/>
          <w:sz w:val="24"/>
          <w:szCs w:val="24"/>
        </w:rPr>
        <w:t xml:space="preserve">Table 6 and Figure 4 </w:t>
      </w:r>
      <w:r w:rsidR="008E10BB">
        <w:rPr>
          <w:rFonts w:ascii="Times New Roman" w:hAnsi="Times New Roman" w:cs="Times New Roman"/>
          <w:sz w:val="24"/>
          <w:szCs w:val="24"/>
        </w:rPr>
        <w:t>breaks down the data by partisan composition of the panel, showing that the breakdowns are almost identical by dominant party</w:t>
      </w:r>
      <w:r w:rsidR="003D187A">
        <w:rPr>
          <w:rFonts w:ascii="Times New Roman" w:hAnsi="Times New Roman" w:cs="Times New Roman"/>
          <w:sz w:val="24"/>
          <w:szCs w:val="24"/>
        </w:rPr>
        <w:t xml:space="preserve"> of the panel hearing the case</w:t>
      </w:r>
    </w:p>
    <w:p w14:paraId="7DDE2B52" w14:textId="6639A715" w:rsidR="007D1CF1" w:rsidRPr="003D187A" w:rsidRDefault="007D1CF1" w:rsidP="003D187A">
      <w:pPr>
        <w:spacing w:after="0" w:line="480" w:lineRule="auto"/>
        <w:rPr>
          <w:rFonts w:ascii="Times New Roman" w:hAnsi="Times New Roman" w:cs="Times New Roman"/>
          <w:sz w:val="24"/>
          <w:szCs w:val="24"/>
        </w:rPr>
      </w:pPr>
      <w:r w:rsidRPr="00912501">
        <w:rPr>
          <w:rFonts w:ascii="Times New Roman" w:hAnsi="Times New Roman" w:cs="Times New Roman"/>
          <w:b/>
          <w:sz w:val="20"/>
          <w:szCs w:val="24"/>
        </w:rPr>
        <w:t>Table 5</w:t>
      </w:r>
      <w:r w:rsidR="00912501" w:rsidRPr="00912501">
        <w:rPr>
          <w:rFonts w:ascii="Times New Roman" w:hAnsi="Times New Roman" w:cs="Times New Roman"/>
          <w:b/>
          <w:sz w:val="20"/>
          <w:szCs w:val="24"/>
        </w:rPr>
        <w:t>: Primary Method of Statutory Interpretation</w:t>
      </w:r>
      <w:r w:rsidR="003D187A">
        <w:rPr>
          <w:rFonts w:ascii="Times New Roman" w:hAnsi="Times New Roman" w:cs="Times New Roman"/>
          <w:b/>
          <w:sz w:val="20"/>
          <w:szCs w:val="24"/>
        </w:rPr>
        <w:t xml:space="preserve">, by Party of Majority Panel </w:t>
      </w:r>
      <w:r w:rsidR="00912501" w:rsidRPr="00912501">
        <w:rPr>
          <w:rFonts w:ascii="Times New Roman" w:hAnsi="Times New Roman" w:cs="Times New Roman"/>
          <w:b/>
          <w:sz w:val="20"/>
          <w:szCs w:val="24"/>
        </w:rPr>
        <w:t>(Percent)</w:t>
      </w:r>
    </w:p>
    <w:tbl>
      <w:tblPr>
        <w:tblStyle w:val="TableGrid"/>
        <w:tblW w:w="0" w:type="auto"/>
        <w:tblLook w:val="04A0" w:firstRow="1" w:lastRow="0" w:firstColumn="1" w:lastColumn="0" w:noHBand="0" w:noVBand="1"/>
      </w:tblPr>
      <w:tblGrid>
        <w:gridCol w:w="2337"/>
        <w:gridCol w:w="2337"/>
        <w:gridCol w:w="2338"/>
        <w:gridCol w:w="2338"/>
      </w:tblGrid>
      <w:tr w:rsidR="008E10BB" w:rsidRPr="00912501" w14:paraId="43495EF9" w14:textId="77777777" w:rsidTr="008E10BB">
        <w:tc>
          <w:tcPr>
            <w:tcW w:w="2337" w:type="dxa"/>
          </w:tcPr>
          <w:p w14:paraId="0036D173" w14:textId="77777777" w:rsidR="008E10BB" w:rsidRPr="00912501" w:rsidRDefault="008E10BB" w:rsidP="00D0285D">
            <w:pPr>
              <w:spacing w:after="0" w:line="240" w:lineRule="auto"/>
              <w:rPr>
                <w:rFonts w:ascii="Times New Roman" w:hAnsi="Times New Roman" w:cs="Times New Roman"/>
                <w:sz w:val="20"/>
                <w:szCs w:val="24"/>
              </w:rPr>
            </w:pPr>
          </w:p>
        </w:tc>
        <w:tc>
          <w:tcPr>
            <w:tcW w:w="2337" w:type="dxa"/>
          </w:tcPr>
          <w:p w14:paraId="520DD2F6" w14:textId="14A11F77" w:rsidR="008E10BB" w:rsidRPr="00912501" w:rsidRDefault="008E10BB"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Primarily Text</w:t>
            </w:r>
          </w:p>
        </w:tc>
        <w:tc>
          <w:tcPr>
            <w:tcW w:w="2338" w:type="dxa"/>
          </w:tcPr>
          <w:p w14:paraId="77630B52" w14:textId="0440CE55" w:rsidR="008E10BB" w:rsidRPr="00912501" w:rsidRDefault="008E10BB"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Text/Legislative History +</w:t>
            </w:r>
          </w:p>
        </w:tc>
        <w:tc>
          <w:tcPr>
            <w:tcW w:w="2338" w:type="dxa"/>
          </w:tcPr>
          <w:p w14:paraId="2DB63CDB" w14:textId="45384BE6" w:rsidR="008E10BB" w:rsidRPr="00912501" w:rsidRDefault="008E10BB"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Policy/Caselaw</w:t>
            </w:r>
          </w:p>
        </w:tc>
      </w:tr>
      <w:tr w:rsidR="008E10BB" w:rsidRPr="00912501" w14:paraId="656F9CD3" w14:textId="77777777" w:rsidTr="008E10BB">
        <w:tc>
          <w:tcPr>
            <w:tcW w:w="2337" w:type="dxa"/>
          </w:tcPr>
          <w:p w14:paraId="70CD3FE2" w14:textId="1BC4992A" w:rsidR="008E10BB" w:rsidRPr="00912501" w:rsidRDefault="008E10BB" w:rsidP="00D0285D">
            <w:pPr>
              <w:spacing w:after="0" w:line="240" w:lineRule="auto"/>
              <w:rPr>
                <w:rFonts w:ascii="Times New Roman" w:hAnsi="Times New Roman" w:cs="Times New Roman"/>
                <w:b/>
                <w:sz w:val="20"/>
                <w:szCs w:val="24"/>
              </w:rPr>
            </w:pPr>
            <w:r w:rsidRPr="00912501">
              <w:rPr>
                <w:rFonts w:ascii="Times New Roman" w:hAnsi="Times New Roman" w:cs="Times New Roman"/>
                <w:b/>
                <w:sz w:val="20"/>
                <w:szCs w:val="24"/>
              </w:rPr>
              <w:t>All Cases</w:t>
            </w:r>
          </w:p>
        </w:tc>
        <w:tc>
          <w:tcPr>
            <w:tcW w:w="2337" w:type="dxa"/>
          </w:tcPr>
          <w:p w14:paraId="0D18C19B" w14:textId="2BA954BF"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20</w:t>
            </w:r>
          </w:p>
        </w:tc>
        <w:tc>
          <w:tcPr>
            <w:tcW w:w="2338" w:type="dxa"/>
          </w:tcPr>
          <w:p w14:paraId="09C81E92" w14:textId="1A24F848"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26</w:t>
            </w:r>
          </w:p>
        </w:tc>
        <w:tc>
          <w:tcPr>
            <w:tcW w:w="2338" w:type="dxa"/>
          </w:tcPr>
          <w:p w14:paraId="5D49708C" w14:textId="1755B448"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54</w:t>
            </w:r>
          </w:p>
        </w:tc>
      </w:tr>
      <w:tr w:rsidR="008E10BB" w:rsidRPr="00912501" w14:paraId="60576A97" w14:textId="77777777" w:rsidTr="008E10BB">
        <w:tc>
          <w:tcPr>
            <w:tcW w:w="2337" w:type="dxa"/>
          </w:tcPr>
          <w:p w14:paraId="05E02F0F" w14:textId="0244E7EB" w:rsidR="008E10BB" w:rsidRPr="00912501" w:rsidRDefault="003D187A" w:rsidP="00D0285D">
            <w:pPr>
              <w:spacing w:after="0" w:line="240" w:lineRule="auto"/>
              <w:rPr>
                <w:rFonts w:ascii="Times New Roman" w:hAnsi="Times New Roman" w:cs="Times New Roman"/>
                <w:b/>
                <w:sz w:val="20"/>
                <w:szCs w:val="24"/>
              </w:rPr>
            </w:pPr>
            <w:r>
              <w:rPr>
                <w:rFonts w:ascii="Times New Roman" w:hAnsi="Times New Roman" w:cs="Times New Roman"/>
                <w:b/>
                <w:sz w:val="20"/>
                <w:szCs w:val="24"/>
              </w:rPr>
              <w:t>Democrat</w:t>
            </w:r>
          </w:p>
        </w:tc>
        <w:tc>
          <w:tcPr>
            <w:tcW w:w="2337" w:type="dxa"/>
          </w:tcPr>
          <w:p w14:paraId="047A1537" w14:textId="66D6BBDE"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20</w:t>
            </w:r>
          </w:p>
        </w:tc>
        <w:tc>
          <w:tcPr>
            <w:tcW w:w="2338" w:type="dxa"/>
          </w:tcPr>
          <w:p w14:paraId="5A8C8C63" w14:textId="56F214AE"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25</w:t>
            </w:r>
          </w:p>
        </w:tc>
        <w:tc>
          <w:tcPr>
            <w:tcW w:w="2338" w:type="dxa"/>
          </w:tcPr>
          <w:p w14:paraId="5CF28EA6" w14:textId="201039AB"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54</w:t>
            </w:r>
          </w:p>
        </w:tc>
      </w:tr>
      <w:tr w:rsidR="008E10BB" w:rsidRPr="00912501" w14:paraId="5360419D" w14:textId="77777777" w:rsidTr="008E10BB">
        <w:tc>
          <w:tcPr>
            <w:tcW w:w="2337" w:type="dxa"/>
          </w:tcPr>
          <w:p w14:paraId="4CC26290" w14:textId="45B43702" w:rsidR="008E10BB" w:rsidRPr="00912501" w:rsidRDefault="003D187A" w:rsidP="00D0285D">
            <w:pPr>
              <w:spacing w:after="0" w:line="240" w:lineRule="auto"/>
              <w:rPr>
                <w:rFonts w:ascii="Times New Roman" w:hAnsi="Times New Roman" w:cs="Times New Roman"/>
                <w:b/>
                <w:sz w:val="20"/>
                <w:szCs w:val="24"/>
              </w:rPr>
            </w:pPr>
            <w:r>
              <w:rPr>
                <w:rFonts w:ascii="Times New Roman" w:hAnsi="Times New Roman" w:cs="Times New Roman"/>
                <w:b/>
                <w:sz w:val="20"/>
                <w:szCs w:val="24"/>
              </w:rPr>
              <w:t>Republican</w:t>
            </w:r>
          </w:p>
        </w:tc>
        <w:tc>
          <w:tcPr>
            <w:tcW w:w="2337" w:type="dxa"/>
          </w:tcPr>
          <w:p w14:paraId="584C042E" w14:textId="29812286"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18</w:t>
            </w:r>
          </w:p>
        </w:tc>
        <w:tc>
          <w:tcPr>
            <w:tcW w:w="2338" w:type="dxa"/>
          </w:tcPr>
          <w:p w14:paraId="774938B1" w14:textId="5A163A81"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30</w:t>
            </w:r>
          </w:p>
        </w:tc>
        <w:tc>
          <w:tcPr>
            <w:tcW w:w="2338" w:type="dxa"/>
          </w:tcPr>
          <w:p w14:paraId="4F10D24A" w14:textId="21CF602D" w:rsidR="008E10BB" w:rsidRPr="00912501" w:rsidRDefault="008E10BB" w:rsidP="00D0285D">
            <w:pPr>
              <w:spacing w:after="0" w:line="240" w:lineRule="auto"/>
              <w:rPr>
                <w:rFonts w:ascii="Times New Roman" w:hAnsi="Times New Roman" w:cs="Times New Roman"/>
                <w:sz w:val="20"/>
                <w:szCs w:val="24"/>
              </w:rPr>
            </w:pPr>
            <w:r w:rsidRPr="00912501">
              <w:rPr>
                <w:rFonts w:ascii="Times New Roman" w:hAnsi="Times New Roman" w:cs="Times New Roman"/>
                <w:sz w:val="20"/>
                <w:szCs w:val="24"/>
              </w:rPr>
              <w:t>51</w:t>
            </w:r>
          </w:p>
        </w:tc>
      </w:tr>
    </w:tbl>
    <w:p w14:paraId="584C309E" w14:textId="77777777" w:rsidR="005E768D" w:rsidRDefault="005E768D" w:rsidP="008E10BB">
      <w:pPr>
        <w:spacing w:after="0" w:line="480" w:lineRule="auto"/>
        <w:rPr>
          <w:rFonts w:ascii="Times New Roman" w:hAnsi="Times New Roman" w:cs="Times New Roman"/>
          <w:b/>
          <w:noProof/>
          <w:sz w:val="24"/>
          <w:szCs w:val="24"/>
        </w:rPr>
      </w:pPr>
    </w:p>
    <w:p w14:paraId="128A3504" w14:textId="77777777" w:rsidR="005E768D" w:rsidRDefault="005E768D" w:rsidP="008E10BB">
      <w:pPr>
        <w:spacing w:after="0" w:line="480" w:lineRule="auto"/>
        <w:rPr>
          <w:rFonts w:ascii="Times New Roman" w:hAnsi="Times New Roman" w:cs="Times New Roman"/>
          <w:b/>
          <w:noProof/>
          <w:sz w:val="24"/>
          <w:szCs w:val="24"/>
        </w:rPr>
      </w:pPr>
    </w:p>
    <w:p w14:paraId="54C01758" w14:textId="77777777" w:rsidR="005E768D" w:rsidRDefault="005E768D" w:rsidP="008E10BB">
      <w:pPr>
        <w:spacing w:after="0" w:line="480" w:lineRule="auto"/>
        <w:rPr>
          <w:rFonts w:ascii="Times New Roman" w:hAnsi="Times New Roman" w:cs="Times New Roman"/>
          <w:b/>
          <w:noProof/>
          <w:sz w:val="24"/>
          <w:szCs w:val="24"/>
        </w:rPr>
      </w:pPr>
    </w:p>
    <w:p w14:paraId="3B25CADA" w14:textId="77777777" w:rsidR="005E768D" w:rsidRDefault="005E768D" w:rsidP="008E10BB">
      <w:pPr>
        <w:spacing w:after="0" w:line="480" w:lineRule="auto"/>
        <w:rPr>
          <w:rFonts w:ascii="Times New Roman" w:hAnsi="Times New Roman" w:cs="Times New Roman"/>
          <w:b/>
          <w:noProof/>
          <w:sz w:val="24"/>
          <w:szCs w:val="24"/>
        </w:rPr>
      </w:pPr>
    </w:p>
    <w:p w14:paraId="1A7DD781" w14:textId="77777777" w:rsidR="005E768D" w:rsidRDefault="005E768D" w:rsidP="008E10BB">
      <w:pPr>
        <w:spacing w:after="0" w:line="480" w:lineRule="auto"/>
        <w:rPr>
          <w:rFonts w:ascii="Times New Roman" w:hAnsi="Times New Roman" w:cs="Times New Roman"/>
          <w:b/>
          <w:noProof/>
          <w:sz w:val="24"/>
          <w:szCs w:val="24"/>
        </w:rPr>
      </w:pPr>
    </w:p>
    <w:p w14:paraId="5BC8AA18" w14:textId="77777777" w:rsidR="005E768D" w:rsidRDefault="005E768D" w:rsidP="008E10BB">
      <w:pPr>
        <w:spacing w:after="0" w:line="480" w:lineRule="auto"/>
        <w:rPr>
          <w:rFonts w:ascii="Times New Roman" w:hAnsi="Times New Roman" w:cs="Times New Roman"/>
          <w:b/>
          <w:noProof/>
          <w:sz w:val="24"/>
          <w:szCs w:val="24"/>
        </w:rPr>
      </w:pPr>
    </w:p>
    <w:p w14:paraId="4C25DC71" w14:textId="77777777" w:rsidR="005E768D" w:rsidRDefault="005E768D" w:rsidP="008E10BB">
      <w:pPr>
        <w:spacing w:after="0" w:line="480" w:lineRule="auto"/>
        <w:rPr>
          <w:rFonts w:ascii="Times New Roman" w:hAnsi="Times New Roman" w:cs="Times New Roman"/>
          <w:b/>
          <w:noProof/>
          <w:sz w:val="24"/>
          <w:szCs w:val="24"/>
        </w:rPr>
      </w:pPr>
    </w:p>
    <w:p w14:paraId="72E05999" w14:textId="53D92323" w:rsidR="003021D4" w:rsidRDefault="003021D4" w:rsidP="008E10BB">
      <w:pPr>
        <w:spacing w:after="0" w:line="480" w:lineRule="auto"/>
        <w:rPr>
          <w:rFonts w:ascii="Times New Roman" w:hAnsi="Times New Roman" w:cs="Times New Roman"/>
          <w:b/>
          <w:noProof/>
          <w:sz w:val="24"/>
          <w:szCs w:val="24"/>
        </w:rPr>
      </w:pPr>
      <w:r w:rsidRPr="003021D4">
        <w:rPr>
          <w:rFonts w:ascii="Times New Roman" w:hAnsi="Times New Roman" w:cs="Times New Roman"/>
          <w:b/>
          <w:noProof/>
          <w:sz w:val="24"/>
          <w:szCs w:val="24"/>
        </w:rPr>
        <w:lastRenderedPageBreak/>
        <w:t>Figure 3</w:t>
      </w:r>
    </w:p>
    <w:p w14:paraId="2AD092DE" w14:textId="77777777" w:rsidR="00D851F9" w:rsidRDefault="00ED5ADE" w:rsidP="008E10BB">
      <w:pPr>
        <w:spacing w:after="0" w:line="480" w:lineRule="auto"/>
        <w:rPr>
          <w:rFonts w:ascii="Times New Roman" w:hAnsi="Times New Roman" w:cs="Times New Roman"/>
          <w:b/>
          <w:noProof/>
          <w:sz w:val="24"/>
          <w:szCs w:val="24"/>
        </w:rPr>
      </w:pPr>
      <w:r w:rsidRPr="00926498">
        <w:rPr>
          <w:noProof/>
        </w:rPr>
        <w:drawing>
          <wp:inline distT="0" distB="0" distL="0" distR="0" wp14:anchorId="24550FA9" wp14:editId="6E468F99">
            <wp:extent cx="5118100" cy="37465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324DA74B" w14:textId="77777777" w:rsidR="005E768D" w:rsidRDefault="005E768D" w:rsidP="008E10BB">
      <w:pPr>
        <w:spacing w:after="0" w:line="480" w:lineRule="auto"/>
        <w:rPr>
          <w:rFonts w:ascii="Times New Roman" w:hAnsi="Times New Roman" w:cs="Times New Roman"/>
          <w:b/>
          <w:sz w:val="24"/>
          <w:szCs w:val="24"/>
        </w:rPr>
      </w:pPr>
    </w:p>
    <w:p w14:paraId="479F71C4" w14:textId="77777777" w:rsidR="005E768D" w:rsidRDefault="005E768D" w:rsidP="008E10BB">
      <w:pPr>
        <w:spacing w:after="0" w:line="480" w:lineRule="auto"/>
        <w:rPr>
          <w:rFonts w:ascii="Times New Roman" w:hAnsi="Times New Roman" w:cs="Times New Roman"/>
          <w:b/>
          <w:sz w:val="24"/>
          <w:szCs w:val="24"/>
        </w:rPr>
      </w:pPr>
    </w:p>
    <w:p w14:paraId="48991F73" w14:textId="77777777" w:rsidR="005E768D" w:rsidRDefault="005E768D" w:rsidP="008E10BB">
      <w:pPr>
        <w:spacing w:after="0" w:line="480" w:lineRule="auto"/>
        <w:rPr>
          <w:rFonts w:ascii="Times New Roman" w:hAnsi="Times New Roman" w:cs="Times New Roman"/>
          <w:b/>
          <w:sz w:val="24"/>
          <w:szCs w:val="24"/>
        </w:rPr>
      </w:pPr>
    </w:p>
    <w:p w14:paraId="500007A5" w14:textId="77777777" w:rsidR="005E768D" w:rsidRDefault="005E768D" w:rsidP="008E10BB">
      <w:pPr>
        <w:spacing w:after="0" w:line="480" w:lineRule="auto"/>
        <w:rPr>
          <w:rFonts w:ascii="Times New Roman" w:hAnsi="Times New Roman" w:cs="Times New Roman"/>
          <w:b/>
          <w:sz w:val="24"/>
          <w:szCs w:val="24"/>
        </w:rPr>
      </w:pPr>
    </w:p>
    <w:p w14:paraId="5532D0DF" w14:textId="77777777" w:rsidR="005E768D" w:rsidRDefault="005E768D" w:rsidP="008E10BB">
      <w:pPr>
        <w:spacing w:after="0" w:line="480" w:lineRule="auto"/>
        <w:rPr>
          <w:rFonts w:ascii="Times New Roman" w:hAnsi="Times New Roman" w:cs="Times New Roman"/>
          <w:b/>
          <w:sz w:val="24"/>
          <w:szCs w:val="24"/>
        </w:rPr>
      </w:pPr>
    </w:p>
    <w:p w14:paraId="55CEFC8C" w14:textId="77777777" w:rsidR="005E768D" w:rsidRDefault="005E768D" w:rsidP="008E10BB">
      <w:pPr>
        <w:spacing w:after="0" w:line="480" w:lineRule="auto"/>
        <w:rPr>
          <w:rFonts w:ascii="Times New Roman" w:hAnsi="Times New Roman" w:cs="Times New Roman"/>
          <w:b/>
          <w:sz w:val="24"/>
          <w:szCs w:val="24"/>
        </w:rPr>
      </w:pPr>
    </w:p>
    <w:p w14:paraId="3BB63AF9" w14:textId="77777777" w:rsidR="005E768D" w:rsidRDefault="005E768D" w:rsidP="008E10BB">
      <w:pPr>
        <w:spacing w:after="0" w:line="480" w:lineRule="auto"/>
        <w:rPr>
          <w:rFonts w:ascii="Times New Roman" w:hAnsi="Times New Roman" w:cs="Times New Roman"/>
          <w:b/>
          <w:sz w:val="24"/>
          <w:szCs w:val="24"/>
        </w:rPr>
      </w:pPr>
    </w:p>
    <w:p w14:paraId="24DA1757" w14:textId="77777777" w:rsidR="005E768D" w:rsidRDefault="005E768D" w:rsidP="008E10BB">
      <w:pPr>
        <w:spacing w:after="0" w:line="480" w:lineRule="auto"/>
        <w:rPr>
          <w:rFonts w:ascii="Times New Roman" w:hAnsi="Times New Roman" w:cs="Times New Roman"/>
          <w:b/>
          <w:sz w:val="24"/>
          <w:szCs w:val="24"/>
        </w:rPr>
      </w:pPr>
    </w:p>
    <w:p w14:paraId="0DE8BD97" w14:textId="77777777" w:rsidR="005E768D" w:rsidRDefault="005E768D" w:rsidP="008E10BB">
      <w:pPr>
        <w:spacing w:after="0" w:line="480" w:lineRule="auto"/>
        <w:rPr>
          <w:rFonts w:ascii="Times New Roman" w:hAnsi="Times New Roman" w:cs="Times New Roman"/>
          <w:b/>
          <w:sz w:val="24"/>
          <w:szCs w:val="24"/>
        </w:rPr>
      </w:pPr>
    </w:p>
    <w:p w14:paraId="07446D03" w14:textId="77777777" w:rsidR="005E768D" w:rsidRDefault="005E768D" w:rsidP="008E10BB">
      <w:pPr>
        <w:spacing w:after="0" w:line="480" w:lineRule="auto"/>
        <w:rPr>
          <w:rFonts w:ascii="Times New Roman" w:hAnsi="Times New Roman" w:cs="Times New Roman"/>
          <w:b/>
          <w:sz w:val="24"/>
          <w:szCs w:val="24"/>
        </w:rPr>
      </w:pPr>
    </w:p>
    <w:p w14:paraId="5D3FCDA5" w14:textId="77777777" w:rsidR="005E768D" w:rsidRDefault="005E768D" w:rsidP="008E10BB">
      <w:pPr>
        <w:spacing w:after="0" w:line="480" w:lineRule="auto"/>
        <w:rPr>
          <w:rFonts w:ascii="Times New Roman" w:hAnsi="Times New Roman" w:cs="Times New Roman"/>
          <w:b/>
          <w:sz w:val="24"/>
          <w:szCs w:val="24"/>
        </w:rPr>
      </w:pPr>
    </w:p>
    <w:p w14:paraId="6A57ECE4" w14:textId="40CFB30D" w:rsidR="003021D4" w:rsidRDefault="005E768D" w:rsidP="008E10B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4</w:t>
      </w:r>
    </w:p>
    <w:p w14:paraId="06474CB0" w14:textId="0A569BFA" w:rsidR="00ED5ADE" w:rsidRPr="003021D4" w:rsidRDefault="005E768D" w:rsidP="008E10BB">
      <w:pPr>
        <w:spacing w:after="0" w:line="480" w:lineRule="auto"/>
        <w:rPr>
          <w:rFonts w:ascii="Times New Roman" w:hAnsi="Times New Roman" w:cs="Times New Roman"/>
          <w:b/>
          <w:noProof/>
          <w:sz w:val="24"/>
          <w:szCs w:val="24"/>
        </w:rPr>
      </w:pPr>
      <w:r w:rsidRPr="00752F22">
        <w:rPr>
          <w:noProof/>
        </w:rPr>
        <w:drawing>
          <wp:inline distT="0" distB="0" distL="0" distR="0" wp14:anchorId="159E217F" wp14:editId="6E77BE01">
            <wp:extent cx="5118100" cy="3746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1AD3954C" w14:textId="35039F00" w:rsidR="001F2511" w:rsidRDefault="007E6998" w:rsidP="00BC30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6</w:t>
      </w:r>
      <w:r w:rsidR="004534ED">
        <w:rPr>
          <w:rFonts w:ascii="Times New Roman" w:hAnsi="Times New Roman" w:cs="Times New Roman"/>
          <w:sz w:val="24"/>
          <w:szCs w:val="24"/>
        </w:rPr>
        <w:t xml:space="preserve"> </w:t>
      </w:r>
      <w:r w:rsidR="00327459">
        <w:rPr>
          <w:rFonts w:ascii="Times New Roman" w:hAnsi="Times New Roman" w:cs="Times New Roman"/>
          <w:sz w:val="24"/>
          <w:szCs w:val="24"/>
        </w:rPr>
        <w:t>display</w:t>
      </w:r>
      <w:r>
        <w:rPr>
          <w:rFonts w:ascii="Times New Roman" w:hAnsi="Times New Roman" w:cs="Times New Roman"/>
          <w:sz w:val="24"/>
          <w:szCs w:val="24"/>
        </w:rPr>
        <w:t>s</w:t>
      </w:r>
      <w:r w:rsidR="00327459">
        <w:rPr>
          <w:rFonts w:ascii="Times New Roman" w:hAnsi="Times New Roman" w:cs="Times New Roman"/>
          <w:sz w:val="24"/>
          <w:szCs w:val="24"/>
        </w:rPr>
        <w:t xml:space="preserve"> the primary methodology broken down by presidential administration. In particular, we see a marked decrease in the use of </w:t>
      </w:r>
      <w:r w:rsidR="00BC33E5">
        <w:rPr>
          <w:rFonts w:ascii="Times New Roman" w:hAnsi="Times New Roman" w:cs="Times New Roman"/>
          <w:sz w:val="24"/>
          <w:szCs w:val="24"/>
        </w:rPr>
        <w:t xml:space="preserve">legislative history over time. </w:t>
      </w:r>
      <w:r w:rsidR="00327459">
        <w:rPr>
          <w:rFonts w:ascii="Times New Roman" w:hAnsi="Times New Roman" w:cs="Times New Roman"/>
          <w:sz w:val="24"/>
          <w:szCs w:val="24"/>
        </w:rPr>
        <w:t xml:space="preserve">Whereas 38% of Clinton-era Board decisions employed text/legislative history plus analysis as the primary interpretive method, only 12% of decisions in the Obama period used this method, a result statistically significant at 95% confidence. Rather, Obama-era decisions most frequently invoked policy/caselaw considerations as the primary interpretive method, with almost two-thirds of decisions from 2008 to the present using a policy-based approach as the primary interpretive method. Textualism also seems to have taken a marked turn upward in the Obama era, though the results on textualism and policy are not statistically significant. These differences may be explained by the makeup of the Obama Board. Unlike Boards during the Clinton and Bush II presidencies, it was not possible to get a Republican-dominated panel at any time during the </w:t>
      </w:r>
      <w:r w:rsidR="00327459">
        <w:rPr>
          <w:rFonts w:ascii="Times New Roman" w:hAnsi="Times New Roman" w:cs="Times New Roman"/>
          <w:sz w:val="24"/>
          <w:szCs w:val="24"/>
        </w:rPr>
        <w:lastRenderedPageBreak/>
        <w:t xml:space="preserve">Obama presidency. </w:t>
      </w:r>
      <w:r w:rsidR="00BC33E5">
        <w:rPr>
          <w:rFonts w:ascii="Times New Roman" w:hAnsi="Times New Roman" w:cs="Times New Roman"/>
          <w:sz w:val="24"/>
          <w:szCs w:val="24"/>
        </w:rPr>
        <w:t>T</w:t>
      </w:r>
      <w:r w:rsidR="00327459">
        <w:rPr>
          <w:rFonts w:ascii="Times New Roman" w:hAnsi="Times New Roman" w:cs="Times New Roman"/>
          <w:sz w:val="24"/>
          <w:szCs w:val="24"/>
        </w:rPr>
        <w:t>he Board, at the beginning of the Obama presidency, only had two members, forcing a constitutional showdown at the Supreme Court over the legitimacy of its decision using a two judge quorum.</w:t>
      </w:r>
      <w:r w:rsidR="00A162B3">
        <w:rPr>
          <w:rStyle w:val="FootnoteReference"/>
          <w:rFonts w:ascii="Times New Roman" w:hAnsi="Times New Roman" w:cs="Times New Roman"/>
          <w:sz w:val="24"/>
          <w:szCs w:val="24"/>
        </w:rPr>
        <w:footnoteReference w:id="157"/>
      </w:r>
      <w:r w:rsidR="00327459">
        <w:rPr>
          <w:rFonts w:ascii="Times New Roman" w:hAnsi="Times New Roman" w:cs="Times New Roman"/>
          <w:sz w:val="24"/>
          <w:szCs w:val="24"/>
        </w:rPr>
        <w:t xml:space="preserve"> Moreover, statutory interpretation cases at the Obama Board seem to emp</w:t>
      </w:r>
      <w:r w:rsidR="00BC33E5">
        <w:rPr>
          <w:rFonts w:ascii="Times New Roman" w:hAnsi="Times New Roman" w:cs="Times New Roman"/>
          <w:sz w:val="24"/>
          <w:szCs w:val="24"/>
        </w:rPr>
        <w:t>loy a predictable pattern: the three</w:t>
      </w:r>
      <w:r w:rsidR="00327459">
        <w:rPr>
          <w:rFonts w:ascii="Times New Roman" w:hAnsi="Times New Roman" w:cs="Times New Roman"/>
          <w:sz w:val="24"/>
          <w:szCs w:val="24"/>
        </w:rPr>
        <w:t xml:space="preserve"> liberal Board members use primarily a policy-based approach to rule in favor of the </w:t>
      </w:r>
      <w:r w:rsidR="00D0285D">
        <w:rPr>
          <w:rFonts w:ascii="Times New Roman" w:hAnsi="Times New Roman" w:cs="Times New Roman"/>
          <w:sz w:val="24"/>
          <w:szCs w:val="24"/>
        </w:rPr>
        <w:t>liberal side, with Board members</w:t>
      </w:r>
      <w:r w:rsidR="00F665A6">
        <w:rPr>
          <w:rFonts w:ascii="Times New Roman" w:hAnsi="Times New Roman" w:cs="Times New Roman"/>
          <w:sz w:val="24"/>
          <w:szCs w:val="24"/>
        </w:rPr>
        <w:t xml:space="preserve"> Philip Miscimarra and Harry Johnson</w:t>
      </w:r>
      <w:r w:rsidR="00327459">
        <w:rPr>
          <w:rFonts w:ascii="Times New Roman" w:hAnsi="Times New Roman" w:cs="Times New Roman"/>
          <w:sz w:val="24"/>
          <w:szCs w:val="24"/>
        </w:rPr>
        <w:t xml:space="preserve"> writing a detailed dissent debunking every point they want. Moreover, more</w:t>
      </w:r>
      <w:r w:rsidR="0082360C">
        <w:rPr>
          <w:rFonts w:ascii="Times New Roman" w:hAnsi="Times New Roman" w:cs="Times New Roman"/>
          <w:sz w:val="24"/>
          <w:szCs w:val="24"/>
        </w:rPr>
        <w:t xml:space="preserve"> </w:t>
      </w:r>
      <w:r w:rsidR="00327459">
        <w:rPr>
          <w:rFonts w:ascii="Times New Roman" w:hAnsi="Times New Roman" w:cs="Times New Roman"/>
          <w:sz w:val="24"/>
          <w:szCs w:val="24"/>
        </w:rPr>
        <w:t>so than other Boards, the Obama Board proceed</w:t>
      </w:r>
      <w:r w:rsidR="0082360C">
        <w:rPr>
          <w:rFonts w:ascii="Times New Roman" w:hAnsi="Times New Roman" w:cs="Times New Roman"/>
          <w:sz w:val="24"/>
          <w:szCs w:val="24"/>
        </w:rPr>
        <w:t>ed to overrule more of the Bush-</w:t>
      </w:r>
      <w:r w:rsidR="00327459">
        <w:rPr>
          <w:rFonts w:ascii="Times New Roman" w:hAnsi="Times New Roman" w:cs="Times New Roman"/>
          <w:sz w:val="24"/>
          <w:szCs w:val="24"/>
        </w:rPr>
        <w:t xml:space="preserve">era NLRB decisions, decisions that had been issued less than a decade earlier. </w:t>
      </w:r>
    </w:p>
    <w:p w14:paraId="55388438" w14:textId="77777777" w:rsidR="009028C7" w:rsidRPr="003021D4" w:rsidRDefault="009028C7" w:rsidP="009028C7">
      <w:pPr>
        <w:spacing w:after="0" w:line="480" w:lineRule="auto"/>
        <w:rPr>
          <w:rFonts w:ascii="Times New Roman" w:hAnsi="Times New Roman" w:cs="Times New Roman"/>
          <w:sz w:val="20"/>
          <w:szCs w:val="24"/>
        </w:rPr>
      </w:pPr>
      <w:r w:rsidRPr="003021D4">
        <w:rPr>
          <w:rFonts w:ascii="Times New Roman" w:hAnsi="Times New Roman" w:cs="Times New Roman"/>
          <w:b/>
          <w:sz w:val="20"/>
          <w:szCs w:val="24"/>
        </w:rPr>
        <w:t>Table 6: Primary Statutory Methodology, by Administration (Percent)</w:t>
      </w:r>
    </w:p>
    <w:tbl>
      <w:tblPr>
        <w:tblStyle w:val="TableGrid"/>
        <w:tblW w:w="0" w:type="auto"/>
        <w:tblLook w:val="04A0" w:firstRow="1" w:lastRow="0" w:firstColumn="1" w:lastColumn="0" w:noHBand="0" w:noVBand="1"/>
      </w:tblPr>
      <w:tblGrid>
        <w:gridCol w:w="2337"/>
        <w:gridCol w:w="2337"/>
        <w:gridCol w:w="2338"/>
        <w:gridCol w:w="2338"/>
      </w:tblGrid>
      <w:tr w:rsidR="009028C7" w:rsidRPr="003021D4" w14:paraId="14698DFF" w14:textId="77777777" w:rsidTr="0035465A">
        <w:tc>
          <w:tcPr>
            <w:tcW w:w="2337" w:type="dxa"/>
          </w:tcPr>
          <w:p w14:paraId="74353673" w14:textId="77777777" w:rsidR="009028C7" w:rsidRPr="003021D4" w:rsidRDefault="009028C7" w:rsidP="00D851F9">
            <w:pPr>
              <w:spacing w:after="0" w:line="240" w:lineRule="auto"/>
              <w:rPr>
                <w:rFonts w:ascii="Times New Roman" w:hAnsi="Times New Roman" w:cs="Times New Roman"/>
                <w:b/>
                <w:sz w:val="20"/>
                <w:szCs w:val="24"/>
              </w:rPr>
            </w:pPr>
          </w:p>
        </w:tc>
        <w:tc>
          <w:tcPr>
            <w:tcW w:w="2337" w:type="dxa"/>
          </w:tcPr>
          <w:p w14:paraId="3876DF60" w14:textId="77777777" w:rsidR="009028C7" w:rsidRPr="003021D4" w:rsidRDefault="009028C7" w:rsidP="00D851F9">
            <w:pPr>
              <w:spacing w:after="0" w:line="240" w:lineRule="auto"/>
              <w:rPr>
                <w:rFonts w:ascii="Times New Roman" w:hAnsi="Times New Roman" w:cs="Times New Roman"/>
                <w:b/>
                <w:sz w:val="20"/>
                <w:szCs w:val="24"/>
              </w:rPr>
            </w:pPr>
            <w:r w:rsidRPr="003021D4">
              <w:rPr>
                <w:rFonts w:ascii="Times New Roman" w:hAnsi="Times New Roman" w:cs="Times New Roman"/>
                <w:b/>
                <w:sz w:val="20"/>
                <w:szCs w:val="24"/>
              </w:rPr>
              <w:t>Primarily Text</w:t>
            </w:r>
          </w:p>
        </w:tc>
        <w:tc>
          <w:tcPr>
            <w:tcW w:w="2338" w:type="dxa"/>
          </w:tcPr>
          <w:p w14:paraId="43643A9E" w14:textId="77777777" w:rsidR="009028C7" w:rsidRPr="003021D4" w:rsidRDefault="009028C7" w:rsidP="00D851F9">
            <w:pPr>
              <w:spacing w:after="0" w:line="240" w:lineRule="auto"/>
              <w:rPr>
                <w:rFonts w:ascii="Times New Roman" w:hAnsi="Times New Roman" w:cs="Times New Roman"/>
                <w:b/>
                <w:sz w:val="20"/>
                <w:szCs w:val="24"/>
              </w:rPr>
            </w:pPr>
            <w:r w:rsidRPr="003021D4">
              <w:rPr>
                <w:rFonts w:ascii="Times New Roman" w:hAnsi="Times New Roman" w:cs="Times New Roman"/>
                <w:b/>
                <w:sz w:val="20"/>
                <w:szCs w:val="24"/>
              </w:rPr>
              <w:t>Text/Legislative History +</w:t>
            </w:r>
          </w:p>
        </w:tc>
        <w:tc>
          <w:tcPr>
            <w:tcW w:w="2338" w:type="dxa"/>
          </w:tcPr>
          <w:p w14:paraId="7729A9F2" w14:textId="77777777" w:rsidR="009028C7" w:rsidRPr="003021D4" w:rsidRDefault="009028C7" w:rsidP="00D851F9">
            <w:pPr>
              <w:spacing w:after="0" w:line="240" w:lineRule="auto"/>
              <w:rPr>
                <w:rFonts w:ascii="Times New Roman" w:hAnsi="Times New Roman" w:cs="Times New Roman"/>
                <w:b/>
                <w:sz w:val="20"/>
                <w:szCs w:val="24"/>
              </w:rPr>
            </w:pPr>
            <w:r w:rsidRPr="003021D4">
              <w:rPr>
                <w:rFonts w:ascii="Times New Roman" w:hAnsi="Times New Roman" w:cs="Times New Roman"/>
                <w:b/>
                <w:sz w:val="20"/>
                <w:szCs w:val="24"/>
              </w:rPr>
              <w:t>Policy/Caselaw</w:t>
            </w:r>
          </w:p>
        </w:tc>
      </w:tr>
      <w:tr w:rsidR="009028C7" w:rsidRPr="003021D4" w14:paraId="11C9C905" w14:textId="77777777" w:rsidTr="0035465A">
        <w:tc>
          <w:tcPr>
            <w:tcW w:w="2337" w:type="dxa"/>
          </w:tcPr>
          <w:p w14:paraId="30792476" w14:textId="77777777" w:rsidR="009028C7" w:rsidRPr="003021D4" w:rsidRDefault="009028C7" w:rsidP="00D851F9">
            <w:pPr>
              <w:spacing w:after="0" w:line="240" w:lineRule="auto"/>
              <w:rPr>
                <w:rFonts w:ascii="Times New Roman" w:hAnsi="Times New Roman" w:cs="Times New Roman"/>
                <w:b/>
                <w:sz w:val="20"/>
                <w:szCs w:val="24"/>
              </w:rPr>
            </w:pPr>
            <w:r w:rsidRPr="003021D4">
              <w:rPr>
                <w:rFonts w:ascii="Times New Roman" w:hAnsi="Times New Roman" w:cs="Times New Roman"/>
                <w:b/>
                <w:sz w:val="20"/>
                <w:szCs w:val="24"/>
              </w:rPr>
              <w:t>Clinton</w:t>
            </w:r>
          </w:p>
        </w:tc>
        <w:tc>
          <w:tcPr>
            <w:tcW w:w="2337" w:type="dxa"/>
          </w:tcPr>
          <w:p w14:paraId="32789EE1"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14</w:t>
            </w:r>
          </w:p>
        </w:tc>
        <w:tc>
          <w:tcPr>
            <w:tcW w:w="2338" w:type="dxa"/>
          </w:tcPr>
          <w:p w14:paraId="5873F9AD"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38**</w:t>
            </w:r>
          </w:p>
        </w:tc>
        <w:tc>
          <w:tcPr>
            <w:tcW w:w="2338" w:type="dxa"/>
          </w:tcPr>
          <w:p w14:paraId="743E36D0"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48</w:t>
            </w:r>
          </w:p>
        </w:tc>
      </w:tr>
      <w:tr w:rsidR="009028C7" w:rsidRPr="003021D4" w14:paraId="1F31E9C4" w14:textId="77777777" w:rsidTr="0035465A">
        <w:tc>
          <w:tcPr>
            <w:tcW w:w="2337" w:type="dxa"/>
          </w:tcPr>
          <w:p w14:paraId="0531773F" w14:textId="77777777" w:rsidR="009028C7" w:rsidRPr="003021D4" w:rsidRDefault="009028C7" w:rsidP="00D851F9">
            <w:pPr>
              <w:spacing w:after="0" w:line="240" w:lineRule="auto"/>
              <w:rPr>
                <w:rFonts w:ascii="Times New Roman" w:hAnsi="Times New Roman" w:cs="Times New Roman"/>
                <w:b/>
                <w:sz w:val="20"/>
                <w:szCs w:val="24"/>
              </w:rPr>
            </w:pPr>
            <w:r w:rsidRPr="003021D4">
              <w:rPr>
                <w:rFonts w:ascii="Times New Roman" w:hAnsi="Times New Roman" w:cs="Times New Roman"/>
                <w:b/>
                <w:sz w:val="20"/>
                <w:szCs w:val="24"/>
              </w:rPr>
              <w:t>Bush II</w:t>
            </w:r>
          </w:p>
        </w:tc>
        <w:tc>
          <w:tcPr>
            <w:tcW w:w="2337" w:type="dxa"/>
          </w:tcPr>
          <w:p w14:paraId="55B868BA"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23</w:t>
            </w:r>
          </w:p>
        </w:tc>
        <w:tc>
          <w:tcPr>
            <w:tcW w:w="2338" w:type="dxa"/>
          </w:tcPr>
          <w:p w14:paraId="1E96944B"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23**</w:t>
            </w:r>
          </w:p>
        </w:tc>
        <w:tc>
          <w:tcPr>
            <w:tcW w:w="2338" w:type="dxa"/>
          </w:tcPr>
          <w:p w14:paraId="11C3CA3B"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53</w:t>
            </w:r>
          </w:p>
        </w:tc>
      </w:tr>
      <w:tr w:rsidR="009028C7" w:rsidRPr="003021D4" w14:paraId="37266AA4" w14:textId="77777777" w:rsidTr="0035465A">
        <w:tc>
          <w:tcPr>
            <w:tcW w:w="2337" w:type="dxa"/>
          </w:tcPr>
          <w:p w14:paraId="58E1BDBF" w14:textId="77777777" w:rsidR="009028C7" w:rsidRPr="003021D4" w:rsidRDefault="009028C7" w:rsidP="00D851F9">
            <w:pPr>
              <w:spacing w:after="0" w:line="240" w:lineRule="auto"/>
              <w:rPr>
                <w:rFonts w:ascii="Times New Roman" w:hAnsi="Times New Roman" w:cs="Times New Roman"/>
                <w:b/>
                <w:sz w:val="20"/>
                <w:szCs w:val="24"/>
              </w:rPr>
            </w:pPr>
            <w:r w:rsidRPr="003021D4">
              <w:rPr>
                <w:rFonts w:ascii="Times New Roman" w:hAnsi="Times New Roman" w:cs="Times New Roman"/>
                <w:b/>
                <w:sz w:val="20"/>
                <w:szCs w:val="24"/>
              </w:rPr>
              <w:t xml:space="preserve">Obama </w:t>
            </w:r>
          </w:p>
        </w:tc>
        <w:tc>
          <w:tcPr>
            <w:tcW w:w="2337" w:type="dxa"/>
          </w:tcPr>
          <w:p w14:paraId="67393568"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25</w:t>
            </w:r>
          </w:p>
        </w:tc>
        <w:tc>
          <w:tcPr>
            <w:tcW w:w="2338" w:type="dxa"/>
          </w:tcPr>
          <w:p w14:paraId="18C2BBA3"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12**</w:t>
            </w:r>
          </w:p>
        </w:tc>
        <w:tc>
          <w:tcPr>
            <w:tcW w:w="2338" w:type="dxa"/>
          </w:tcPr>
          <w:p w14:paraId="01A5226D" w14:textId="77777777" w:rsidR="009028C7" w:rsidRPr="003021D4" w:rsidRDefault="009028C7" w:rsidP="00D851F9">
            <w:pPr>
              <w:spacing w:after="0" w:line="240" w:lineRule="auto"/>
              <w:rPr>
                <w:rFonts w:ascii="Times New Roman" w:hAnsi="Times New Roman" w:cs="Times New Roman"/>
                <w:sz w:val="20"/>
                <w:szCs w:val="24"/>
              </w:rPr>
            </w:pPr>
            <w:r w:rsidRPr="003021D4">
              <w:rPr>
                <w:rFonts w:ascii="Times New Roman" w:hAnsi="Times New Roman" w:cs="Times New Roman"/>
                <w:sz w:val="20"/>
                <w:szCs w:val="24"/>
              </w:rPr>
              <w:t>63</w:t>
            </w:r>
          </w:p>
        </w:tc>
      </w:tr>
    </w:tbl>
    <w:p w14:paraId="52B61B60" w14:textId="63B70597" w:rsidR="009028C7" w:rsidRDefault="009028C7" w:rsidP="00D851F9">
      <w:pPr>
        <w:spacing w:after="0" w:line="240" w:lineRule="auto"/>
        <w:rPr>
          <w:rFonts w:ascii="Times New Roman" w:hAnsi="Times New Roman" w:cs="Times New Roman"/>
          <w:sz w:val="24"/>
          <w:szCs w:val="24"/>
        </w:rPr>
      </w:pPr>
    </w:p>
    <w:p w14:paraId="01D31627" w14:textId="51D9C1B0" w:rsidR="00327459" w:rsidRDefault="007E6998" w:rsidP="00BC30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7 and Figure 5 </w:t>
      </w:r>
      <w:r w:rsidR="00F11A56">
        <w:rPr>
          <w:rFonts w:ascii="Times New Roman" w:hAnsi="Times New Roman" w:cs="Times New Roman"/>
          <w:sz w:val="24"/>
          <w:szCs w:val="24"/>
        </w:rPr>
        <w:t>provide further detail on the breakdowns by both party of the panel and administration. Here, again we see noticeable differences based on the administration, particularly with respect to the text/legislative history plus me</w:t>
      </w:r>
      <w:r w:rsidR="002363EE">
        <w:rPr>
          <w:rFonts w:ascii="Times New Roman" w:hAnsi="Times New Roman" w:cs="Times New Roman"/>
          <w:sz w:val="24"/>
          <w:szCs w:val="24"/>
        </w:rPr>
        <w:t>thod. In all, 56% of Republican-</w:t>
      </w:r>
      <w:r w:rsidR="00F11A56">
        <w:rPr>
          <w:rFonts w:ascii="Times New Roman" w:hAnsi="Times New Roman" w:cs="Times New Roman"/>
          <w:sz w:val="24"/>
          <w:szCs w:val="24"/>
        </w:rPr>
        <w:t>dominated panels during the Clinton administration relied on legislative history, whereas Democratic-panels through the three admini</w:t>
      </w:r>
      <w:r w:rsidR="0082360C">
        <w:rPr>
          <w:rFonts w:ascii="Times New Roman" w:hAnsi="Times New Roman" w:cs="Times New Roman"/>
          <w:sz w:val="24"/>
          <w:szCs w:val="24"/>
        </w:rPr>
        <w:t>strations generally relied on legislative history</w:t>
      </w:r>
      <w:r w:rsidR="00F11A56">
        <w:rPr>
          <w:rFonts w:ascii="Times New Roman" w:hAnsi="Times New Roman" w:cs="Times New Roman"/>
          <w:sz w:val="24"/>
          <w:szCs w:val="24"/>
        </w:rPr>
        <w:t xml:space="preserve"> l</w:t>
      </w:r>
      <w:r w:rsidR="00D0285D">
        <w:rPr>
          <w:rFonts w:ascii="Times New Roman" w:hAnsi="Times New Roman" w:cs="Times New Roman"/>
          <w:sz w:val="24"/>
          <w:szCs w:val="24"/>
        </w:rPr>
        <w:t>ess than a quarter of the time.</w:t>
      </w:r>
      <w:r w:rsidR="00F11A56">
        <w:rPr>
          <w:rFonts w:ascii="Times New Roman" w:hAnsi="Times New Roman" w:cs="Times New Roman"/>
          <w:sz w:val="24"/>
          <w:szCs w:val="24"/>
        </w:rPr>
        <w:t xml:space="preserve"> In turn, Republican-majority panels rarely relied on policy during the Clinton administration even when in the majority, but in the Bush II era, they decided most cases with a policy-based approach. The results underscore that the party in charge of the presidency is most likely to make its decisions with policy considerations at the forefront, and this trend has increased over time from the Clinton to the Obama presidencies. Moreover, text analysis as the </w:t>
      </w:r>
      <w:r w:rsidR="00F11A56">
        <w:rPr>
          <w:rFonts w:ascii="Times New Roman" w:hAnsi="Times New Roman" w:cs="Times New Roman"/>
          <w:sz w:val="24"/>
          <w:szCs w:val="24"/>
        </w:rPr>
        <w:lastRenderedPageBreak/>
        <w:t xml:space="preserve">primary method of interpretation seems to have increased over time at the expense of using a text/legislative history plus analysis. Democratic-majority panels in the Obama administration in </w:t>
      </w:r>
      <w:r w:rsidR="004C1BB3">
        <w:rPr>
          <w:rFonts w:ascii="Times New Roman" w:hAnsi="Times New Roman" w:cs="Times New Roman"/>
          <w:sz w:val="24"/>
          <w:szCs w:val="24"/>
        </w:rPr>
        <w:t>particular seem especially likely</w:t>
      </w:r>
      <w:r w:rsidR="00F11A56">
        <w:rPr>
          <w:rFonts w:ascii="Times New Roman" w:hAnsi="Times New Roman" w:cs="Times New Roman"/>
          <w:sz w:val="24"/>
          <w:szCs w:val="24"/>
        </w:rPr>
        <w:t xml:space="preserve"> to eschew legislative history in favor of a more policy-based approach.</w:t>
      </w:r>
    </w:p>
    <w:p w14:paraId="17A8C7A4" w14:textId="1EDC22BB" w:rsidR="004534ED" w:rsidRPr="00CA7305" w:rsidRDefault="004534ED" w:rsidP="004534ED">
      <w:pPr>
        <w:spacing w:after="0" w:line="480" w:lineRule="auto"/>
        <w:rPr>
          <w:rFonts w:ascii="Times New Roman" w:hAnsi="Times New Roman" w:cs="Times New Roman"/>
          <w:b/>
          <w:sz w:val="20"/>
          <w:szCs w:val="24"/>
        </w:rPr>
      </w:pPr>
      <w:r w:rsidRPr="00CA7305">
        <w:rPr>
          <w:rFonts w:ascii="Times New Roman" w:hAnsi="Times New Roman" w:cs="Times New Roman"/>
          <w:b/>
          <w:sz w:val="20"/>
          <w:szCs w:val="24"/>
        </w:rPr>
        <w:t>Table 7</w:t>
      </w:r>
      <w:r w:rsidR="00CA7305" w:rsidRPr="00CA7305">
        <w:rPr>
          <w:rFonts w:ascii="Times New Roman" w:hAnsi="Times New Roman" w:cs="Times New Roman"/>
          <w:b/>
          <w:sz w:val="20"/>
          <w:szCs w:val="24"/>
        </w:rPr>
        <w:t>: Primary Statutory Methodology, by Majority Party and Administration</w:t>
      </w:r>
    </w:p>
    <w:tbl>
      <w:tblPr>
        <w:tblStyle w:val="TableGrid"/>
        <w:tblW w:w="0" w:type="auto"/>
        <w:tblLook w:val="04A0" w:firstRow="1" w:lastRow="0" w:firstColumn="1" w:lastColumn="0" w:noHBand="0" w:noVBand="1"/>
      </w:tblPr>
      <w:tblGrid>
        <w:gridCol w:w="2337"/>
        <w:gridCol w:w="2337"/>
        <w:gridCol w:w="2338"/>
        <w:gridCol w:w="2338"/>
      </w:tblGrid>
      <w:tr w:rsidR="00327459" w:rsidRPr="00CA7305" w14:paraId="34611CDE" w14:textId="77777777" w:rsidTr="00327459">
        <w:tc>
          <w:tcPr>
            <w:tcW w:w="2337" w:type="dxa"/>
          </w:tcPr>
          <w:p w14:paraId="0A5C7F91" w14:textId="77777777" w:rsidR="00327459" w:rsidRPr="00CA7305" w:rsidRDefault="00327459" w:rsidP="00D0285D">
            <w:pPr>
              <w:spacing w:after="0" w:line="240" w:lineRule="auto"/>
              <w:rPr>
                <w:rFonts w:ascii="Times New Roman" w:hAnsi="Times New Roman" w:cs="Times New Roman"/>
                <w:b/>
                <w:sz w:val="20"/>
                <w:szCs w:val="24"/>
              </w:rPr>
            </w:pPr>
          </w:p>
        </w:tc>
        <w:tc>
          <w:tcPr>
            <w:tcW w:w="2337" w:type="dxa"/>
          </w:tcPr>
          <w:p w14:paraId="1996A430" w14:textId="0C702428" w:rsidR="00327459" w:rsidRPr="00CA7305" w:rsidRDefault="00327459" w:rsidP="00D0285D">
            <w:pPr>
              <w:spacing w:after="0" w:line="240" w:lineRule="auto"/>
              <w:rPr>
                <w:rFonts w:ascii="Times New Roman" w:hAnsi="Times New Roman" w:cs="Times New Roman"/>
                <w:b/>
                <w:sz w:val="20"/>
                <w:szCs w:val="24"/>
              </w:rPr>
            </w:pPr>
            <w:r w:rsidRPr="00CA7305">
              <w:rPr>
                <w:rFonts w:ascii="Times New Roman" w:hAnsi="Times New Roman" w:cs="Times New Roman"/>
                <w:b/>
                <w:sz w:val="20"/>
                <w:szCs w:val="24"/>
              </w:rPr>
              <w:t>Primarily Text</w:t>
            </w:r>
          </w:p>
        </w:tc>
        <w:tc>
          <w:tcPr>
            <w:tcW w:w="2338" w:type="dxa"/>
          </w:tcPr>
          <w:p w14:paraId="432575FE" w14:textId="4527D07F" w:rsidR="00327459" w:rsidRPr="00CA7305" w:rsidRDefault="00327459" w:rsidP="00D0285D">
            <w:pPr>
              <w:spacing w:after="0" w:line="240" w:lineRule="auto"/>
              <w:rPr>
                <w:rFonts w:ascii="Times New Roman" w:hAnsi="Times New Roman" w:cs="Times New Roman"/>
                <w:b/>
                <w:sz w:val="20"/>
                <w:szCs w:val="24"/>
              </w:rPr>
            </w:pPr>
            <w:r w:rsidRPr="00CA7305">
              <w:rPr>
                <w:rFonts w:ascii="Times New Roman" w:hAnsi="Times New Roman" w:cs="Times New Roman"/>
                <w:b/>
                <w:sz w:val="20"/>
                <w:szCs w:val="24"/>
              </w:rPr>
              <w:t>Text/Legislative History +</w:t>
            </w:r>
          </w:p>
        </w:tc>
        <w:tc>
          <w:tcPr>
            <w:tcW w:w="2338" w:type="dxa"/>
          </w:tcPr>
          <w:p w14:paraId="0F2C5FBA" w14:textId="23767A4B" w:rsidR="00327459" w:rsidRPr="00CA7305" w:rsidRDefault="00327459" w:rsidP="00D0285D">
            <w:pPr>
              <w:spacing w:after="0" w:line="240" w:lineRule="auto"/>
              <w:rPr>
                <w:rFonts w:ascii="Times New Roman" w:hAnsi="Times New Roman" w:cs="Times New Roman"/>
                <w:b/>
                <w:sz w:val="20"/>
                <w:szCs w:val="24"/>
              </w:rPr>
            </w:pPr>
            <w:r w:rsidRPr="00CA7305">
              <w:rPr>
                <w:rFonts w:ascii="Times New Roman" w:hAnsi="Times New Roman" w:cs="Times New Roman"/>
                <w:b/>
                <w:sz w:val="20"/>
                <w:szCs w:val="24"/>
              </w:rPr>
              <w:t>Policy/Caselaw</w:t>
            </w:r>
          </w:p>
        </w:tc>
      </w:tr>
      <w:tr w:rsidR="00327459" w:rsidRPr="00CA7305" w14:paraId="6BEFF699" w14:textId="77777777" w:rsidTr="00327459">
        <w:tc>
          <w:tcPr>
            <w:tcW w:w="2337" w:type="dxa"/>
          </w:tcPr>
          <w:p w14:paraId="0C9D3044" w14:textId="578920FB" w:rsidR="00327459" w:rsidRPr="00CA7305" w:rsidRDefault="003D187A" w:rsidP="00D0285D">
            <w:pPr>
              <w:spacing w:after="0" w:line="240" w:lineRule="auto"/>
              <w:rPr>
                <w:rFonts w:ascii="Times New Roman" w:hAnsi="Times New Roman" w:cs="Times New Roman"/>
                <w:b/>
                <w:sz w:val="20"/>
                <w:szCs w:val="24"/>
              </w:rPr>
            </w:pPr>
            <w:r>
              <w:rPr>
                <w:rFonts w:ascii="Times New Roman" w:hAnsi="Times New Roman" w:cs="Times New Roman"/>
                <w:b/>
                <w:sz w:val="20"/>
                <w:szCs w:val="24"/>
              </w:rPr>
              <w:t xml:space="preserve">Dem./Clinton </w:t>
            </w:r>
          </w:p>
        </w:tc>
        <w:tc>
          <w:tcPr>
            <w:tcW w:w="2337" w:type="dxa"/>
          </w:tcPr>
          <w:p w14:paraId="05515C5A" w14:textId="69868347" w:rsidR="00327459" w:rsidRPr="00CA7305" w:rsidRDefault="00327459"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14</w:t>
            </w:r>
          </w:p>
        </w:tc>
        <w:tc>
          <w:tcPr>
            <w:tcW w:w="2338" w:type="dxa"/>
          </w:tcPr>
          <w:p w14:paraId="1D508C4A" w14:textId="5A2AD3EF" w:rsidR="00327459" w:rsidRPr="00CA7305" w:rsidRDefault="00327459"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25</w:t>
            </w:r>
            <w:r w:rsidR="00F11A56" w:rsidRPr="00CA7305">
              <w:rPr>
                <w:rFonts w:ascii="Times New Roman" w:hAnsi="Times New Roman" w:cs="Times New Roman"/>
                <w:sz w:val="20"/>
                <w:szCs w:val="24"/>
              </w:rPr>
              <w:t>**</w:t>
            </w:r>
          </w:p>
        </w:tc>
        <w:tc>
          <w:tcPr>
            <w:tcW w:w="2338" w:type="dxa"/>
          </w:tcPr>
          <w:p w14:paraId="3622B113" w14:textId="5B82D7FB" w:rsidR="00327459" w:rsidRPr="00CA7305" w:rsidRDefault="00327459"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51</w:t>
            </w:r>
          </w:p>
        </w:tc>
      </w:tr>
      <w:tr w:rsidR="00327459" w:rsidRPr="00CA7305" w14:paraId="0909C736" w14:textId="77777777" w:rsidTr="00327459">
        <w:tc>
          <w:tcPr>
            <w:tcW w:w="2337" w:type="dxa"/>
          </w:tcPr>
          <w:p w14:paraId="6FD43D78" w14:textId="00930A44" w:rsidR="00327459" w:rsidRPr="00CA7305" w:rsidRDefault="003D187A" w:rsidP="00D0285D">
            <w:pPr>
              <w:spacing w:after="0" w:line="240" w:lineRule="auto"/>
              <w:rPr>
                <w:rFonts w:ascii="Times New Roman" w:hAnsi="Times New Roman" w:cs="Times New Roman"/>
                <w:b/>
                <w:sz w:val="20"/>
                <w:szCs w:val="24"/>
              </w:rPr>
            </w:pPr>
            <w:r>
              <w:rPr>
                <w:rFonts w:ascii="Times New Roman" w:hAnsi="Times New Roman" w:cs="Times New Roman"/>
                <w:b/>
                <w:sz w:val="20"/>
                <w:szCs w:val="24"/>
              </w:rPr>
              <w:t xml:space="preserve">Rep./Clinton </w:t>
            </w:r>
          </w:p>
        </w:tc>
        <w:tc>
          <w:tcPr>
            <w:tcW w:w="2337" w:type="dxa"/>
          </w:tcPr>
          <w:p w14:paraId="3C472865" w14:textId="0D78C1E5"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11</w:t>
            </w:r>
          </w:p>
        </w:tc>
        <w:tc>
          <w:tcPr>
            <w:tcW w:w="2338" w:type="dxa"/>
          </w:tcPr>
          <w:p w14:paraId="10E571A7" w14:textId="38116D50"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56**</w:t>
            </w:r>
          </w:p>
        </w:tc>
        <w:tc>
          <w:tcPr>
            <w:tcW w:w="2338" w:type="dxa"/>
          </w:tcPr>
          <w:p w14:paraId="4D45C7AB" w14:textId="3294C6F6"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33</w:t>
            </w:r>
          </w:p>
        </w:tc>
      </w:tr>
      <w:tr w:rsidR="00327459" w:rsidRPr="00CA7305" w14:paraId="393BCBF1" w14:textId="77777777" w:rsidTr="00327459">
        <w:tc>
          <w:tcPr>
            <w:tcW w:w="2337" w:type="dxa"/>
          </w:tcPr>
          <w:p w14:paraId="572C1F28" w14:textId="20487066" w:rsidR="00327459" w:rsidRPr="00CA7305" w:rsidRDefault="003D187A" w:rsidP="00D0285D">
            <w:pPr>
              <w:spacing w:after="0" w:line="240" w:lineRule="auto"/>
              <w:rPr>
                <w:rFonts w:ascii="Times New Roman" w:hAnsi="Times New Roman" w:cs="Times New Roman"/>
                <w:b/>
                <w:sz w:val="20"/>
                <w:szCs w:val="24"/>
              </w:rPr>
            </w:pPr>
            <w:r>
              <w:rPr>
                <w:rFonts w:ascii="Times New Roman" w:hAnsi="Times New Roman" w:cs="Times New Roman"/>
                <w:b/>
                <w:sz w:val="20"/>
                <w:szCs w:val="24"/>
              </w:rPr>
              <w:t>Dem./Bush II</w:t>
            </w:r>
          </w:p>
        </w:tc>
        <w:tc>
          <w:tcPr>
            <w:tcW w:w="2337" w:type="dxa"/>
          </w:tcPr>
          <w:p w14:paraId="52B438BE" w14:textId="5A0E89BC"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26</w:t>
            </w:r>
          </w:p>
        </w:tc>
        <w:tc>
          <w:tcPr>
            <w:tcW w:w="2338" w:type="dxa"/>
          </w:tcPr>
          <w:p w14:paraId="66F1AA7C" w14:textId="0F9B68B6"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26**</w:t>
            </w:r>
          </w:p>
        </w:tc>
        <w:tc>
          <w:tcPr>
            <w:tcW w:w="2338" w:type="dxa"/>
          </w:tcPr>
          <w:p w14:paraId="6026529A" w14:textId="38BC2042"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47</w:t>
            </w:r>
          </w:p>
        </w:tc>
      </w:tr>
      <w:tr w:rsidR="00327459" w:rsidRPr="00CA7305" w14:paraId="3BAF03EB" w14:textId="77777777" w:rsidTr="00327459">
        <w:tc>
          <w:tcPr>
            <w:tcW w:w="2337" w:type="dxa"/>
          </w:tcPr>
          <w:p w14:paraId="460BA8E7" w14:textId="0962BE7E" w:rsidR="00327459" w:rsidRPr="00CA7305" w:rsidRDefault="003D187A" w:rsidP="00D0285D">
            <w:pPr>
              <w:spacing w:after="0" w:line="240" w:lineRule="auto"/>
              <w:rPr>
                <w:rFonts w:ascii="Times New Roman" w:hAnsi="Times New Roman" w:cs="Times New Roman"/>
                <w:b/>
                <w:sz w:val="20"/>
                <w:szCs w:val="24"/>
              </w:rPr>
            </w:pPr>
            <w:r>
              <w:rPr>
                <w:rFonts w:ascii="Times New Roman" w:hAnsi="Times New Roman" w:cs="Times New Roman"/>
                <w:b/>
                <w:sz w:val="20"/>
                <w:szCs w:val="24"/>
              </w:rPr>
              <w:t>Rep./Bush II</w:t>
            </w:r>
          </w:p>
        </w:tc>
        <w:tc>
          <w:tcPr>
            <w:tcW w:w="2337" w:type="dxa"/>
          </w:tcPr>
          <w:p w14:paraId="485B8347" w14:textId="242E47A4"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21</w:t>
            </w:r>
          </w:p>
        </w:tc>
        <w:tc>
          <w:tcPr>
            <w:tcW w:w="2338" w:type="dxa"/>
          </w:tcPr>
          <w:p w14:paraId="79C82111" w14:textId="580CCF01"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21**</w:t>
            </w:r>
          </w:p>
        </w:tc>
        <w:tc>
          <w:tcPr>
            <w:tcW w:w="2338" w:type="dxa"/>
          </w:tcPr>
          <w:p w14:paraId="0DA9870F" w14:textId="0C041357"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58</w:t>
            </w:r>
          </w:p>
        </w:tc>
      </w:tr>
      <w:tr w:rsidR="00327459" w:rsidRPr="00CA7305" w14:paraId="04E1FDEF" w14:textId="77777777" w:rsidTr="00327459">
        <w:tc>
          <w:tcPr>
            <w:tcW w:w="2337" w:type="dxa"/>
          </w:tcPr>
          <w:p w14:paraId="4436346C" w14:textId="019617ED" w:rsidR="00327459" w:rsidRPr="00CA7305" w:rsidRDefault="00327459" w:rsidP="00D0285D">
            <w:pPr>
              <w:spacing w:after="0" w:line="240" w:lineRule="auto"/>
              <w:rPr>
                <w:rFonts w:ascii="Times New Roman" w:hAnsi="Times New Roman" w:cs="Times New Roman"/>
                <w:b/>
                <w:sz w:val="20"/>
                <w:szCs w:val="24"/>
              </w:rPr>
            </w:pPr>
            <w:r w:rsidRPr="00CA7305">
              <w:rPr>
                <w:rFonts w:ascii="Times New Roman" w:hAnsi="Times New Roman" w:cs="Times New Roman"/>
                <w:b/>
                <w:sz w:val="20"/>
                <w:szCs w:val="24"/>
              </w:rPr>
              <w:t>De</w:t>
            </w:r>
            <w:r w:rsidR="003D187A">
              <w:rPr>
                <w:rFonts w:ascii="Times New Roman" w:hAnsi="Times New Roman" w:cs="Times New Roman"/>
                <w:b/>
                <w:sz w:val="20"/>
                <w:szCs w:val="24"/>
              </w:rPr>
              <w:t>m./Obama</w:t>
            </w:r>
          </w:p>
        </w:tc>
        <w:tc>
          <w:tcPr>
            <w:tcW w:w="2337" w:type="dxa"/>
          </w:tcPr>
          <w:p w14:paraId="6E85FC35" w14:textId="13669CAB"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25</w:t>
            </w:r>
          </w:p>
        </w:tc>
        <w:tc>
          <w:tcPr>
            <w:tcW w:w="2338" w:type="dxa"/>
          </w:tcPr>
          <w:p w14:paraId="25296974" w14:textId="7E6E3EBD"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12**</w:t>
            </w:r>
          </w:p>
        </w:tc>
        <w:tc>
          <w:tcPr>
            <w:tcW w:w="2338" w:type="dxa"/>
          </w:tcPr>
          <w:p w14:paraId="40BF45B5" w14:textId="07FEEF31" w:rsidR="00327459" w:rsidRPr="00CA7305" w:rsidRDefault="00F11A56" w:rsidP="00D0285D">
            <w:pPr>
              <w:spacing w:after="0" w:line="240" w:lineRule="auto"/>
              <w:rPr>
                <w:rFonts w:ascii="Times New Roman" w:hAnsi="Times New Roman" w:cs="Times New Roman"/>
                <w:sz w:val="20"/>
                <w:szCs w:val="24"/>
              </w:rPr>
            </w:pPr>
            <w:r w:rsidRPr="00CA7305">
              <w:rPr>
                <w:rFonts w:ascii="Times New Roman" w:hAnsi="Times New Roman" w:cs="Times New Roman"/>
                <w:sz w:val="20"/>
                <w:szCs w:val="24"/>
              </w:rPr>
              <w:t>62</w:t>
            </w:r>
          </w:p>
        </w:tc>
      </w:tr>
    </w:tbl>
    <w:p w14:paraId="002BB576" w14:textId="6959309B" w:rsidR="003D187A" w:rsidRDefault="003D187A" w:rsidP="004534ED">
      <w:pPr>
        <w:spacing w:after="0" w:line="480" w:lineRule="auto"/>
        <w:rPr>
          <w:rFonts w:ascii="Times New Roman" w:hAnsi="Times New Roman" w:cs="Times New Roman"/>
          <w:sz w:val="24"/>
          <w:szCs w:val="24"/>
        </w:rPr>
      </w:pPr>
    </w:p>
    <w:p w14:paraId="26C3CAC4" w14:textId="4FB47890" w:rsidR="00145BC4" w:rsidRPr="00145BC4" w:rsidRDefault="00145BC4" w:rsidP="004534ED">
      <w:pPr>
        <w:spacing w:after="0" w:line="480" w:lineRule="auto"/>
        <w:rPr>
          <w:rFonts w:ascii="Times New Roman" w:hAnsi="Times New Roman" w:cs="Times New Roman"/>
          <w:b/>
          <w:sz w:val="24"/>
          <w:szCs w:val="24"/>
        </w:rPr>
      </w:pPr>
      <w:r w:rsidRPr="00145BC4">
        <w:rPr>
          <w:rFonts w:ascii="Times New Roman" w:hAnsi="Times New Roman" w:cs="Times New Roman"/>
          <w:b/>
          <w:sz w:val="24"/>
          <w:szCs w:val="24"/>
        </w:rPr>
        <w:t>Figure 5</w:t>
      </w:r>
    </w:p>
    <w:p w14:paraId="32D4A49A" w14:textId="2DB6016B" w:rsidR="00075E60" w:rsidRPr="0027708C" w:rsidRDefault="00145BC4" w:rsidP="00D877E7">
      <w:pPr>
        <w:spacing w:after="0" w:line="480" w:lineRule="auto"/>
        <w:rPr>
          <w:rFonts w:ascii="Times New Roman" w:hAnsi="Times New Roman" w:cs="Times New Roman"/>
          <w:b/>
          <w:sz w:val="24"/>
          <w:szCs w:val="24"/>
        </w:rPr>
      </w:pPr>
      <w:r w:rsidRPr="00C022F0">
        <w:rPr>
          <w:noProof/>
        </w:rPr>
        <w:drawing>
          <wp:inline distT="0" distB="0" distL="0" distR="0" wp14:anchorId="1896EEBE" wp14:editId="7151B0BC">
            <wp:extent cx="5118100" cy="3746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1B0C1E23" w14:textId="0017FA69" w:rsidR="00196292" w:rsidRPr="00F47E4C" w:rsidRDefault="00E07E14" w:rsidP="00F47E4C">
      <w:pPr>
        <w:pStyle w:val="ListParagraph"/>
        <w:numPr>
          <w:ilvl w:val="0"/>
          <w:numId w:val="9"/>
        </w:numPr>
        <w:spacing w:after="0" w:line="480" w:lineRule="auto"/>
        <w:rPr>
          <w:rFonts w:ascii="Times New Roman" w:hAnsi="Times New Roman" w:cs="Times New Roman"/>
          <w:b/>
          <w:sz w:val="24"/>
          <w:szCs w:val="24"/>
        </w:rPr>
      </w:pPr>
      <w:r w:rsidRPr="00F47E4C">
        <w:rPr>
          <w:rFonts w:ascii="Times New Roman" w:hAnsi="Times New Roman" w:cs="Times New Roman"/>
          <w:b/>
          <w:sz w:val="24"/>
          <w:szCs w:val="24"/>
        </w:rPr>
        <w:t>Board’s Use of Textualism</w:t>
      </w:r>
      <w:r w:rsidR="00D0285D" w:rsidRPr="00F47E4C">
        <w:rPr>
          <w:rFonts w:ascii="Times New Roman" w:hAnsi="Times New Roman" w:cs="Times New Roman"/>
          <w:b/>
          <w:sz w:val="24"/>
          <w:szCs w:val="24"/>
        </w:rPr>
        <w:t xml:space="preserve"> and Latin/Language Canon</w:t>
      </w:r>
      <w:r w:rsidR="0027708C" w:rsidRPr="00F47E4C">
        <w:rPr>
          <w:rFonts w:ascii="Times New Roman" w:hAnsi="Times New Roman" w:cs="Times New Roman"/>
          <w:b/>
          <w:sz w:val="24"/>
          <w:szCs w:val="24"/>
        </w:rPr>
        <w:t>s</w:t>
      </w:r>
    </w:p>
    <w:p w14:paraId="41722398" w14:textId="5993BEF2" w:rsidR="004C1BB3" w:rsidRDefault="00FE4E2A" w:rsidP="00F508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Board engaged in different types of textual analysis. </w:t>
      </w:r>
      <w:r w:rsidR="004C1BB3">
        <w:rPr>
          <w:rFonts w:ascii="Times New Roman" w:hAnsi="Times New Roman" w:cs="Times New Roman"/>
          <w:sz w:val="24"/>
          <w:szCs w:val="24"/>
        </w:rPr>
        <w:t>In this section I set forth and explore in a doc</w:t>
      </w:r>
      <w:r w:rsidR="00405361">
        <w:rPr>
          <w:rFonts w:ascii="Times New Roman" w:hAnsi="Times New Roman" w:cs="Times New Roman"/>
          <w:sz w:val="24"/>
          <w:szCs w:val="24"/>
        </w:rPr>
        <w:t xml:space="preserve">trinal fashion each of the three </w:t>
      </w:r>
      <w:r w:rsidR="00145BC4">
        <w:rPr>
          <w:rFonts w:ascii="Times New Roman" w:hAnsi="Times New Roman" w:cs="Times New Roman"/>
          <w:sz w:val="24"/>
          <w:szCs w:val="24"/>
        </w:rPr>
        <w:t>typologies in turn: 1) plain meaning textualism; 2) e</w:t>
      </w:r>
      <w:r w:rsidR="004C1BB3">
        <w:rPr>
          <w:rFonts w:ascii="Times New Roman" w:hAnsi="Times New Roman" w:cs="Times New Roman"/>
          <w:sz w:val="24"/>
          <w:szCs w:val="24"/>
        </w:rPr>
        <w:t xml:space="preserve">xpansive textualism; </w:t>
      </w:r>
      <w:r w:rsidR="00BC3046">
        <w:rPr>
          <w:rFonts w:ascii="Times New Roman" w:hAnsi="Times New Roman" w:cs="Times New Roman"/>
          <w:sz w:val="24"/>
          <w:szCs w:val="24"/>
        </w:rPr>
        <w:t xml:space="preserve">and </w:t>
      </w:r>
      <w:r w:rsidR="00405361">
        <w:rPr>
          <w:rFonts w:ascii="Times New Roman" w:hAnsi="Times New Roman" w:cs="Times New Roman"/>
          <w:sz w:val="24"/>
          <w:szCs w:val="24"/>
        </w:rPr>
        <w:t>3</w:t>
      </w:r>
      <w:r w:rsidR="004C1BB3">
        <w:rPr>
          <w:rFonts w:ascii="Times New Roman" w:hAnsi="Times New Roman" w:cs="Times New Roman"/>
          <w:sz w:val="24"/>
          <w:szCs w:val="24"/>
        </w:rPr>
        <w:t>)</w:t>
      </w:r>
      <w:r w:rsidR="00145BC4">
        <w:rPr>
          <w:rFonts w:ascii="Times New Roman" w:hAnsi="Times New Roman" w:cs="Times New Roman"/>
          <w:sz w:val="24"/>
          <w:szCs w:val="24"/>
        </w:rPr>
        <w:t xml:space="preserve"> t</w:t>
      </w:r>
      <w:r w:rsidR="00E82FF7">
        <w:rPr>
          <w:rFonts w:ascii="Times New Roman" w:hAnsi="Times New Roman" w:cs="Times New Roman"/>
          <w:sz w:val="24"/>
          <w:szCs w:val="24"/>
        </w:rPr>
        <w:t>extualism by r</w:t>
      </w:r>
      <w:r w:rsidR="004C1BB3">
        <w:rPr>
          <w:rFonts w:ascii="Times New Roman" w:hAnsi="Times New Roman" w:cs="Times New Roman"/>
          <w:sz w:val="24"/>
          <w:szCs w:val="24"/>
        </w:rPr>
        <w:t>elianc</w:t>
      </w:r>
      <w:r w:rsidR="00E82FF7">
        <w:rPr>
          <w:rFonts w:ascii="Times New Roman" w:hAnsi="Times New Roman" w:cs="Times New Roman"/>
          <w:sz w:val="24"/>
          <w:szCs w:val="24"/>
        </w:rPr>
        <w:t>e on l</w:t>
      </w:r>
      <w:r w:rsidR="004C1BB3">
        <w:rPr>
          <w:rFonts w:ascii="Times New Roman" w:hAnsi="Times New Roman" w:cs="Times New Roman"/>
          <w:sz w:val="24"/>
          <w:szCs w:val="24"/>
        </w:rPr>
        <w:t xml:space="preserve">anguage/Latin/textual canons (particularly the whole act rule). </w:t>
      </w:r>
    </w:p>
    <w:p w14:paraId="0269BF80" w14:textId="5386A678" w:rsidR="004C1BB3" w:rsidRPr="00F47E4C" w:rsidRDefault="004C1BB3" w:rsidP="00F47E4C">
      <w:pPr>
        <w:pStyle w:val="ListParagraph"/>
        <w:numPr>
          <w:ilvl w:val="0"/>
          <w:numId w:val="23"/>
        </w:numPr>
        <w:spacing w:after="0" w:line="480" w:lineRule="auto"/>
        <w:rPr>
          <w:rFonts w:ascii="Times New Roman" w:hAnsi="Times New Roman" w:cs="Times New Roman"/>
          <w:b/>
          <w:sz w:val="24"/>
          <w:szCs w:val="24"/>
        </w:rPr>
      </w:pPr>
      <w:r w:rsidRPr="00F47E4C">
        <w:rPr>
          <w:rFonts w:ascii="Times New Roman" w:hAnsi="Times New Roman" w:cs="Times New Roman"/>
          <w:b/>
          <w:sz w:val="24"/>
          <w:szCs w:val="24"/>
        </w:rPr>
        <w:t>Plain Meaning Textualism</w:t>
      </w:r>
    </w:p>
    <w:p w14:paraId="368ADDB8" w14:textId="5E24FA3A" w:rsidR="00931BD2" w:rsidRDefault="004C1BB3" w:rsidP="00931B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E4E2A">
        <w:rPr>
          <w:rFonts w:ascii="Times New Roman" w:hAnsi="Times New Roman" w:cs="Times New Roman"/>
          <w:sz w:val="24"/>
          <w:szCs w:val="24"/>
        </w:rPr>
        <w:t xml:space="preserve">In the </w:t>
      </w:r>
      <w:r>
        <w:rPr>
          <w:rFonts w:ascii="Times New Roman" w:hAnsi="Times New Roman" w:cs="Times New Roman"/>
          <w:sz w:val="24"/>
          <w:szCs w:val="24"/>
        </w:rPr>
        <w:t>“primarily textualist”</w:t>
      </w:r>
      <w:r w:rsidR="00FE4E2A">
        <w:rPr>
          <w:rFonts w:ascii="Times New Roman" w:hAnsi="Times New Roman" w:cs="Times New Roman"/>
          <w:sz w:val="24"/>
          <w:szCs w:val="24"/>
        </w:rPr>
        <w:t xml:space="preserve"> cases cited above, the Board </w:t>
      </w:r>
      <w:r>
        <w:rPr>
          <w:rFonts w:ascii="Times New Roman" w:hAnsi="Times New Roman" w:cs="Times New Roman"/>
          <w:sz w:val="24"/>
          <w:szCs w:val="24"/>
        </w:rPr>
        <w:t xml:space="preserve">sometimes read the text as mandating </w:t>
      </w:r>
      <w:r w:rsidR="00FE4E2A">
        <w:rPr>
          <w:rFonts w:ascii="Times New Roman" w:hAnsi="Times New Roman" w:cs="Times New Roman"/>
          <w:sz w:val="24"/>
          <w:szCs w:val="24"/>
        </w:rPr>
        <w:t>a certain interpretation</w:t>
      </w:r>
      <w:r>
        <w:rPr>
          <w:rFonts w:ascii="Times New Roman" w:hAnsi="Times New Roman" w:cs="Times New Roman"/>
          <w:sz w:val="24"/>
          <w:szCs w:val="24"/>
        </w:rPr>
        <w:t xml:space="preserve"> </w:t>
      </w:r>
      <w:r w:rsidR="009118FB">
        <w:rPr>
          <w:rFonts w:ascii="Times New Roman" w:hAnsi="Times New Roman" w:cs="Times New Roman"/>
          <w:sz w:val="24"/>
          <w:szCs w:val="24"/>
        </w:rPr>
        <w:t xml:space="preserve">by the clear import of the text. </w:t>
      </w:r>
      <w:r w:rsidR="00A709B4">
        <w:rPr>
          <w:rFonts w:ascii="Times New Roman" w:hAnsi="Times New Roman" w:cs="Times New Roman"/>
          <w:sz w:val="24"/>
          <w:szCs w:val="24"/>
        </w:rPr>
        <w:t>This analysis is s</w:t>
      </w:r>
      <w:r w:rsidR="0049190E">
        <w:rPr>
          <w:rFonts w:ascii="Times New Roman" w:hAnsi="Times New Roman" w:cs="Times New Roman"/>
          <w:sz w:val="24"/>
          <w:szCs w:val="24"/>
        </w:rPr>
        <w:t xml:space="preserve">imilar to a </w:t>
      </w:r>
      <w:r w:rsidR="0049190E" w:rsidRPr="009118FB">
        <w:rPr>
          <w:rFonts w:ascii="Times New Roman" w:hAnsi="Times New Roman" w:cs="Times New Roman"/>
          <w:i/>
          <w:sz w:val="24"/>
          <w:szCs w:val="24"/>
        </w:rPr>
        <w:t>Chevron</w:t>
      </w:r>
      <w:r w:rsidR="0049190E">
        <w:rPr>
          <w:rFonts w:ascii="Times New Roman" w:hAnsi="Times New Roman" w:cs="Times New Roman"/>
          <w:sz w:val="24"/>
          <w:szCs w:val="24"/>
        </w:rPr>
        <w:t xml:space="preserve"> Step 1 analy</w:t>
      </w:r>
      <w:r w:rsidR="00A709B4">
        <w:rPr>
          <w:rFonts w:ascii="Times New Roman" w:hAnsi="Times New Roman" w:cs="Times New Roman"/>
          <w:sz w:val="24"/>
          <w:szCs w:val="24"/>
        </w:rPr>
        <w:t xml:space="preserve">sis where the Board found the text to be unambiguous. </w:t>
      </w:r>
      <w:r w:rsidR="00145BC4">
        <w:rPr>
          <w:rFonts w:ascii="Times New Roman" w:hAnsi="Times New Roman" w:cs="Times New Roman"/>
          <w:sz w:val="24"/>
          <w:szCs w:val="24"/>
        </w:rPr>
        <w:t>P</w:t>
      </w:r>
      <w:r>
        <w:rPr>
          <w:rFonts w:ascii="Times New Roman" w:hAnsi="Times New Roman" w:cs="Times New Roman"/>
          <w:sz w:val="24"/>
          <w:szCs w:val="24"/>
        </w:rPr>
        <w:t>lain meaning textualism had little influence in influencing how the Board interprets statutes</w:t>
      </w:r>
      <w:r w:rsidR="00A709B4">
        <w:rPr>
          <w:rFonts w:ascii="Times New Roman" w:hAnsi="Times New Roman" w:cs="Times New Roman"/>
          <w:sz w:val="24"/>
          <w:szCs w:val="24"/>
        </w:rPr>
        <w:t xml:space="preserve"> on the whole</w:t>
      </w:r>
      <w:r w:rsidR="00145BC4">
        <w:rPr>
          <w:rFonts w:ascii="Times New Roman" w:hAnsi="Times New Roman" w:cs="Times New Roman"/>
          <w:sz w:val="24"/>
          <w:szCs w:val="24"/>
        </w:rPr>
        <w:t xml:space="preserve"> as the Board found the meaning plain and dispositive in less than 4% of the cases</w:t>
      </w:r>
      <w:r>
        <w:rPr>
          <w:rFonts w:ascii="Times New Roman" w:hAnsi="Times New Roman" w:cs="Times New Roman"/>
          <w:sz w:val="24"/>
          <w:szCs w:val="24"/>
        </w:rPr>
        <w:t xml:space="preserve">. </w:t>
      </w:r>
      <w:r w:rsidR="00A709B4">
        <w:rPr>
          <w:rFonts w:ascii="Times New Roman" w:hAnsi="Times New Roman" w:cs="Times New Roman"/>
          <w:sz w:val="24"/>
          <w:szCs w:val="24"/>
        </w:rPr>
        <w:t>Further, e</w:t>
      </w:r>
      <w:r w:rsidR="00931BD2">
        <w:rPr>
          <w:rFonts w:ascii="Times New Roman" w:hAnsi="Times New Roman" w:cs="Times New Roman"/>
          <w:sz w:val="24"/>
          <w:szCs w:val="24"/>
        </w:rPr>
        <w:t>ven when the Board adopts a “plain meaning” approach with the text clearly necessitating a given result, the</w:t>
      </w:r>
      <w:r w:rsidR="0082360C">
        <w:rPr>
          <w:rFonts w:ascii="Times New Roman" w:hAnsi="Times New Roman" w:cs="Times New Roman"/>
          <w:sz w:val="24"/>
          <w:szCs w:val="24"/>
        </w:rPr>
        <w:t xml:space="preserve"> </w:t>
      </w:r>
      <w:r w:rsidR="00BC33E5">
        <w:rPr>
          <w:rFonts w:ascii="Times New Roman" w:hAnsi="Times New Roman" w:cs="Times New Roman"/>
          <w:sz w:val="24"/>
          <w:szCs w:val="24"/>
        </w:rPr>
        <w:t>Board’s inquiry did</w:t>
      </w:r>
      <w:r w:rsidR="00931BD2" w:rsidRPr="00FC6F7D">
        <w:rPr>
          <w:rFonts w:ascii="Times New Roman" w:hAnsi="Times New Roman" w:cs="Times New Roman"/>
          <w:sz w:val="24"/>
          <w:szCs w:val="24"/>
        </w:rPr>
        <w:t xml:space="preserve"> not stop at the text; rat</w:t>
      </w:r>
      <w:r w:rsidR="00BC33E5">
        <w:rPr>
          <w:rFonts w:ascii="Times New Roman" w:hAnsi="Times New Roman" w:cs="Times New Roman"/>
          <w:sz w:val="24"/>
          <w:szCs w:val="24"/>
        </w:rPr>
        <w:t xml:space="preserve">her, even though the Board found the text to be clear, they went further and examined </w:t>
      </w:r>
      <w:r w:rsidR="00931BD2" w:rsidRPr="00FC6F7D">
        <w:rPr>
          <w:rFonts w:ascii="Times New Roman" w:hAnsi="Times New Roman" w:cs="Times New Roman"/>
          <w:sz w:val="24"/>
          <w:szCs w:val="24"/>
        </w:rPr>
        <w:t xml:space="preserve">the legislative history (45%), caselaw (90%) or policy considerations (66%) to back up its textual analysis. </w:t>
      </w:r>
    </w:p>
    <w:p w14:paraId="62B6CC12" w14:textId="2A807F4B" w:rsidR="00BC5B2C" w:rsidRDefault="00931BD2" w:rsidP="00F508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Board adopted a pl</w:t>
      </w:r>
      <w:r w:rsidR="00BC5B2C">
        <w:rPr>
          <w:rFonts w:ascii="Times New Roman" w:hAnsi="Times New Roman" w:cs="Times New Roman"/>
          <w:sz w:val="24"/>
          <w:szCs w:val="24"/>
        </w:rPr>
        <w:t xml:space="preserve">ain meaning textualist approach, </w:t>
      </w:r>
      <w:r w:rsidR="00145BC4">
        <w:rPr>
          <w:rFonts w:ascii="Times New Roman" w:hAnsi="Times New Roman" w:cs="Times New Roman"/>
          <w:sz w:val="24"/>
          <w:szCs w:val="24"/>
        </w:rPr>
        <w:t>as an example</w:t>
      </w:r>
      <w:r w:rsidR="00BC5B2C">
        <w:rPr>
          <w:rFonts w:ascii="Times New Roman" w:hAnsi="Times New Roman" w:cs="Times New Roman"/>
          <w:sz w:val="24"/>
          <w:szCs w:val="24"/>
        </w:rPr>
        <w:t xml:space="preserve">, in </w:t>
      </w:r>
      <w:r w:rsidR="00BC5B2C" w:rsidRPr="00FE24C6">
        <w:rPr>
          <w:rFonts w:ascii="Times New Roman" w:hAnsi="Times New Roman" w:cs="Times New Roman"/>
          <w:i/>
          <w:sz w:val="24"/>
          <w:szCs w:val="24"/>
        </w:rPr>
        <w:t>Alexandra Clinic, P.A., et al</w:t>
      </w:r>
      <w:r w:rsidR="00BC5B2C">
        <w:rPr>
          <w:rFonts w:ascii="Times New Roman" w:hAnsi="Times New Roman" w:cs="Times New Roman"/>
          <w:sz w:val="24"/>
          <w:szCs w:val="24"/>
        </w:rPr>
        <w:t>.</w:t>
      </w:r>
      <w:r w:rsidR="00BC5B2C">
        <w:rPr>
          <w:rStyle w:val="FootnoteReference"/>
          <w:rFonts w:ascii="Times New Roman" w:hAnsi="Times New Roman" w:cs="Times New Roman"/>
          <w:sz w:val="24"/>
          <w:szCs w:val="24"/>
        </w:rPr>
        <w:footnoteReference w:id="158"/>
      </w:r>
      <w:r w:rsidR="0029164C">
        <w:rPr>
          <w:rFonts w:ascii="Times New Roman" w:hAnsi="Times New Roman" w:cs="Times New Roman"/>
          <w:sz w:val="24"/>
          <w:szCs w:val="24"/>
        </w:rPr>
        <w:t xml:space="preserve"> In the case, </w:t>
      </w:r>
      <w:r w:rsidR="00BC5B2C">
        <w:rPr>
          <w:rFonts w:ascii="Times New Roman" w:hAnsi="Times New Roman" w:cs="Times New Roman"/>
          <w:sz w:val="24"/>
          <w:szCs w:val="24"/>
        </w:rPr>
        <w:t>the Board reversed the ALJ’s finding that the employer violated sections 8(a)(1) and 8(a)(3) of the NLRA by terminating striking nurses.</w:t>
      </w:r>
      <w:r w:rsidR="00BC5B2C">
        <w:rPr>
          <w:rStyle w:val="FootnoteReference"/>
          <w:rFonts w:ascii="Times New Roman" w:hAnsi="Times New Roman" w:cs="Times New Roman"/>
          <w:sz w:val="24"/>
          <w:szCs w:val="24"/>
        </w:rPr>
        <w:footnoteReference w:id="159"/>
      </w:r>
      <w:r w:rsidR="00BC5B2C">
        <w:rPr>
          <w:rFonts w:ascii="Times New Roman" w:hAnsi="Times New Roman" w:cs="Times New Roman"/>
          <w:sz w:val="24"/>
          <w:szCs w:val="24"/>
        </w:rPr>
        <w:t xml:space="preserve"> The Board relied on the plain language of section 8(g) of the statute, which expressly stated that nurses must give ten days advance notice in order to strike.</w:t>
      </w:r>
      <w:r w:rsidR="00BC5B2C">
        <w:rPr>
          <w:rStyle w:val="FootnoteReference"/>
          <w:rFonts w:ascii="Times New Roman" w:hAnsi="Times New Roman" w:cs="Times New Roman"/>
          <w:sz w:val="24"/>
          <w:szCs w:val="24"/>
        </w:rPr>
        <w:footnoteReference w:id="160"/>
      </w:r>
      <w:r w:rsidR="0029164C">
        <w:rPr>
          <w:rFonts w:ascii="Times New Roman" w:hAnsi="Times New Roman" w:cs="Times New Roman"/>
          <w:sz w:val="24"/>
          <w:szCs w:val="24"/>
        </w:rPr>
        <w:t xml:space="preserve"> </w:t>
      </w:r>
      <w:r w:rsidR="00FE24C6">
        <w:rPr>
          <w:rFonts w:ascii="Times New Roman" w:hAnsi="Times New Roman" w:cs="Times New Roman"/>
          <w:sz w:val="24"/>
          <w:szCs w:val="24"/>
        </w:rPr>
        <w:t xml:space="preserve">The Board made clear that the text controlled: “[s]ince the text of the statute is the law and that text is crystal clear and unambiguous, no further </w:t>
      </w:r>
      <w:r w:rsidR="00FE24C6">
        <w:rPr>
          <w:rFonts w:ascii="Times New Roman" w:hAnsi="Times New Roman" w:cs="Times New Roman"/>
          <w:sz w:val="24"/>
          <w:szCs w:val="24"/>
        </w:rPr>
        <w:lastRenderedPageBreak/>
        <w:t>discussion is necessary.”</w:t>
      </w:r>
      <w:r w:rsidR="00FE24C6">
        <w:rPr>
          <w:rStyle w:val="FootnoteReference"/>
          <w:rFonts w:ascii="Times New Roman" w:hAnsi="Times New Roman" w:cs="Times New Roman"/>
          <w:sz w:val="24"/>
          <w:szCs w:val="24"/>
        </w:rPr>
        <w:footnoteReference w:id="161"/>
      </w:r>
      <w:r w:rsidR="00FE24C6">
        <w:rPr>
          <w:rFonts w:ascii="Times New Roman" w:hAnsi="Times New Roman" w:cs="Times New Roman"/>
          <w:sz w:val="24"/>
          <w:szCs w:val="24"/>
        </w:rPr>
        <w:t xml:space="preserve"> </w:t>
      </w:r>
      <w:r w:rsidR="00BC5B2C">
        <w:rPr>
          <w:rFonts w:ascii="Times New Roman" w:hAnsi="Times New Roman" w:cs="Times New Roman"/>
          <w:sz w:val="24"/>
          <w:szCs w:val="24"/>
        </w:rPr>
        <w:t xml:space="preserve">In so ruling, they overruled the Board’s prior decision in </w:t>
      </w:r>
      <w:r w:rsidR="00BC5B2C" w:rsidRPr="0029164C">
        <w:rPr>
          <w:rFonts w:ascii="Times New Roman" w:hAnsi="Times New Roman" w:cs="Times New Roman"/>
          <w:i/>
          <w:sz w:val="24"/>
          <w:szCs w:val="24"/>
        </w:rPr>
        <w:t>Greater New Orleans</w:t>
      </w:r>
      <w:r w:rsidR="005764D7">
        <w:rPr>
          <w:rFonts w:ascii="Times New Roman" w:hAnsi="Times New Roman" w:cs="Times New Roman"/>
          <w:sz w:val="24"/>
          <w:szCs w:val="24"/>
        </w:rPr>
        <w:t>,</w:t>
      </w:r>
      <w:r w:rsidR="00BC5B2C">
        <w:rPr>
          <w:rStyle w:val="FootnoteReference"/>
          <w:rFonts w:ascii="Times New Roman" w:hAnsi="Times New Roman" w:cs="Times New Roman"/>
          <w:sz w:val="24"/>
          <w:szCs w:val="24"/>
        </w:rPr>
        <w:footnoteReference w:id="162"/>
      </w:r>
      <w:r w:rsidR="00BC5B2C">
        <w:rPr>
          <w:rFonts w:ascii="Times New Roman" w:hAnsi="Times New Roman" w:cs="Times New Roman"/>
          <w:sz w:val="24"/>
          <w:szCs w:val="24"/>
        </w:rPr>
        <w:t xml:space="preserve"> which had used the legislative history to change the meaning</w:t>
      </w:r>
      <w:r w:rsidR="0029164C">
        <w:rPr>
          <w:rFonts w:ascii="Times New Roman" w:hAnsi="Times New Roman" w:cs="Times New Roman"/>
          <w:sz w:val="24"/>
          <w:szCs w:val="24"/>
        </w:rPr>
        <w:t xml:space="preserve"> to give strikers more flexibility in the notice requirements</w:t>
      </w:r>
      <w:r w:rsidR="00BC5B2C">
        <w:rPr>
          <w:rFonts w:ascii="Times New Roman" w:hAnsi="Times New Roman" w:cs="Times New Roman"/>
          <w:sz w:val="24"/>
          <w:szCs w:val="24"/>
        </w:rPr>
        <w:t>.</w:t>
      </w:r>
      <w:r w:rsidR="00BC5B2C">
        <w:rPr>
          <w:rStyle w:val="FootnoteReference"/>
          <w:rFonts w:ascii="Times New Roman" w:hAnsi="Times New Roman" w:cs="Times New Roman"/>
          <w:sz w:val="24"/>
          <w:szCs w:val="24"/>
        </w:rPr>
        <w:footnoteReference w:id="163"/>
      </w:r>
      <w:r w:rsidR="00BC5B2C">
        <w:rPr>
          <w:rFonts w:ascii="Times New Roman" w:hAnsi="Times New Roman" w:cs="Times New Roman"/>
          <w:sz w:val="24"/>
          <w:szCs w:val="24"/>
        </w:rPr>
        <w:t xml:space="preserve"> The Board here referenced section 8(g)’s history by noting how in 1974 Congress amended the Act to extend collective bargaining rights to health care workers.</w:t>
      </w:r>
      <w:r w:rsidR="00BC5B2C">
        <w:rPr>
          <w:rStyle w:val="FootnoteReference"/>
          <w:rFonts w:ascii="Times New Roman" w:hAnsi="Times New Roman" w:cs="Times New Roman"/>
          <w:sz w:val="24"/>
          <w:szCs w:val="24"/>
        </w:rPr>
        <w:footnoteReference w:id="164"/>
      </w:r>
      <w:r w:rsidR="00BC5B2C">
        <w:rPr>
          <w:rFonts w:ascii="Times New Roman" w:hAnsi="Times New Roman" w:cs="Times New Roman"/>
          <w:sz w:val="24"/>
          <w:szCs w:val="24"/>
        </w:rPr>
        <w:t xml:space="preserve"> Congress had to make a trade-off; while it wanted to extend benefits, it also had to face the real</w:t>
      </w:r>
      <w:r w:rsidR="005764D7">
        <w:rPr>
          <w:rFonts w:ascii="Times New Roman" w:hAnsi="Times New Roman" w:cs="Times New Roman"/>
          <w:sz w:val="24"/>
          <w:szCs w:val="24"/>
        </w:rPr>
        <w:t>i</w:t>
      </w:r>
      <w:r w:rsidR="00BC5B2C">
        <w:rPr>
          <w:rFonts w:ascii="Times New Roman" w:hAnsi="Times New Roman" w:cs="Times New Roman"/>
          <w:sz w:val="24"/>
          <w:szCs w:val="24"/>
        </w:rPr>
        <w:t>ties of modern healthcare and the disruption that would ensue should health care workers be allowed to strike with impunity.</w:t>
      </w:r>
      <w:r w:rsidR="00BC5B2C">
        <w:rPr>
          <w:rStyle w:val="FootnoteReference"/>
          <w:rFonts w:ascii="Times New Roman" w:hAnsi="Times New Roman" w:cs="Times New Roman"/>
          <w:sz w:val="24"/>
          <w:szCs w:val="24"/>
        </w:rPr>
        <w:footnoteReference w:id="165"/>
      </w:r>
      <w:r w:rsidR="00BC5B2C">
        <w:rPr>
          <w:rFonts w:ascii="Times New Roman" w:hAnsi="Times New Roman" w:cs="Times New Roman"/>
          <w:sz w:val="24"/>
          <w:szCs w:val="24"/>
        </w:rPr>
        <w:t xml:space="preserve"> The Board however stated that the section’s notice requirement was “clear and absolute,” in that it was clearly mandatory rather than discretionary,</w:t>
      </w:r>
      <w:r w:rsidR="00BC5B2C">
        <w:rPr>
          <w:rStyle w:val="FootnoteReference"/>
          <w:rFonts w:ascii="Times New Roman" w:hAnsi="Times New Roman" w:cs="Times New Roman"/>
          <w:sz w:val="24"/>
          <w:szCs w:val="24"/>
        </w:rPr>
        <w:footnoteReference w:id="166"/>
      </w:r>
      <w:r w:rsidR="00BC5B2C">
        <w:rPr>
          <w:rFonts w:ascii="Times New Roman" w:hAnsi="Times New Roman" w:cs="Times New Roman"/>
          <w:sz w:val="24"/>
          <w:szCs w:val="24"/>
        </w:rPr>
        <w:t xml:space="preserve"> and that the plain text made clear that it applied regardless of the nature of the picketing as the statute clearly stated that notice was required in advance of “any strike, picketing or other concerted refusal to work at any health care institution.”</w:t>
      </w:r>
      <w:r w:rsidR="00BC5B2C">
        <w:rPr>
          <w:rStyle w:val="FootnoteReference"/>
          <w:rFonts w:ascii="Times New Roman" w:hAnsi="Times New Roman" w:cs="Times New Roman"/>
          <w:sz w:val="24"/>
          <w:szCs w:val="24"/>
        </w:rPr>
        <w:footnoteReference w:id="167"/>
      </w:r>
      <w:r w:rsidR="00BC5B2C">
        <w:rPr>
          <w:rFonts w:ascii="Times New Roman" w:hAnsi="Times New Roman" w:cs="Times New Roman"/>
          <w:sz w:val="24"/>
          <w:szCs w:val="24"/>
        </w:rPr>
        <w:t xml:space="preserve"> The Board further noted that the section contained no modifying language respecting the nature of the picketing, and that as such, the provision should be interpreted to apply to the conduct at issue in the case.</w:t>
      </w:r>
      <w:r w:rsidR="00BC5B2C">
        <w:rPr>
          <w:rStyle w:val="FootnoteReference"/>
          <w:rFonts w:ascii="Times New Roman" w:hAnsi="Times New Roman" w:cs="Times New Roman"/>
          <w:sz w:val="24"/>
          <w:szCs w:val="24"/>
        </w:rPr>
        <w:footnoteReference w:id="168"/>
      </w:r>
      <w:r w:rsidR="009118FB">
        <w:rPr>
          <w:rFonts w:ascii="Times New Roman" w:hAnsi="Times New Roman" w:cs="Times New Roman"/>
          <w:sz w:val="24"/>
          <w:szCs w:val="24"/>
        </w:rPr>
        <w:t xml:space="preserve"> The Board criticized</w:t>
      </w:r>
      <w:r w:rsidR="00FE24C6">
        <w:rPr>
          <w:rFonts w:ascii="Times New Roman" w:hAnsi="Times New Roman" w:cs="Times New Roman"/>
          <w:sz w:val="24"/>
          <w:szCs w:val="24"/>
        </w:rPr>
        <w:t xml:space="preserve"> the </w:t>
      </w:r>
      <w:r w:rsidR="00FE24C6" w:rsidRPr="00FE24C6">
        <w:rPr>
          <w:rFonts w:ascii="Times New Roman" w:hAnsi="Times New Roman" w:cs="Times New Roman"/>
          <w:i/>
          <w:sz w:val="24"/>
          <w:szCs w:val="24"/>
        </w:rPr>
        <w:t>Greater New Orleans</w:t>
      </w:r>
      <w:r w:rsidR="00FE24C6">
        <w:rPr>
          <w:rFonts w:ascii="Times New Roman" w:hAnsi="Times New Roman" w:cs="Times New Roman"/>
          <w:sz w:val="24"/>
          <w:szCs w:val="24"/>
        </w:rPr>
        <w:t xml:space="preserve"> Board by using legislative history to “rewrite the statute” to make the notice requirement discretionary rather than mandatory.</w:t>
      </w:r>
      <w:r w:rsidR="00FE24C6">
        <w:rPr>
          <w:rStyle w:val="FootnoteReference"/>
          <w:rFonts w:ascii="Times New Roman" w:hAnsi="Times New Roman" w:cs="Times New Roman"/>
          <w:sz w:val="24"/>
          <w:szCs w:val="24"/>
        </w:rPr>
        <w:footnoteReference w:id="169"/>
      </w:r>
      <w:r w:rsidR="00FE24C6">
        <w:rPr>
          <w:rFonts w:ascii="Times New Roman" w:hAnsi="Times New Roman" w:cs="Times New Roman"/>
          <w:sz w:val="24"/>
          <w:szCs w:val="24"/>
        </w:rPr>
        <w:t xml:space="preserve"> Even though the Board found the text to be clear warranting “no further discussion,” as is the Board’s usual practice, the Board still went on to note that “policy considerations underlying Section 8(g) are effectuated” by applying it to the strikers workers in the case.</w:t>
      </w:r>
      <w:r w:rsidR="00FE24C6">
        <w:rPr>
          <w:rStyle w:val="FootnoteReference"/>
          <w:rFonts w:ascii="Times New Roman" w:hAnsi="Times New Roman" w:cs="Times New Roman"/>
          <w:sz w:val="24"/>
          <w:szCs w:val="24"/>
        </w:rPr>
        <w:footnoteReference w:id="170"/>
      </w:r>
    </w:p>
    <w:p w14:paraId="5D4C5A30" w14:textId="478E36A8" w:rsidR="004C1BB3" w:rsidRPr="0068765B" w:rsidRDefault="004C1BB3" w:rsidP="00F47E4C">
      <w:pPr>
        <w:pStyle w:val="ListParagraph"/>
        <w:numPr>
          <w:ilvl w:val="0"/>
          <w:numId w:val="23"/>
        </w:numPr>
        <w:spacing w:after="0" w:line="480" w:lineRule="auto"/>
        <w:rPr>
          <w:rFonts w:ascii="Times New Roman" w:hAnsi="Times New Roman" w:cs="Times New Roman"/>
          <w:b/>
          <w:sz w:val="24"/>
          <w:szCs w:val="24"/>
        </w:rPr>
      </w:pPr>
      <w:r w:rsidRPr="0068765B">
        <w:rPr>
          <w:rFonts w:ascii="Times New Roman" w:hAnsi="Times New Roman" w:cs="Times New Roman"/>
          <w:b/>
          <w:sz w:val="24"/>
          <w:szCs w:val="24"/>
        </w:rPr>
        <w:lastRenderedPageBreak/>
        <w:t>Expansionist Textualism</w:t>
      </w:r>
    </w:p>
    <w:p w14:paraId="7DCA08C9" w14:textId="6DD2D7A2" w:rsidR="004C1BB3" w:rsidRDefault="004C1BB3" w:rsidP="00F508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Instead of the plain language mandating a specific result, the</w:t>
      </w:r>
      <w:r w:rsidR="00FE4E2A">
        <w:rPr>
          <w:rFonts w:ascii="Times New Roman" w:hAnsi="Times New Roman" w:cs="Times New Roman"/>
          <w:sz w:val="24"/>
          <w:szCs w:val="24"/>
        </w:rPr>
        <w:t xml:space="preserve"> Board </w:t>
      </w:r>
      <w:r>
        <w:rPr>
          <w:rFonts w:ascii="Times New Roman" w:hAnsi="Times New Roman" w:cs="Times New Roman"/>
          <w:sz w:val="24"/>
          <w:szCs w:val="24"/>
        </w:rPr>
        <w:t>often</w:t>
      </w:r>
      <w:r w:rsidR="00FE4E2A">
        <w:rPr>
          <w:rFonts w:ascii="Times New Roman" w:hAnsi="Times New Roman" w:cs="Times New Roman"/>
          <w:sz w:val="24"/>
          <w:szCs w:val="24"/>
        </w:rPr>
        <w:t xml:space="preserve"> adopted textualist approaches to argue that the text did not forbid a certain interpretation or that the </w:t>
      </w:r>
      <w:r>
        <w:rPr>
          <w:rFonts w:ascii="Times New Roman" w:hAnsi="Times New Roman" w:cs="Times New Roman"/>
          <w:sz w:val="24"/>
          <w:szCs w:val="24"/>
        </w:rPr>
        <w:t>language</w:t>
      </w:r>
      <w:r w:rsidR="00FE4E2A">
        <w:rPr>
          <w:rFonts w:ascii="Times New Roman" w:hAnsi="Times New Roman" w:cs="Times New Roman"/>
          <w:sz w:val="24"/>
          <w:szCs w:val="24"/>
        </w:rPr>
        <w:t xml:space="preserve"> of the text, when</w:t>
      </w:r>
      <w:r w:rsidR="001C6E61">
        <w:rPr>
          <w:rFonts w:ascii="Times New Roman" w:hAnsi="Times New Roman" w:cs="Times New Roman"/>
          <w:sz w:val="24"/>
          <w:szCs w:val="24"/>
        </w:rPr>
        <w:t xml:space="preserve"> read</w:t>
      </w:r>
      <w:r w:rsidR="00FE4E2A">
        <w:rPr>
          <w:rFonts w:ascii="Times New Roman" w:hAnsi="Times New Roman" w:cs="Times New Roman"/>
          <w:sz w:val="24"/>
          <w:szCs w:val="24"/>
        </w:rPr>
        <w:t xml:space="preserve"> together with surrounding language or text of other sections, either necessitated a given result or offered one among many permissible interpretations of the statute. </w:t>
      </w:r>
      <w:r w:rsidR="00931BD2">
        <w:rPr>
          <w:rFonts w:ascii="Times New Roman" w:hAnsi="Times New Roman" w:cs="Times New Roman"/>
          <w:sz w:val="24"/>
          <w:szCs w:val="24"/>
        </w:rPr>
        <w:t xml:space="preserve">The </w:t>
      </w:r>
      <w:r w:rsidR="00C4570F">
        <w:rPr>
          <w:rFonts w:ascii="Times New Roman" w:hAnsi="Times New Roman" w:cs="Times New Roman"/>
          <w:sz w:val="24"/>
          <w:szCs w:val="24"/>
        </w:rPr>
        <w:t>Board</w:t>
      </w:r>
      <w:r w:rsidR="00FE4E2A">
        <w:rPr>
          <w:rFonts w:ascii="Times New Roman" w:hAnsi="Times New Roman" w:cs="Times New Roman"/>
          <w:sz w:val="24"/>
          <w:szCs w:val="24"/>
        </w:rPr>
        <w:t xml:space="preserve"> had a habit of adopting an expansive textualist approach whereby it argued that </w:t>
      </w:r>
      <w:r>
        <w:rPr>
          <w:rFonts w:ascii="Times New Roman" w:hAnsi="Times New Roman" w:cs="Times New Roman"/>
          <w:sz w:val="24"/>
          <w:szCs w:val="24"/>
        </w:rPr>
        <w:t>no language in the statute</w:t>
      </w:r>
      <w:r w:rsidR="00FE4E2A">
        <w:rPr>
          <w:rFonts w:ascii="Times New Roman" w:hAnsi="Times New Roman" w:cs="Times New Roman"/>
          <w:sz w:val="24"/>
          <w:szCs w:val="24"/>
        </w:rPr>
        <w:t xml:space="preserve"> limit</w:t>
      </w:r>
      <w:r>
        <w:rPr>
          <w:rFonts w:ascii="Times New Roman" w:hAnsi="Times New Roman" w:cs="Times New Roman"/>
          <w:sz w:val="24"/>
          <w:szCs w:val="24"/>
        </w:rPr>
        <w:t>ed</w:t>
      </w:r>
      <w:r w:rsidR="00FE4E2A">
        <w:rPr>
          <w:rFonts w:ascii="Times New Roman" w:hAnsi="Times New Roman" w:cs="Times New Roman"/>
          <w:sz w:val="24"/>
          <w:szCs w:val="24"/>
        </w:rPr>
        <w:t xml:space="preserve"> the Board’s flexibility in fashioning a given rule. </w:t>
      </w:r>
      <w:r>
        <w:rPr>
          <w:rFonts w:ascii="Times New Roman" w:hAnsi="Times New Roman" w:cs="Times New Roman"/>
          <w:sz w:val="24"/>
          <w:szCs w:val="24"/>
        </w:rPr>
        <w:t xml:space="preserve">In this way, the Board </w:t>
      </w:r>
      <w:r w:rsidR="009118FB">
        <w:rPr>
          <w:rFonts w:ascii="Times New Roman" w:hAnsi="Times New Roman" w:cs="Times New Roman"/>
          <w:sz w:val="24"/>
          <w:szCs w:val="24"/>
        </w:rPr>
        <w:t xml:space="preserve">used the </w:t>
      </w:r>
      <w:r w:rsidR="00D0285D" w:rsidRPr="00D0285D">
        <w:rPr>
          <w:rFonts w:ascii="Times New Roman" w:hAnsi="Times New Roman" w:cs="Times New Roman"/>
          <w:i/>
          <w:sz w:val="24"/>
          <w:szCs w:val="24"/>
        </w:rPr>
        <w:t>expressio</w:t>
      </w:r>
      <w:r w:rsidRPr="00D0285D">
        <w:rPr>
          <w:rFonts w:ascii="Times New Roman" w:hAnsi="Times New Roman" w:cs="Times New Roman"/>
          <w:i/>
          <w:sz w:val="24"/>
          <w:szCs w:val="24"/>
        </w:rPr>
        <w:t xml:space="preserve"> unius</w:t>
      </w:r>
      <w:r>
        <w:rPr>
          <w:rFonts w:ascii="Times New Roman" w:hAnsi="Times New Roman" w:cs="Times New Roman"/>
          <w:sz w:val="24"/>
          <w:szCs w:val="24"/>
        </w:rPr>
        <w:t xml:space="preserve"> approach. Und</w:t>
      </w:r>
      <w:r w:rsidR="00D0285D">
        <w:rPr>
          <w:rFonts w:ascii="Times New Roman" w:hAnsi="Times New Roman" w:cs="Times New Roman"/>
          <w:sz w:val="24"/>
          <w:szCs w:val="24"/>
        </w:rPr>
        <w:t xml:space="preserve">er the Latin canon of </w:t>
      </w:r>
      <w:r w:rsidR="00D0285D" w:rsidRPr="00D0285D">
        <w:rPr>
          <w:rFonts w:ascii="Times New Roman" w:hAnsi="Times New Roman" w:cs="Times New Roman"/>
          <w:i/>
          <w:sz w:val="24"/>
          <w:szCs w:val="24"/>
        </w:rPr>
        <w:t>expressio</w:t>
      </w:r>
      <w:r w:rsidRPr="00D0285D">
        <w:rPr>
          <w:rFonts w:ascii="Times New Roman" w:hAnsi="Times New Roman" w:cs="Times New Roman"/>
          <w:i/>
          <w:sz w:val="24"/>
          <w:szCs w:val="24"/>
        </w:rPr>
        <w:t xml:space="preserve"> unius</w:t>
      </w:r>
      <w:r>
        <w:rPr>
          <w:rFonts w:ascii="Times New Roman" w:hAnsi="Times New Roman" w:cs="Times New Roman"/>
          <w:sz w:val="24"/>
          <w:szCs w:val="24"/>
        </w:rPr>
        <w:t>, something not expressly mentioned is excluded</w:t>
      </w:r>
      <w:r w:rsidR="009118FB">
        <w:rPr>
          <w:rFonts w:ascii="Times New Roman" w:hAnsi="Times New Roman" w:cs="Times New Roman"/>
          <w:sz w:val="24"/>
          <w:szCs w:val="24"/>
        </w:rPr>
        <w:t xml:space="preserve">, and in </w:t>
      </w:r>
      <w:r w:rsidR="00931BD2">
        <w:rPr>
          <w:rFonts w:ascii="Times New Roman" w:hAnsi="Times New Roman" w:cs="Times New Roman"/>
          <w:sz w:val="24"/>
          <w:szCs w:val="24"/>
        </w:rPr>
        <w:t>about 17</w:t>
      </w:r>
      <w:r w:rsidR="00FE4E2A">
        <w:rPr>
          <w:rFonts w:ascii="Times New Roman" w:hAnsi="Times New Roman" w:cs="Times New Roman"/>
          <w:sz w:val="24"/>
          <w:szCs w:val="24"/>
        </w:rPr>
        <w:t xml:space="preserve">% of cases, the Board adopted this expansionist “no limits” textualist philosophy where it delved into the language of the statute to contend that it should be read without limits. </w:t>
      </w:r>
    </w:p>
    <w:p w14:paraId="57184D07" w14:textId="790BFC81" w:rsidR="00730B7E" w:rsidRDefault="00931BD2" w:rsidP="00730B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for instance, must frequently </w:t>
      </w:r>
      <w:r w:rsidR="009118FB">
        <w:rPr>
          <w:rFonts w:ascii="Times New Roman" w:hAnsi="Times New Roman" w:cs="Times New Roman"/>
          <w:sz w:val="24"/>
          <w:szCs w:val="24"/>
        </w:rPr>
        <w:t xml:space="preserve">used an expansionist textual </w:t>
      </w:r>
      <w:r w:rsidR="005764D7">
        <w:rPr>
          <w:rFonts w:ascii="Times New Roman" w:hAnsi="Times New Roman" w:cs="Times New Roman"/>
          <w:sz w:val="24"/>
          <w:szCs w:val="24"/>
        </w:rPr>
        <w:t>method to rule on the</w:t>
      </w:r>
      <w:r>
        <w:rPr>
          <w:rFonts w:ascii="Times New Roman" w:hAnsi="Times New Roman" w:cs="Times New Roman"/>
          <w:sz w:val="24"/>
          <w:szCs w:val="24"/>
        </w:rPr>
        <w:t xml:space="preserve"> bread</w:t>
      </w:r>
      <w:r w:rsidR="00D0014C">
        <w:rPr>
          <w:rFonts w:ascii="Times New Roman" w:hAnsi="Times New Roman" w:cs="Times New Roman"/>
          <w:sz w:val="24"/>
          <w:szCs w:val="24"/>
        </w:rPr>
        <w:t xml:space="preserve">th of coverage under the NLRA. </w:t>
      </w:r>
      <w:r>
        <w:rPr>
          <w:rFonts w:ascii="Times New Roman" w:hAnsi="Times New Roman" w:cs="Times New Roman"/>
          <w:sz w:val="24"/>
          <w:szCs w:val="24"/>
        </w:rPr>
        <w:t>Crit</w:t>
      </w:r>
      <w:r w:rsidR="0082360C">
        <w:rPr>
          <w:rFonts w:ascii="Times New Roman" w:hAnsi="Times New Roman" w:cs="Times New Roman"/>
          <w:sz w:val="24"/>
          <w:szCs w:val="24"/>
        </w:rPr>
        <w:t>ics of the Board have frequently</w:t>
      </w:r>
      <w:r>
        <w:rPr>
          <w:rFonts w:ascii="Times New Roman" w:hAnsi="Times New Roman" w:cs="Times New Roman"/>
          <w:sz w:val="24"/>
          <w:szCs w:val="24"/>
        </w:rPr>
        <w:t xml:space="preserve"> criticized the Board for its frequent flip-flopping on the NLRA’s reach, especially with respect to interpreting who falls under the umbrella of being an “employee” under the Act. </w:t>
      </w:r>
      <w:r w:rsidR="00730B7E">
        <w:rPr>
          <w:rFonts w:ascii="Times New Roman" w:hAnsi="Times New Roman" w:cs="Times New Roman"/>
          <w:sz w:val="24"/>
          <w:szCs w:val="24"/>
        </w:rPr>
        <w:t xml:space="preserve"> In recent years, the Board has heard a flurry of cases concerning with whether medical residents and interns (otherwise known as “house staff”) and graduate student teaching assistants are considered “employees” for purposes of protection under the NLRA. After amendments to the NLRB in the 1970s to allow the Board jurisdiction over private hospitals, the Board held that house staff and teaching assistants fell outside the Act’s protection.</w:t>
      </w:r>
      <w:r w:rsidR="00730B7E">
        <w:rPr>
          <w:rStyle w:val="FootnoteReference"/>
          <w:rFonts w:ascii="Times New Roman" w:hAnsi="Times New Roman" w:cs="Times New Roman"/>
          <w:sz w:val="24"/>
          <w:szCs w:val="24"/>
        </w:rPr>
        <w:footnoteReference w:id="171"/>
      </w:r>
      <w:r w:rsidR="00D0014C">
        <w:rPr>
          <w:rFonts w:ascii="Times New Roman" w:hAnsi="Times New Roman" w:cs="Times New Roman"/>
          <w:sz w:val="24"/>
          <w:szCs w:val="24"/>
        </w:rPr>
        <w:t xml:space="preserve"> </w:t>
      </w:r>
      <w:r w:rsidR="00730B7E">
        <w:rPr>
          <w:rFonts w:ascii="Times New Roman" w:hAnsi="Times New Roman" w:cs="Times New Roman"/>
          <w:sz w:val="24"/>
          <w:szCs w:val="24"/>
        </w:rPr>
        <w:t xml:space="preserve">By 1999, the Board, now in control by Democrats, flip-flopped, overturning the NLRB rulings from the 1970s and extending protection to residents </w:t>
      </w:r>
      <w:r w:rsidR="00730B7E">
        <w:rPr>
          <w:rFonts w:ascii="Times New Roman" w:hAnsi="Times New Roman" w:cs="Times New Roman"/>
          <w:sz w:val="24"/>
          <w:szCs w:val="24"/>
        </w:rPr>
        <w:lastRenderedPageBreak/>
        <w:t>and TAs</w:t>
      </w:r>
      <w:r w:rsidR="00A162B3">
        <w:rPr>
          <w:rFonts w:ascii="Times New Roman" w:hAnsi="Times New Roman" w:cs="Times New Roman"/>
          <w:sz w:val="24"/>
          <w:szCs w:val="24"/>
        </w:rPr>
        <w:t>.</w:t>
      </w:r>
      <w:r w:rsidR="00730B7E">
        <w:rPr>
          <w:rStyle w:val="FootnoteReference"/>
          <w:rFonts w:ascii="Times New Roman" w:hAnsi="Times New Roman" w:cs="Times New Roman"/>
          <w:sz w:val="24"/>
          <w:szCs w:val="24"/>
        </w:rPr>
        <w:footnoteReference w:id="172"/>
      </w:r>
      <w:r w:rsidR="00730B7E">
        <w:rPr>
          <w:rFonts w:ascii="Times New Roman" w:hAnsi="Times New Roman" w:cs="Times New Roman"/>
          <w:sz w:val="24"/>
          <w:szCs w:val="24"/>
        </w:rPr>
        <w:t xml:space="preserve"> By 2004, once the Board switched to Republican, the</w:t>
      </w:r>
      <w:r w:rsidR="00E82FF7">
        <w:rPr>
          <w:rFonts w:ascii="Times New Roman" w:hAnsi="Times New Roman" w:cs="Times New Roman"/>
          <w:sz w:val="24"/>
          <w:szCs w:val="24"/>
        </w:rPr>
        <w:t xml:space="preserve"> Board overturned the decisions </w:t>
      </w:r>
      <w:r w:rsidR="00730B7E">
        <w:rPr>
          <w:rFonts w:ascii="Times New Roman" w:hAnsi="Times New Roman" w:cs="Times New Roman"/>
          <w:sz w:val="24"/>
          <w:szCs w:val="24"/>
        </w:rPr>
        <w:t>regarding</w:t>
      </w:r>
      <w:r w:rsidR="00E82FF7">
        <w:rPr>
          <w:rFonts w:ascii="Times New Roman" w:hAnsi="Times New Roman" w:cs="Times New Roman"/>
          <w:sz w:val="24"/>
          <w:szCs w:val="24"/>
        </w:rPr>
        <w:t xml:space="preserve"> TAs once again.</w:t>
      </w:r>
      <w:r w:rsidR="00730B7E">
        <w:rPr>
          <w:rStyle w:val="FootnoteReference"/>
          <w:rFonts w:ascii="Times New Roman" w:hAnsi="Times New Roman" w:cs="Times New Roman"/>
          <w:sz w:val="24"/>
          <w:szCs w:val="24"/>
        </w:rPr>
        <w:footnoteReference w:id="173"/>
      </w:r>
      <w:r w:rsidR="001F2511">
        <w:rPr>
          <w:rFonts w:ascii="Times New Roman" w:hAnsi="Times New Roman" w:cs="Times New Roman"/>
          <w:sz w:val="24"/>
          <w:szCs w:val="24"/>
        </w:rPr>
        <w:t xml:space="preserve"> </w:t>
      </w:r>
      <w:r w:rsidR="00730B7E">
        <w:rPr>
          <w:rFonts w:ascii="Times New Roman" w:hAnsi="Times New Roman" w:cs="Times New Roman"/>
          <w:sz w:val="24"/>
          <w:szCs w:val="24"/>
        </w:rPr>
        <w:t>Then, by 2016, the Board, now again controlled by Democrats, once again overturned the 2004 ruling and found that graduate TAs in private universities are indeed covered under the protections of the NLRA.</w:t>
      </w:r>
      <w:r w:rsidR="00E82FF7">
        <w:rPr>
          <w:rStyle w:val="FootnoteReference"/>
          <w:rFonts w:ascii="Times New Roman" w:hAnsi="Times New Roman" w:cs="Times New Roman"/>
          <w:sz w:val="24"/>
          <w:szCs w:val="24"/>
        </w:rPr>
        <w:footnoteReference w:id="174"/>
      </w:r>
    </w:p>
    <w:p w14:paraId="76863754" w14:textId="712F0DCB" w:rsidR="00056D6E" w:rsidRDefault="00730B7E" w:rsidP="00730B7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Board’s decision in </w:t>
      </w:r>
      <w:r w:rsidR="000A72DE">
        <w:rPr>
          <w:rFonts w:ascii="Times New Roman" w:hAnsi="Times New Roman" w:cs="Times New Roman"/>
          <w:i/>
          <w:sz w:val="24"/>
          <w:szCs w:val="24"/>
        </w:rPr>
        <w:t>Columbia University</w:t>
      </w:r>
      <w:r w:rsidR="00D0014C">
        <w:rPr>
          <w:rFonts w:ascii="Times New Roman" w:hAnsi="Times New Roman" w:cs="Times New Roman"/>
          <w:sz w:val="24"/>
          <w:szCs w:val="24"/>
        </w:rPr>
        <w:t xml:space="preserve"> </w:t>
      </w:r>
      <w:r w:rsidR="009118FB">
        <w:rPr>
          <w:rFonts w:ascii="Times New Roman" w:hAnsi="Times New Roman" w:cs="Times New Roman"/>
          <w:sz w:val="24"/>
          <w:szCs w:val="24"/>
        </w:rPr>
        <w:t xml:space="preserve">in August 2016 </w:t>
      </w:r>
      <w:r w:rsidR="00D0014C">
        <w:rPr>
          <w:rFonts w:ascii="Times New Roman" w:hAnsi="Times New Roman" w:cs="Times New Roman"/>
          <w:sz w:val="24"/>
          <w:szCs w:val="24"/>
        </w:rPr>
        <w:t>shows how the Board frequ</w:t>
      </w:r>
      <w:r w:rsidR="00BC33E5">
        <w:rPr>
          <w:rFonts w:ascii="Times New Roman" w:hAnsi="Times New Roman" w:cs="Times New Roman"/>
          <w:sz w:val="24"/>
          <w:szCs w:val="24"/>
        </w:rPr>
        <w:t>entl</w:t>
      </w:r>
      <w:r>
        <w:rPr>
          <w:rFonts w:ascii="Times New Roman" w:hAnsi="Times New Roman" w:cs="Times New Roman"/>
          <w:sz w:val="24"/>
          <w:szCs w:val="24"/>
        </w:rPr>
        <w:t>y expansively interprets the Act’s words to bring additional people</w:t>
      </w:r>
      <w:r w:rsidR="00D0014C">
        <w:rPr>
          <w:rFonts w:ascii="Times New Roman" w:hAnsi="Times New Roman" w:cs="Times New Roman"/>
          <w:sz w:val="24"/>
          <w:szCs w:val="24"/>
        </w:rPr>
        <w:t xml:space="preserve"> within the ambit of the NLRA.</w:t>
      </w:r>
      <w:r w:rsidR="000074A7">
        <w:rPr>
          <w:rStyle w:val="FootnoteReference"/>
          <w:rFonts w:ascii="Times New Roman" w:hAnsi="Times New Roman" w:cs="Times New Roman"/>
          <w:sz w:val="24"/>
          <w:szCs w:val="24"/>
        </w:rPr>
        <w:footnoteReference w:id="175"/>
      </w:r>
      <w:r w:rsidR="00D0014C">
        <w:rPr>
          <w:rFonts w:ascii="Times New Roman" w:hAnsi="Times New Roman" w:cs="Times New Roman"/>
          <w:sz w:val="24"/>
          <w:szCs w:val="24"/>
        </w:rPr>
        <w:t xml:space="preserve"> </w:t>
      </w:r>
      <w:r w:rsidR="000074A7">
        <w:rPr>
          <w:rFonts w:ascii="Times New Roman" w:hAnsi="Times New Roman" w:cs="Times New Roman"/>
          <w:sz w:val="24"/>
          <w:szCs w:val="24"/>
        </w:rPr>
        <w:t>For at least the third time in a decade, the Board had to address whether graduate teaching assistants who perform services for the university are “employees” under the meaning of the NLRA as defined by section 2(3) of the Act.</w:t>
      </w:r>
      <w:r w:rsidR="00A162B3">
        <w:rPr>
          <w:rStyle w:val="FootnoteReference"/>
          <w:rFonts w:ascii="Times New Roman" w:hAnsi="Times New Roman" w:cs="Times New Roman"/>
          <w:sz w:val="24"/>
          <w:szCs w:val="24"/>
        </w:rPr>
        <w:footnoteReference w:id="176"/>
      </w:r>
      <w:r w:rsidR="000074A7">
        <w:rPr>
          <w:rFonts w:ascii="Times New Roman" w:hAnsi="Times New Roman" w:cs="Times New Roman"/>
          <w:sz w:val="24"/>
          <w:szCs w:val="24"/>
        </w:rPr>
        <w:t xml:space="preserve"> If graduate students qualified as employees, they would come within the ambit of the Act with respect to engaging in concerted acti</w:t>
      </w:r>
      <w:r w:rsidR="0007450B">
        <w:rPr>
          <w:rFonts w:ascii="Times New Roman" w:hAnsi="Times New Roman" w:cs="Times New Roman"/>
          <w:sz w:val="24"/>
          <w:szCs w:val="24"/>
        </w:rPr>
        <w:t>vity and collective bargaining</w:t>
      </w:r>
      <w:r w:rsidR="00747706">
        <w:rPr>
          <w:rFonts w:ascii="Times New Roman" w:hAnsi="Times New Roman" w:cs="Times New Roman"/>
          <w:sz w:val="24"/>
          <w:szCs w:val="24"/>
        </w:rPr>
        <w:t>—</w:t>
      </w:r>
      <w:r w:rsidR="000074A7">
        <w:rPr>
          <w:rFonts w:ascii="Times New Roman" w:hAnsi="Times New Roman" w:cs="Times New Roman"/>
          <w:sz w:val="24"/>
          <w:szCs w:val="24"/>
        </w:rPr>
        <w:t xml:space="preserve">a major expansion of the role of TAs in private universities. </w:t>
      </w:r>
      <w:r>
        <w:rPr>
          <w:rFonts w:ascii="Times New Roman" w:hAnsi="Times New Roman" w:cs="Times New Roman"/>
          <w:sz w:val="24"/>
          <w:szCs w:val="24"/>
        </w:rPr>
        <w:t xml:space="preserve">The Board noted that the Act specifically states “any employee,” listing several exceptions such as independent contractors. Because </w:t>
      </w:r>
      <w:r w:rsidR="0082360C">
        <w:rPr>
          <w:rFonts w:ascii="Times New Roman" w:hAnsi="Times New Roman" w:cs="Times New Roman"/>
          <w:sz w:val="24"/>
          <w:szCs w:val="24"/>
        </w:rPr>
        <w:t xml:space="preserve">the statute did not expressly list residents as an exception, the Board reasoned, residents </w:t>
      </w:r>
      <w:r>
        <w:rPr>
          <w:rFonts w:ascii="Times New Roman" w:hAnsi="Times New Roman" w:cs="Times New Roman"/>
          <w:sz w:val="24"/>
          <w:szCs w:val="24"/>
        </w:rPr>
        <w:t xml:space="preserve">did not fall outside the coverage of the Act which </w:t>
      </w:r>
      <w:r w:rsidR="00D0014C">
        <w:rPr>
          <w:rFonts w:ascii="Times New Roman" w:hAnsi="Times New Roman" w:cs="Times New Roman"/>
          <w:sz w:val="24"/>
          <w:szCs w:val="24"/>
        </w:rPr>
        <w:t xml:space="preserve">expressly </w:t>
      </w:r>
      <w:r>
        <w:rPr>
          <w:rFonts w:ascii="Times New Roman" w:hAnsi="Times New Roman" w:cs="Times New Roman"/>
          <w:sz w:val="24"/>
          <w:szCs w:val="24"/>
        </w:rPr>
        <w:t>covered “any employee.”</w:t>
      </w:r>
      <w:r w:rsidR="00A162B3">
        <w:rPr>
          <w:rStyle w:val="FootnoteReference"/>
          <w:rFonts w:ascii="Times New Roman" w:hAnsi="Times New Roman" w:cs="Times New Roman"/>
          <w:sz w:val="24"/>
          <w:szCs w:val="24"/>
        </w:rPr>
        <w:footnoteReference w:id="177"/>
      </w:r>
      <w:r>
        <w:rPr>
          <w:rFonts w:ascii="Times New Roman" w:hAnsi="Times New Roman" w:cs="Times New Roman"/>
          <w:sz w:val="24"/>
          <w:szCs w:val="24"/>
        </w:rPr>
        <w:t xml:space="preserve"> </w:t>
      </w:r>
      <w:r w:rsidR="000074A7">
        <w:rPr>
          <w:rFonts w:ascii="Times New Roman" w:hAnsi="Times New Roman" w:cs="Times New Roman"/>
          <w:sz w:val="24"/>
          <w:szCs w:val="24"/>
        </w:rPr>
        <w:t xml:space="preserve">Moreover, applying </w:t>
      </w:r>
      <w:r w:rsidR="000074A7" w:rsidRPr="00BC3046">
        <w:rPr>
          <w:rFonts w:ascii="Times New Roman" w:hAnsi="Times New Roman" w:cs="Times New Roman"/>
          <w:i/>
          <w:sz w:val="24"/>
          <w:szCs w:val="24"/>
        </w:rPr>
        <w:t>expressio unius</w:t>
      </w:r>
      <w:r w:rsidR="000074A7">
        <w:rPr>
          <w:rFonts w:ascii="Times New Roman" w:hAnsi="Times New Roman" w:cs="Times New Roman"/>
          <w:sz w:val="24"/>
          <w:szCs w:val="24"/>
        </w:rPr>
        <w:t>, the inclusion of a list of persons who are not employees suggests that a graduate student, not being identified, should be considered within the definition.</w:t>
      </w:r>
      <w:r w:rsidR="00A162B3">
        <w:rPr>
          <w:rStyle w:val="FootnoteReference"/>
          <w:rFonts w:ascii="Times New Roman" w:hAnsi="Times New Roman" w:cs="Times New Roman"/>
          <w:sz w:val="24"/>
          <w:szCs w:val="24"/>
        </w:rPr>
        <w:footnoteReference w:id="178"/>
      </w:r>
      <w:r w:rsidR="000074A7">
        <w:rPr>
          <w:rFonts w:ascii="Times New Roman" w:hAnsi="Times New Roman" w:cs="Times New Roman"/>
          <w:sz w:val="24"/>
          <w:szCs w:val="24"/>
        </w:rPr>
        <w:t xml:space="preserve"> </w:t>
      </w:r>
      <w:r>
        <w:rPr>
          <w:rFonts w:ascii="Times New Roman" w:hAnsi="Times New Roman" w:cs="Times New Roman"/>
          <w:sz w:val="24"/>
          <w:szCs w:val="24"/>
        </w:rPr>
        <w:t>The Board similarly used an expansionist textualism in other cases as well.</w:t>
      </w:r>
      <w:r w:rsidR="00BA1D2D">
        <w:rPr>
          <w:rFonts w:ascii="Times New Roman" w:hAnsi="Times New Roman" w:cs="Times New Roman"/>
          <w:sz w:val="24"/>
          <w:szCs w:val="24"/>
        </w:rPr>
        <w:t xml:space="preserve"> The Board often, for instance, would recite that “nothing in the text limits” the </w:t>
      </w:r>
      <w:r w:rsidR="00BA1D2D">
        <w:rPr>
          <w:rFonts w:ascii="Times New Roman" w:hAnsi="Times New Roman" w:cs="Times New Roman"/>
          <w:sz w:val="24"/>
          <w:szCs w:val="24"/>
        </w:rPr>
        <w:lastRenderedPageBreak/>
        <w:t xml:space="preserve">Board’s interpretation, another way of saying that the text does not foreclose the Board from adopting a specific interpretation. </w:t>
      </w:r>
      <w:r w:rsidR="00806531">
        <w:rPr>
          <w:rFonts w:ascii="Times New Roman" w:hAnsi="Times New Roman" w:cs="Times New Roman"/>
          <w:sz w:val="24"/>
          <w:szCs w:val="24"/>
        </w:rPr>
        <w:t>The Board rarely relied on a textualist only approach in interpreting cases; rather textualism may have been the heart of the statutory methodology employed by the Board but it was by no means the exclusive method employed.</w:t>
      </w:r>
      <w:r w:rsidR="009118FB">
        <w:rPr>
          <w:rFonts w:ascii="Times New Roman" w:hAnsi="Times New Roman" w:cs="Times New Roman"/>
          <w:sz w:val="24"/>
          <w:szCs w:val="24"/>
        </w:rPr>
        <w:t xml:space="preserve"> Ev</w:t>
      </w:r>
      <w:r w:rsidR="0007450B">
        <w:rPr>
          <w:rFonts w:ascii="Times New Roman" w:hAnsi="Times New Roman" w:cs="Times New Roman"/>
          <w:sz w:val="24"/>
          <w:szCs w:val="24"/>
        </w:rPr>
        <w:t>e</w:t>
      </w:r>
      <w:r w:rsidR="009118FB">
        <w:rPr>
          <w:rFonts w:ascii="Times New Roman" w:hAnsi="Times New Roman" w:cs="Times New Roman"/>
          <w:sz w:val="24"/>
          <w:szCs w:val="24"/>
        </w:rPr>
        <w:t>n when using a textualist approach, the Board would also often refer to legislative history (78%) or policy (87%) as well to supplement its expansionist reading of the statute.</w:t>
      </w:r>
      <w:r w:rsidR="009118FB">
        <w:rPr>
          <w:rStyle w:val="FootnoteReference"/>
          <w:rFonts w:ascii="Times New Roman" w:hAnsi="Times New Roman" w:cs="Times New Roman"/>
          <w:sz w:val="24"/>
          <w:szCs w:val="24"/>
        </w:rPr>
        <w:footnoteReference w:id="179"/>
      </w:r>
    </w:p>
    <w:p w14:paraId="5EE62F6E" w14:textId="1BC588E0" w:rsidR="00730B7E" w:rsidRPr="0068765B" w:rsidRDefault="00730B7E" w:rsidP="00F47E4C">
      <w:pPr>
        <w:pStyle w:val="ListParagraph"/>
        <w:numPr>
          <w:ilvl w:val="0"/>
          <w:numId w:val="23"/>
        </w:numPr>
        <w:spacing w:after="0" w:line="480" w:lineRule="auto"/>
        <w:rPr>
          <w:rFonts w:ascii="Times New Roman" w:hAnsi="Times New Roman" w:cs="Times New Roman"/>
          <w:b/>
          <w:sz w:val="24"/>
          <w:szCs w:val="24"/>
        </w:rPr>
      </w:pPr>
      <w:r w:rsidRPr="0068765B">
        <w:rPr>
          <w:rFonts w:ascii="Times New Roman" w:hAnsi="Times New Roman" w:cs="Times New Roman"/>
          <w:b/>
          <w:sz w:val="24"/>
          <w:szCs w:val="24"/>
        </w:rPr>
        <w:t xml:space="preserve">Textualism </w:t>
      </w:r>
      <w:proofErr w:type="gramStart"/>
      <w:r w:rsidRPr="0068765B">
        <w:rPr>
          <w:rFonts w:ascii="Times New Roman" w:hAnsi="Times New Roman" w:cs="Times New Roman"/>
          <w:b/>
          <w:sz w:val="24"/>
          <w:szCs w:val="24"/>
        </w:rPr>
        <w:t>By</w:t>
      </w:r>
      <w:proofErr w:type="gramEnd"/>
      <w:r w:rsidRPr="0068765B">
        <w:rPr>
          <w:rFonts w:ascii="Times New Roman" w:hAnsi="Times New Roman" w:cs="Times New Roman"/>
          <w:b/>
          <w:sz w:val="24"/>
          <w:szCs w:val="24"/>
        </w:rPr>
        <w:t xml:space="preserve"> Reference to Latin/Language/Textual Canons</w:t>
      </w:r>
    </w:p>
    <w:p w14:paraId="2139A9A9" w14:textId="16C8011D" w:rsidR="00CC7253" w:rsidRDefault="00C4570F" w:rsidP="00DF6B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Board on occasion would also inform sta</w:t>
      </w:r>
      <w:r w:rsidR="009118FB">
        <w:rPr>
          <w:rFonts w:ascii="Times New Roman" w:hAnsi="Times New Roman" w:cs="Times New Roman"/>
          <w:sz w:val="24"/>
          <w:szCs w:val="24"/>
        </w:rPr>
        <w:t xml:space="preserve">tutory meaning by resort to other textualist and </w:t>
      </w:r>
      <w:r>
        <w:rPr>
          <w:rFonts w:ascii="Times New Roman" w:hAnsi="Times New Roman" w:cs="Times New Roman"/>
          <w:sz w:val="24"/>
          <w:szCs w:val="24"/>
        </w:rPr>
        <w:t>Latin</w:t>
      </w:r>
      <w:r w:rsidR="009118FB">
        <w:rPr>
          <w:rFonts w:ascii="Times New Roman" w:hAnsi="Times New Roman" w:cs="Times New Roman"/>
          <w:sz w:val="24"/>
          <w:szCs w:val="24"/>
        </w:rPr>
        <w:t>/language</w:t>
      </w:r>
      <w:r>
        <w:rPr>
          <w:rFonts w:ascii="Times New Roman" w:hAnsi="Times New Roman" w:cs="Times New Roman"/>
          <w:sz w:val="24"/>
          <w:szCs w:val="24"/>
        </w:rPr>
        <w:t xml:space="preserve"> canons</w:t>
      </w:r>
      <w:r w:rsidR="009118FB">
        <w:rPr>
          <w:rFonts w:ascii="Times New Roman" w:hAnsi="Times New Roman" w:cs="Times New Roman"/>
          <w:sz w:val="24"/>
          <w:szCs w:val="24"/>
        </w:rPr>
        <w:t>, though it never mentions any of the Latin canons</w:t>
      </w:r>
      <w:r>
        <w:rPr>
          <w:rFonts w:ascii="Times New Roman" w:hAnsi="Times New Roman" w:cs="Times New Roman"/>
          <w:sz w:val="24"/>
          <w:szCs w:val="24"/>
        </w:rPr>
        <w:t xml:space="preserve"> expressly by name.</w:t>
      </w:r>
      <w:r w:rsidR="0082360C">
        <w:rPr>
          <w:rStyle w:val="FootnoteReference"/>
          <w:rFonts w:ascii="Times New Roman" w:hAnsi="Times New Roman" w:cs="Times New Roman"/>
          <w:sz w:val="24"/>
          <w:szCs w:val="24"/>
        </w:rPr>
        <w:footnoteReference w:id="180"/>
      </w:r>
      <w:r>
        <w:rPr>
          <w:rFonts w:ascii="Times New Roman" w:hAnsi="Times New Roman" w:cs="Times New Roman"/>
          <w:sz w:val="24"/>
          <w:szCs w:val="24"/>
        </w:rPr>
        <w:t xml:space="preserve"> </w:t>
      </w:r>
      <w:r w:rsidR="00DF6B71">
        <w:rPr>
          <w:rFonts w:ascii="Times New Roman" w:hAnsi="Times New Roman" w:cs="Times New Roman"/>
          <w:sz w:val="24"/>
          <w:szCs w:val="24"/>
        </w:rPr>
        <w:t xml:space="preserve">Figure 6 details </w:t>
      </w:r>
      <w:r w:rsidR="006D0CD7">
        <w:rPr>
          <w:rFonts w:ascii="Times New Roman" w:hAnsi="Times New Roman" w:cs="Times New Roman"/>
          <w:sz w:val="24"/>
          <w:szCs w:val="24"/>
        </w:rPr>
        <w:t>he Latin/Language/Textual</w:t>
      </w:r>
      <w:r w:rsidR="00D0014C">
        <w:rPr>
          <w:rFonts w:ascii="Times New Roman" w:hAnsi="Times New Roman" w:cs="Times New Roman"/>
          <w:sz w:val="24"/>
          <w:szCs w:val="24"/>
        </w:rPr>
        <w:t>/Substantive</w:t>
      </w:r>
      <w:r w:rsidR="006D0CD7">
        <w:rPr>
          <w:rFonts w:ascii="Times New Roman" w:hAnsi="Times New Roman" w:cs="Times New Roman"/>
          <w:sz w:val="24"/>
          <w:szCs w:val="24"/>
        </w:rPr>
        <w:t xml:space="preserve"> Canons used by the Board.</w:t>
      </w:r>
      <w:r>
        <w:rPr>
          <w:rFonts w:ascii="Times New Roman" w:hAnsi="Times New Roman" w:cs="Times New Roman"/>
          <w:sz w:val="24"/>
          <w:szCs w:val="24"/>
        </w:rPr>
        <w:t xml:space="preserve"> </w:t>
      </w:r>
      <w:r w:rsidR="009816DF">
        <w:rPr>
          <w:rFonts w:ascii="Times New Roman" w:hAnsi="Times New Roman" w:cs="Times New Roman"/>
          <w:sz w:val="24"/>
          <w:szCs w:val="24"/>
        </w:rPr>
        <w:t xml:space="preserve">The Board’s majority invoked Latin canons in slightly under a third of all cases. </w:t>
      </w:r>
      <w:r>
        <w:rPr>
          <w:rFonts w:ascii="Times New Roman" w:hAnsi="Times New Roman" w:cs="Times New Roman"/>
          <w:sz w:val="24"/>
          <w:szCs w:val="24"/>
        </w:rPr>
        <w:t>The Board most frequently invoked the whole act rule, relying on other parts of the sta</w:t>
      </w:r>
      <w:r w:rsidR="00BC33E5">
        <w:rPr>
          <w:rFonts w:ascii="Times New Roman" w:hAnsi="Times New Roman" w:cs="Times New Roman"/>
          <w:sz w:val="24"/>
          <w:szCs w:val="24"/>
        </w:rPr>
        <w:t xml:space="preserve">tute </w:t>
      </w:r>
      <w:r w:rsidR="009118FB">
        <w:rPr>
          <w:rFonts w:ascii="Times New Roman" w:hAnsi="Times New Roman" w:cs="Times New Roman"/>
          <w:sz w:val="24"/>
          <w:szCs w:val="24"/>
        </w:rPr>
        <w:t xml:space="preserve">that were similar </w:t>
      </w:r>
      <w:r w:rsidR="00BC33E5">
        <w:rPr>
          <w:rFonts w:ascii="Times New Roman" w:hAnsi="Times New Roman" w:cs="Times New Roman"/>
          <w:sz w:val="24"/>
          <w:szCs w:val="24"/>
        </w:rPr>
        <w:t>to interpret the statute</w:t>
      </w:r>
      <w:r w:rsidR="00747706">
        <w:rPr>
          <w:rFonts w:ascii="Times New Roman" w:hAnsi="Times New Roman" w:cs="Times New Roman"/>
          <w:sz w:val="24"/>
          <w:szCs w:val="24"/>
        </w:rPr>
        <w:t xml:space="preserve"> about 23% of the time. </w:t>
      </w:r>
      <w:r w:rsidR="00931BD2" w:rsidRPr="00FC6F7D">
        <w:rPr>
          <w:rFonts w:ascii="Times New Roman" w:hAnsi="Times New Roman" w:cs="Times New Roman"/>
          <w:sz w:val="24"/>
          <w:szCs w:val="24"/>
        </w:rPr>
        <w:t xml:space="preserve">This is of no surprise given that the NLRA is part of a single statutory scheme so it would be important to use other parts of the statute to inform meaning. </w:t>
      </w:r>
    </w:p>
    <w:p w14:paraId="01C6E1D0" w14:textId="77777777" w:rsidR="005E768D" w:rsidRDefault="005E768D" w:rsidP="00D851F9">
      <w:pPr>
        <w:spacing w:after="0" w:line="480" w:lineRule="auto"/>
        <w:rPr>
          <w:rFonts w:ascii="Times New Roman" w:hAnsi="Times New Roman" w:cs="Times New Roman"/>
          <w:b/>
          <w:sz w:val="24"/>
          <w:szCs w:val="24"/>
        </w:rPr>
      </w:pPr>
    </w:p>
    <w:p w14:paraId="4D8B7999" w14:textId="77777777" w:rsidR="005E768D" w:rsidRDefault="005E768D" w:rsidP="00D851F9">
      <w:pPr>
        <w:spacing w:after="0" w:line="480" w:lineRule="auto"/>
        <w:rPr>
          <w:rFonts w:ascii="Times New Roman" w:hAnsi="Times New Roman" w:cs="Times New Roman"/>
          <w:b/>
          <w:sz w:val="24"/>
          <w:szCs w:val="24"/>
        </w:rPr>
      </w:pPr>
    </w:p>
    <w:p w14:paraId="7C8CC8AF" w14:textId="77777777" w:rsidR="005E768D" w:rsidRDefault="005E768D" w:rsidP="00D851F9">
      <w:pPr>
        <w:spacing w:after="0" w:line="480" w:lineRule="auto"/>
        <w:rPr>
          <w:rFonts w:ascii="Times New Roman" w:hAnsi="Times New Roman" w:cs="Times New Roman"/>
          <w:b/>
          <w:sz w:val="24"/>
          <w:szCs w:val="24"/>
        </w:rPr>
      </w:pPr>
    </w:p>
    <w:p w14:paraId="6AC1AD78" w14:textId="77777777" w:rsidR="005E768D" w:rsidRDefault="005E768D" w:rsidP="00D851F9">
      <w:pPr>
        <w:spacing w:after="0" w:line="480" w:lineRule="auto"/>
        <w:rPr>
          <w:rFonts w:ascii="Times New Roman" w:hAnsi="Times New Roman" w:cs="Times New Roman"/>
          <w:b/>
          <w:sz w:val="24"/>
          <w:szCs w:val="24"/>
        </w:rPr>
      </w:pPr>
    </w:p>
    <w:p w14:paraId="12AEDC07" w14:textId="77777777" w:rsidR="005E768D" w:rsidRDefault="005E768D" w:rsidP="00D851F9">
      <w:pPr>
        <w:spacing w:after="0" w:line="480" w:lineRule="auto"/>
        <w:rPr>
          <w:rFonts w:ascii="Times New Roman" w:hAnsi="Times New Roman" w:cs="Times New Roman"/>
          <w:b/>
          <w:sz w:val="24"/>
          <w:szCs w:val="24"/>
        </w:rPr>
      </w:pPr>
    </w:p>
    <w:p w14:paraId="29FA24DB" w14:textId="6A0310F8" w:rsidR="00D0014C" w:rsidRPr="004534ED" w:rsidRDefault="007E6998" w:rsidP="00D851F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6</w:t>
      </w:r>
    </w:p>
    <w:p w14:paraId="353086FC" w14:textId="77890151" w:rsidR="00075E60" w:rsidRDefault="00075E60" w:rsidP="0082360C">
      <w:pPr>
        <w:spacing w:after="0" w:line="480" w:lineRule="auto"/>
        <w:ind w:firstLine="720"/>
        <w:rPr>
          <w:rFonts w:ascii="Times New Roman" w:hAnsi="Times New Roman" w:cs="Times New Roman"/>
          <w:sz w:val="24"/>
          <w:szCs w:val="24"/>
        </w:rPr>
      </w:pPr>
      <w:r w:rsidRPr="00985052">
        <w:rPr>
          <w:noProof/>
        </w:rPr>
        <w:drawing>
          <wp:inline distT="0" distB="0" distL="0" distR="0" wp14:anchorId="5E0486B2" wp14:editId="6EB047AF">
            <wp:extent cx="5118100" cy="3746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0632610E" w14:textId="1AD3EB88" w:rsidR="0082360C" w:rsidRDefault="00A709B4" w:rsidP="005110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whole act rule, the Board </w:t>
      </w:r>
      <w:r w:rsidR="00D0014C">
        <w:rPr>
          <w:rFonts w:ascii="Times New Roman" w:hAnsi="Times New Roman" w:cs="Times New Roman"/>
          <w:sz w:val="24"/>
          <w:szCs w:val="24"/>
        </w:rPr>
        <w:t xml:space="preserve">most commonly used the </w:t>
      </w:r>
      <w:r>
        <w:rPr>
          <w:rFonts w:ascii="Times New Roman" w:hAnsi="Times New Roman" w:cs="Times New Roman"/>
          <w:sz w:val="24"/>
          <w:szCs w:val="24"/>
        </w:rPr>
        <w:t xml:space="preserve">whole code rule to inform statutory meaning </w:t>
      </w:r>
      <w:r w:rsidR="00931BD2" w:rsidRPr="00FC6F7D">
        <w:rPr>
          <w:rFonts w:ascii="Times New Roman" w:hAnsi="Times New Roman" w:cs="Times New Roman"/>
          <w:sz w:val="24"/>
          <w:szCs w:val="24"/>
        </w:rPr>
        <w:t>in about 18% of cases. The whole code rule most often came up in reference to cases which called for the Board to i</w:t>
      </w:r>
      <w:r w:rsidR="00806531">
        <w:rPr>
          <w:rFonts w:ascii="Times New Roman" w:hAnsi="Times New Roman" w:cs="Times New Roman"/>
          <w:sz w:val="24"/>
          <w:szCs w:val="24"/>
        </w:rPr>
        <w:t xml:space="preserve">nterpret the Railway Act, which, the Supreme Court has stated is an “analogous” </w:t>
      </w:r>
      <w:r w:rsidR="00931BD2" w:rsidRPr="00FC6F7D">
        <w:rPr>
          <w:rFonts w:ascii="Times New Roman" w:hAnsi="Times New Roman" w:cs="Times New Roman"/>
          <w:sz w:val="24"/>
          <w:szCs w:val="24"/>
        </w:rPr>
        <w:t>statute to the NLRA.</w:t>
      </w:r>
      <w:r w:rsidR="00F45650">
        <w:rPr>
          <w:rStyle w:val="FootnoteReference"/>
          <w:rFonts w:ascii="Times New Roman" w:hAnsi="Times New Roman" w:cs="Times New Roman"/>
          <w:sz w:val="24"/>
          <w:szCs w:val="24"/>
        </w:rPr>
        <w:footnoteReference w:id="181"/>
      </w:r>
      <w:r w:rsidR="00931BD2" w:rsidRPr="00FC6F7D">
        <w:rPr>
          <w:rFonts w:ascii="Times New Roman" w:hAnsi="Times New Roman" w:cs="Times New Roman"/>
          <w:sz w:val="24"/>
          <w:szCs w:val="24"/>
        </w:rPr>
        <w:t xml:space="preserve"> Much of the debate concerning the Railway Act concerned whether the two acts are statutory equivalents (as the Supreme Court said), so as to use the Act to inform statutory meaning of the NLRA.</w:t>
      </w:r>
      <w:r w:rsidR="00783C36">
        <w:rPr>
          <w:rStyle w:val="FootnoteReference"/>
          <w:rFonts w:ascii="Times New Roman" w:hAnsi="Times New Roman" w:cs="Times New Roman"/>
          <w:sz w:val="24"/>
          <w:szCs w:val="24"/>
        </w:rPr>
        <w:footnoteReference w:id="182"/>
      </w:r>
      <w:r w:rsidR="00D0014C">
        <w:rPr>
          <w:rFonts w:ascii="Times New Roman" w:hAnsi="Times New Roman" w:cs="Times New Roman"/>
          <w:sz w:val="24"/>
          <w:szCs w:val="24"/>
        </w:rPr>
        <w:t xml:space="preserve"> </w:t>
      </w:r>
      <w:r w:rsidR="009816DF">
        <w:rPr>
          <w:rFonts w:ascii="Times New Roman" w:hAnsi="Times New Roman" w:cs="Times New Roman"/>
          <w:sz w:val="24"/>
          <w:szCs w:val="24"/>
        </w:rPr>
        <w:t>Among the other Latin canons, the Bo</w:t>
      </w:r>
      <w:r w:rsidR="009118FB">
        <w:rPr>
          <w:rFonts w:ascii="Times New Roman" w:hAnsi="Times New Roman" w:cs="Times New Roman"/>
          <w:sz w:val="24"/>
          <w:szCs w:val="24"/>
        </w:rPr>
        <w:t>a</w:t>
      </w:r>
      <w:r w:rsidR="009816DF">
        <w:rPr>
          <w:rFonts w:ascii="Times New Roman" w:hAnsi="Times New Roman" w:cs="Times New Roman"/>
          <w:sz w:val="24"/>
          <w:szCs w:val="24"/>
        </w:rPr>
        <w:t xml:space="preserve">rd relied on </w:t>
      </w:r>
      <w:r w:rsidR="0068765B" w:rsidRPr="0068765B">
        <w:rPr>
          <w:rFonts w:ascii="Times New Roman" w:hAnsi="Times New Roman" w:cs="Times New Roman"/>
          <w:i/>
          <w:sz w:val="24"/>
          <w:szCs w:val="24"/>
        </w:rPr>
        <w:t>noscitur</w:t>
      </w:r>
      <w:r w:rsidR="009816DF">
        <w:rPr>
          <w:rFonts w:ascii="Times New Roman" w:hAnsi="Times New Roman" w:cs="Times New Roman"/>
          <w:sz w:val="24"/>
          <w:szCs w:val="24"/>
        </w:rPr>
        <w:t xml:space="preserve"> the most (9%), while other Latin canons such as </w:t>
      </w:r>
      <w:r w:rsidR="0068765B" w:rsidRPr="0068765B">
        <w:rPr>
          <w:rFonts w:ascii="Times New Roman" w:hAnsi="Times New Roman" w:cs="Times New Roman"/>
          <w:i/>
          <w:sz w:val="24"/>
          <w:szCs w:val="24"/>
        </w:rPr>
        <w:t>ejusdem</w:t>
      </w:r>
      <w:r w:rsidR="009816DF" w:rsidRPr="0068765B">
        <w:rPr>
          <w:rFonts w:ascii="Times New Roman" w:hAnsi="Times New Roman" w:cs="Times New Roman"/>
          <w:i/>
          <w:sz w:val="24"/>
          <w:szCs w:val="24"/>
        </w:rPr>
        <w:t xml:space="preserve"> </w:t>
      </w:r>
      <w:r w:rsidR="0007450B">
        <w:rPr>
          <w:rFonts w:ascii="Times New Roman" w:hAnsi="Times New Roman" w:cs="Times New Roman"/>
          <w:sz w:val="24"/>
          <w:szCs w:val="24"/>
        </w:rPr>
        <w:t xml:space="preserve">(1%) and </w:t>
      </w:r>
      <w:r w:rsidR="009816DF" w:rsidRPr="0068765B">
        <w:rPr>
          <w:rFonts w:ascii="Times New Roman" w:hAnsi="Times New Roman" w:cs="Times New Roman"/>
          <w:i/>
          <w:sz w:val="24"/>
          <w:szCs w:val="24"/>
        </w:rPr>
        <w:t>in pari materi</w:t>
      </w:r>
      <w:r w:rsidR="009816DF">
        <w:rPr>
          <w:rFonts w:ascii="Times New Roman" w:hAnsi="Times New Roman" w:cs="Times New Roman"/>
          <w:sz w:val="24"/>
          <w:szCs w:val="24"/>
        </w:rPr>
        <w:t xml:space="preserve"> (</w:t>
      </w:r>
      <w:r w:rsidR="0068765B">
        <w:rPr>
          <w:rFonts w:ascii="Times New Roman" w:hAnsi="Times New Roman" w:cs="Times New Roman"/>
          <w:sz w:val="24"/>
          <w:szCs w:val="24"/>
        </w:rPr>
        <w:t>2%</w:t>
      </w:r>
      <w:r w:rsidR="009816DF">
        <w:rPr>
          <w:rFonts w:ascii="Times New Roman" w:hAnsi="Times New Roman" w:cs="Times New Roman"/>
          <w:sz w:val="24"/>
          <w:szCs w:val="24"/>
        </w:rPr>
        <w:t>) were used much less fr</w:t>
      </w:r>
      <w:r w:rsidR="00511032">
        <w:rPr>
          <w:rFonts w:ascii="Times New Roman" w:hAnsi="Times New Roman" w:cs="Times New Roman"/>
          <w:sz w:val="24"/>
          <w:szCs w:val="24"/>
        </w:rPr>
        <w:t>equently. Moreover, as no</w:t>
      </w:r>
      <w:r w:rsidR="00460D8E">
        <w:rPr>
          <w:rFonts w:ascii="Times New Roman" w:hAnsi="Times New Roman" w:cs="Times New Roman"/>
          <w:sz w:val="24"/>
          <w:szCs w:val="24"/>
        </w:rPr>
        <w:t xml:space="preserve">ted, use of the </w:t>
      </w:r>
      <w:r w:rsidR="00765C1D">
        <w:rPr>
          <w:rFonts w:ascii="Times New Roman" w:hAnsi="Times New Roman" w:cs="Times New Roman"/>
          <w:i/>
          <w:sz w:val="24"/>
          <w:szCs w:val="24"/>
        </w:rPr>
        <w:lastRenderedPageBreak/>
        <w:t>expressio</w:t>
      </w:r>
      <w:r w:rsidR="00460D8E" w:rsidRPr="00460D8E">
        <w:rPr>
          <w:rFonts w:ascii="Times New Roman" w:hAnsi="Times New Roman" w:cs="Times New Roman"/>
          <w:i/>
          <w:sz w:val="24"/>
          <w:szCs w:val="24"/>
        </w:rPr>
        <w:t xml:space="preserve"> unius</w:t>
      </w:r>
      <w:r w:rsidR="00460D8E">
        <w:rPr>
          <w:rFonts w:ascii="Times New Roman" w:hAnsi="Times New Roman" w:cs="Times New Roman"/>
          <w:sz w:val="24"/>
          <w:szCs w:val="24"/>
        </w:rPr>
        <w:t xml:space="preserve"> </w:t>
      </w:r>
      <w:r w:rsidR="009816DF">
        <w:rPr>
          <w:rFonts w:ascii="Times New Roman" w:hAnsi="Times New Roman" w:cs="Times New Roman"/>
          <w:sz w:val="24"/>
          <w:szCs w:val="24"/>
        </w:rPr>
        <w:t>was the most popular</w:t>
      </w:r>
      <w:r w:rsidR="00511032">
        <w:rPr>
          <w:rFonts w:ascii="Times New Roman" w:hAnsi="Times New Roman" w:cs="Times New Roman"/>
          <w:sz w:val="24"/>
          <w:szCs w:val="24"/>
        </w:rPr>
        <w:t xml:space="preserve"> interpretive Latin canon used b</w:t>
      </w:r>
      <w:r w:rsidR="009816DF">
        <w:rPr>
          <w:rFonts w:ascii="Times New Roman" w:hAnsi="Times New Roman" w:cs="Times New Roman"/>
          <w:sz w:val="24"/>
          <w:szCs w:val="24"/>
        </w:rPr>
        <w:t>y the Board (17%).</w:t>
      </w:r>
      <w:r w:rsidR="0068765B">
        <w:rPr>
          <w:rFonts w:ascii="Times New Roman" w:hAnsi="Times New Roman" w:cs="Times New Roman"/>
          <w:sz w:val="24"/>
          <w:szCs w:val="24"/>
        </w:rPr>
        <w:t xml:space="preserve"> </w:t>
      </w:r>
      <w:r w:rsidR="00765C1D">
        <w:rPr>
          <w:rFonts w:ascii="Times New Roman" w:hAnsi="Times New Roman" w:cs="Times New Roman"/>
          <w:sz w:val="24"/>
          <w:szCs w:val="24"/>
        </w:rPr>
        <w:t xml:space="preserve">For clarity, I specified that the Board here used the </w:t>
      </w:r>
      <w:r w:rsidR="00765C1D" w:rsidRPr="00765C1D">
        <w:rPr>
          <w:rFonts w:ascii="Times New Roman" w:hAnsi="Times New Roman" w:cs="Times New Roman"/>
          <w:i/>
          <w:sz w:val="24"/>
          <w:szCs w:val="24"/>
        </w:rPr>
        <w:t>expressio unius</w:t>
      </w:r>
      <w:r w:rsidR="00765C1D">
        <w:rPr>
          <w:rFonts w:ascii="Times New Roman" w:hAnsi="Times New Roman" w:cs="Times New Roman"/>
          <w:sz w:val="24"/>
          <w:szCs w:val="24"/>
        </w:rPr>
        <w:t xml:space="preserve"> canon to include what was </w:t>
      </w:r>
      <w:r w:rsidR="0007450B">
        <w:rPr>
          <w:rFonts w:ascii="Times New Roman" w:hAnsi="Times New Roman" w:cs="Times New Roman"/>
          <w:sz w:val="24"/>
          <w:szCs w:val="24"/>
        </w:rPr>
        <w:t xml:space="preserve">not expressly </w:t>
      </w:r>
      <w:r w:rsidR="00765C1D">
        <w:rPr>
          <w:rFonts w:ascii="Times New Roman" w:hAnsi="Times New Roman" w:cs="Times New Roman"/>
          <w:sz w:val="24"/>
          <w:szCs w:val="24"/>
        </w:rPr>
        <w:t>excluded, not to exclude</w:t>
      </w:r>
      <w:r w:rsidR="0007450B">
        <w:rPr>
          <w:rFonts w:ascii="Times New Roman" w:hAnsi="Times New Roman" w:cs="Times New Roman"/>
          <w:sz w:val="24"/>
          <w:szCs w:val="24"/>
        </w:rPr>
        <w:t xml:space="preserve">; thus I labeled it “modified </w:t>
      </w:r>
      <w:r w:rsidR="0007450B">
        <w:rPr>
          <w:rFonts w:ascii="Times New Roman" w:hAnsi="Times New Roman" w:cs="Times New Roman"/>
          <w:i/>
          <w:sz w:val="24"/>
          <w:szCs w:val="24"/>
        </w:rPr>
        <w:t>expressio unius</w:t>
      </w:r>
      <w:r w:rsidR="00765C1D">
        <w:rPr>
          <w:rFonts w:ascii="Times New Roman" w:hAnsi="Times New Roman" w:cs="Times New Roman"/>
          <w:sz w:val="24"/>
          <w:szCs w:val="24"/>
        </w:rPr>
        <w:t xml:space="preserve">. </w:t>
      </w:r>
      <w:r w:rsidR="0068765B" w:rsidRPr="00765C1D">
        <w:rPr>
          <w:rFonts w:ascii="Times New Roman" w:hAnsi="Times New Roman" w:cs="Times New Roman"/>
          <w:sz w:val="24"/>
          <w:szCs w:val="24"/>
        </w:rPr>
        <w:t>Further</w:t>
      </w:r>
      <w:r w:rsidR="0068765B">
        <w:rPr>
          <w:rFonts w:ascii="Times New Roman" w:hAnsi="Times New Roman" w:cs="Times New Roman"/>
          <w:sz w:val="24"/>
          <w:szCs w:val="24"/>
        </w:rPr>
        <w:t>, i</w:t>
      </w:r>
      <w:r w:rsidR="009816DF">
        <w:rPr>
          <w:rFonts w:ascii="Times New Roman" w:hAnsi="Times New Roman" w:cs="Times New Roman"/>
          <w:sz w:val="24"/>
          <w:szCs w:val="24"/>
        </w:rPr>
        <w:t>n addition to use of the Latin canons, the Board also on occasion would use o</w:t>
      </w:r>
      <w:r w:rsidR="00765C1D">
        <w:rPr>
          <w:rFonts w:ascii="Times New Roman" w:hAnsi="Times New Roman" w:cs="Times New Roman"/>
          <w:sz w:val="24"/>
          <w:szCs w:val="24"/>
        </w:rPr>
        <w:t>ther rules of language</w:t>
      </w:r>
      <w:r w:rsidR="0007450B">
        <w:rPr>
          <w:rFonts w:ascii="Times New Roman" w:hAnsi="Times New Roman" w:cs="Times New Roman"/>
          <w:sz w:val="24"/>
          <w:szCs w:val="24"/>
        </w:rPr>
        <w:t xml:space="preserve"> or grammar to inform meaning. In </w:t>
      </w:r>
      <w:r w:rsidR="009816DF">
        <w:rPr>
          <w:rFonts w:ascii="Times New Roman" w:hAnsi="Times New Roman" w:cs="Times New Roman"/>
          <w:sz w:val="24"/>
          <w:szCs w:val="24"/>
        </w:rPr>
        <w:t xml:space="preserve">about 4% of cases, the </w:t>
      </w:r>
      <w:r w:rsidR="00DF6B71">
        <w:rPr>
          <w:rFonts w:ascii="Times New Roman" w:hAnsi="Times New Roman" w:cs="Times New Roman"/>
          <w:sz w:val="24"/>
          <w:szCs w:val="24"/>
        </w:rPr>
        <w:t xml:space="preserve">Board </w:t>
      </w:r>
      <w:r w:rsidR="009816DF">
        <w:rPr>
          <w:rFonts w:ascii="Times New Roman" w:hAnsi="Times New Roman" w:cs="Times New Roman"/>
          <w:sz w:val="24"/>
          <w:szCs w:val="24"/>
        </w:rPr>
        <w:t>expressly noted that the statute’s text should be rea</w:t>
      </w:r>
      <w:r w:rsidR="001F24CC">
        <w:rPr>
          <w:rFonts w:ascii="Times New Roman" w:hAnsi="Times New Roman" w:cs="Times New Roman"/>
          <w:sz w:val="24"/>
          <w:szCs w:val="24"/>
        </w:rPr>
        <w:t xml:space="preserve">d so as to avoid redundancy. </w:t>
      </w:r>
    </w:p>
    <w:p w14:paraId="638986D1" w14:textId="434D7E9D" w:rsidR="009816DF" w:rsidRDefault="009816DF" w:rsidP="008236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the Board also adopted two other techniques in its statutory interpretation that are of note with respect to the relationship b</w:t>
      </w:r>
      <w:r w:rsidR="00BC33E5">
        <w:rPr>
          <w:rFonts w:ascii="Times New Roman" w:hAnsi="Times New Roman" w:cs="Times New Roman"/>
          <w:sz w:val="24"/>
          <w:szCs w:val="24"/>
        </w:rPr>
        <w:t xml:space="preserve">etween the Board and Congress. </w:t>
      </w:r>
      <w:r>
        <w:rPr>
          <w:rFonts w:ascii="Times New Roman" w:hAnsi="Times New Roman" w:cs="Times New Roman"/>
          <w:sz w:val="24"/>
          <w:szCs w:val="24"/>
        </w:rPr>
        <w:t>First, in 5% of cases, the Board informed its statutory interpretation by expressly noting that Congress failed to “clearly state” one interpretation, and so, by implication, the opposite interpretati</w:t>
      </w:r>
      <w:r w:rsidR="00D0014C">
        <w:rPr>
          <w:rFonts w:ascii="Times New Roman" w:hAnsi="Times New Roman" w:cs="Times New Roman"/>
          <w:sz w:val="24"/>
          <w:szCs w:val="24"/>
        </w:rPr>
        <w:t xml:space="preserve">on must stand. </w:t>
      </w:r>
      <w:r>
        <w:rPr>
          <w:rFonts w:ascii="Times New Roman" w:hAnsi="Times New Roman" w:cs="Times New Roman"/>
          <w:sz w:val="24"/>
          <w:szCs w:val="24"/>
        </w:rPr>
        <w:t xml:space="preserve">Second, in a small minority of cases (5%), the Board referenced congressional inaction to respond to the Board’s longstanding interpretation of a statute </w:t>
      </w:r>
      <w:r w:rsidR="00511032">
        <w:rPr>
          <w:rFonts w:ascii="Times New Roman" w:hAnsi="Times New Roman" w:cs="Times New Roman"/>
          <w:sz w:val="24"/>
          <w:szCs w:val="24"/>
        </w:rPr>
        <w:t xml:space="preserve">as contributing to the Board believing, </w:t>
      </w:r>
      <w:r>
        <w:rPr>
          <w:rFonts w:ascii="Times New Roman" w:hAnsi="Times New Roman" w:cs="Times New Roman"/>
          <w:sz w:val="24"/>
          <w:szCs w:val="24"/>
        </w:rPr>
        <w:t>by implication, that Congress agreed with said interpretation.</w:t>
      </w:r>
      <w:r w:rsidR="00DF6B71">
        <w:rPr>
          <w:rFonts w:ascii="Times New Roman" w:hAnsi="Times New Roman" w:cs="Times New Roman"/>
          <w:sz w:val="24"/>
          <w:szCs w:val="24"/>
        </w:rPr>
        <w:t xml:space="preserve"> That is, the Board noted that because Congress did not act to amend the statute, it must have been pleased with the way that the Board has been interpreting the statute.</w:t>
      </w:r>
      <w:r>
        <w:rPr>
          <w:rFonts w:ascii="Times New Roman" w:hAnsi="Times New Roman" w:cs="Times New Roman"/>
          <w:sz w:val="24"/>
          <w:szCs w:val="24"/>
        </w:rPr>
        <w:t xml:space="preserve">  </w:t>
      </w:r>
    </w:p>
    <w:p w14:paraId="423A32CE" w14:textId="45165ACA" w:rsidR="009816DF" w:rsidRDefault="009816DF" w:rsidP="005110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used language and textual canons </w:t>
      </w:r>
      <w:r w:rsidR="00DF6B71">
        <w:rPr>
          <w:rFonts w:ascii="Times New Roman" w:hAnsi="Times New Roman" w:cs="Times New Roman"/>
          <w:sz w:val="24"/>
          <w:szCs w:val="24"/>
        </w:rPr>
        <w:t xml:space="preserve">primarily to advance a text-based argument. </w:t>
      </w:r>
      <w:r w:rsidR="00193EEA">
        <w:rPr>
          <w:rFonts w:ascii="Times New Roman" w:hAnsi="Times New Roman" w:cs="Times New Roman"/>
          <w:sz w:val="24"/>
          <w:szCs w:val="24"/>
        </w:rPr>
        <w:t xml:space="preserve">In </w:t>
      </w:r>
      <w:r w:rsidR="00193EEA" w:rsidRPr="00FE24C6">
        <w:rPr>
          <w:rFonts w:ascii="Times New Roman" w:hAnsi="Times New Roman" w:cs="Times New Roman"/>
          <w:i/>
          <w:sz w:val="24"/>
          <w:szCs w:val="24"/>
        </w:rPr>
        <w:t>Lincoln Lutheran of Racine</w:t>
      </w:r>
      <w:r w:rsidR="00193EEA">
        <w:rPr>
          <w:rFonts w:ascii="Times New Roman" w:hAnsi="Times New Roman" w:cs="Times New Roman"/>
          <w:sz w:val="24"/>
          <w:szCs w:val="24"/>
        </w:rPr>
        <w:t xml:space="preserve">, </w:t>
      </w:r>
      <w:r w:rsidR="00DF6B71">
        <w:rPr>
          <w:rFonts w:ascii="Times New Roman" w:hAnsi="Times New Roman" w:cs="Times New Roman"/>
          <w:sz w:val="24"/>
          <w:szCs w:val="24"/>
        </w:rPr>
        <w:t xml:space="preserve">for instance, </w:t>
      </w:r>
      <w:r w:rsidR="00193EEA">
        <w:rPr>
          <w:rFonts w:ascii="Times New Roman" w:hAnsi="Times New Roman" w:cs="Times New Roman"/>
          <w:sz w:val="24"/>
          <w:szCs w:val="24"/>
        </w:rPr>
        <w:t>the Board relied on other provisions of the NLRA to assist in interpreting the statute.</w:t>
      </w:r>
      <w:r w:rsidR="00193EEA">
        <w:rPr>
          <w:rStyle w:val="FootnoteReference"/>
          <w:rFonts w:ascii="Times New Roman" w:hAnsi="Times New Roman" w:cs="Times New Roman"/>
          <w:sz w:val="24"/>
          <w:szCs w:val="24"/>
        </w:rPr>
        <w:footnoteReference w:id="183"/>
      </w:r>
      <w:r w:rsidR="00193EEA">
        <w:rPr>
          <w:rFonts w:ascii="Times New Roman" w:hAnsi="Times New Roman" w:cs="Times New Roman"/>
          <w:sz w:val="24"/>
          <w:szCs w:val="24"/>
        </w:rPr>
        <w:t xml:space="preserve"> </w:t>
      </w:r>
      <w:r w:rsidR="00543597">
        <w:rPr>
          <w:rFonts w:ascii="Times New Roman" w:hAnsi="Times New Roman" w:cs="Times New Roman"/>
          <w:sz w:val="24"/>
          <w:szCs w:val="24"/>
        </w:rPr>
        <w:t>The Democratic-majority Board broadly interpreted section 8(a)(5) of the NLRA, in part, by referring to other parts of the statute, which it said “create no obstacle to finding that an employer violates the act by unilaterally discontinuing dues cutoff after contract expiration.”</w:t>
      </w:r>
      <w:r w:rsidR="00543597">
        <w:rPr>
          <w:rStyle w:val="FootnoteReference"/>
          <w:rFonts w:ascii="Times New Roman" w:hAnsi="Times New Roman" w:cs="Times New Roman"/>
          <w:sz w:val="24"/>
          <w:szCs w:val="24"/>
        </w:rPr>
        <w:footnoteReference w:id="184"/>
      </w:r>
      <w:r w:rsidR="00543597">
        <w:rPr>
          <w:rFonts w:ascii="Times New Roman" w:hAnsi="Times New Roman" w:cs="Times New Roman"/>
          <w:sz w:val="24"/>
          <w:szCs w:val="24"/>
        </w:rPr>
        <w:t xml:space="preserve"> </w:t>
      </w:r>
      <w:r w:rsidR="00193EEA">
        <w:rPr>
          <w:rFonts w:ascii="Times New Roman" w:hAnsi="Times New Roman" w:cs="Times New Roman"/>
          <w:sz w:val="24"/>
          <w:szCs w:val="24"/>
        </w:rPr>
        <w:t xml:space="preserve">Indeed, other provisions contained an express requirement that there </w:t>
      </w:r>
      <w:r w:rsidR="00193EEA">
        <w:rPr>
          <w:rFonts w:ascii="Times New Roman" w:hAnsi="Times New Roman" w:cs="Times New Roman"/>
          <w:sz w:val="24"/>
          <w:szCs w:val="24"/>
        </w:rPr>
        <w:lastRenderedPageBreak/>
        <w:t>be “written agreement.”</w:t>
      </w:r>
      <w:r w:rsidR="00193EEA">
        <w:rPr>
          <w:rStyle w:val="FootnoteReference"/>
          <w:rFonts w:ascii="Times New Roman" w:hAnsi="Times New Roman" w:cs="Times New Roman"/>
          <w:sz w:val="24"/>
          <w:szCs w:val="24"/>
        </w:rPr>
        <w:footnoteReference w:id="185"/>
      </w:r>
      <w:r w:rsidR="00193EEA">
        <w:rPr>
          <w:rFonts w:ascii="Times New Roman" w:hAnsi="Times New Roman" w:cs="Times New Roman"/>
          <w:sz w:val="24"/>
          <w:szCs w:val="24"/>
        </w:rPr>
        <w:t xml:space="preserve"> The Board reasoned that “Congress’ explicit decision to condition the lawfulness” of another activity on a “written agreement with the employer” and the “conspicuous absence of this requirement in Section 302(c)(4)” demonstrates that “Congress did not intend the dues-checkoff arrangement to rely on whether the collective bargaining agreement expired.</w:t>
      </w:r>
      <w:r w:rsidR="00193EEA">
        <w:rPr>
          <w:rStyle w:val="FootnoteReference"/>
          <w:rFonts w:ascii="Times New Roman" w:hAnsi="Times New Roman" w:cs="Times New Roman"/>
          <w:sz w:val="24"/>
          <w:szCs w:val="24"/>
        </w:rPr>
        <w:footnoteReference w:id="186"/>
      </w:r>
      <w:r w:rsidR="00653520">
        <w:rPr>
          <w:rFonts w:ascii="Times New Roman" w:hAnsi="Times New Roman" w:cs="Times New Roman"/>
          <w:sz w:val="24"/>
          <w:szCs w:val="24"/>
        </w:rPr>
        <w:t xml:space="preserve"> </w:t>
      </w:r>
      <w:r w:rsidR="00193EEA">
        <w:rPr>
          <w:rFonts w:ascii="Times New Roman" w:hAnsi="Times New Roman" w:cs="Times New Roman"/>
          <w:sz w:val="24"/>
          <w:szCs w:val="24"/>
        </w:rPr>
        <w:t>The Board went on to chide the prior Board for ignoring the statutory language to two other sections of the statue which were “enacted by the same Congress at the same time” that treated dues checkoffs “quite differently.”</w:t>
      </w:r>
      <w:r w:rsidR="00193EEA">
        <w:rPr>
          <w:rStyle w:val="FootnoteReference"/>
          <w:rFonts w:ascii="Times New Roman" w:hAnsi="Times New Roman" w:cs="Times New Roman"/>
          <w:sz w:val="24"/>
          <w:szCs w:val="24"/>
        </w:rPr>
        <w:footnoteReference w:id="187"/>
      </w:r>
      <w:r w:rsidR="00193EEA">
        <w:rPr>
          <w:rFonts w:ascii="Times New Roman" w:hAnsi="Times New Roman" w:cs="Times New Roman"/>
          <w:sz w:val="24"/>
          <w:szCs w:val="24"/>
        </w:rPr>
        <w:t xml:space="preserve"> As the Board stated, “[t]he language of the proviso to [another section] makes clear that when Congress wanted to make an employment term, such as union security, dependent on the existence of a contract, Congress knew how to do so.”</w:t>
      </w:r>
      <w:r w:rsidR="0007450B">
        <w:rPr>
          <w:rStyle w:val="FootnoteReference"/>
          <w:rFonts w:ascii="Times New Roman" w:hAnsi="Times New Roman" w:cs="Times New Roman"/>
          <w:sz w:val="24"/>
          <w:szCs w:val="24"/>
        </w:rPr>
        <w:footnoteReference w:id="188"/>
      </w:r>
      <w:r w:rsidR="00193EEA">
        <w:rPr>
          <w:rFonts w:ascii="Times New Roman" w:hAnsi="Times New Roman" w:cs="Times New Roman"/>
          <w:sz w:val="24"/>
          <w:szCs w:val="24"/>
        </w:rPr>
        <w:t xml:space="preserve"> The Board continued its analysis by following up on policies that supported its finding as well as the legislative history.</w:t>
      </w:r>
      <w:r w:rsidR="00193EEA">
        <w:rPr>
          <w:rStyle w:val="FootnoteReference"/>
          <w:rFonts w:ascii="Times New Roman" w:hAnsi="Times New Roman" w:cs="Times New Roman"/>
          <w:sz w:val="24"/>
          <w:szCs w:val="24"/>
        </w:rPr>
        <w:footnoteReference w:id="189"/>
      </w:r>
    </w:p>
    <w:p w14:paraId="3B019774" w14:textId="35506581" w:rsidR="0027708C" w:rsidRDefault="003957E9" w:rsidP="001F24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511032">
        <w:rPr>
          <w:rFonts w:ascii="Times New Roman" w:hAnsi="Times New Roman" w:cs="Times New Roman"/>
          <w:sz w:val="24"/>
          <w:szCs w:val="24"/>
        </w:rPr>
        <w:t xml:space="preserve">as a side note, </w:t>
      </w:r>
      <w:r>
        <w:rPr>
          <w:rFonts w:ascii="Times New Roman" w:hAnsi="Times New Roman" w:cs="Times New Roman"/>
          <w:sz w:val="24"/>
          <w:szCs w:val="24"/>
        </w:rPr>
        <w:t xml:space="preserve">the Board rarely relied on any of the substantive canons. In two cases, the Board </w:t>
      </w:r>
      <w:r w:rsidR="00DF6B71">
        <w:rPr>
          <w:rFonts w:ascii="Times New Roman" w:hAnsi="Times New Roman" w:cs="Times New Roman"/>
          <w:sz w:val="24"/>
          <w:szCs w:val="24"/>
        </w:rPr>
        <w:t xml:space="preserve">invoked the canon against construing a statute so as to </w:t>
      </w:r>
      <w:r w:rsidR="00D0014C">
        <w:rPr>
          <w:rFonts w:ascii="Times New Roman" w:hAnsi="Times New Roman" w:cs="Times New Roman"/>
          <w:sz w:val="24"/>
          <w:szCs w:val="24"/>
        </w:rPr>
        <w:t>conflict with the Constitution</w:t>
      </w:r>
      <w:r>
        <w:rPr>
          <w:rFonts w:ascii="Times New Roman" w:hAnsi="Times New Roman" w:cs="Times New Roman"/>
          <w:sz w:val="24"/>
          <w:szCs w:val="24"/>
        </w:rPr>
        <w:t xml:space="preserve"> to guide its decision</w:t>
      </w:r>
      <w:r w:rsidR="005764D7">
        <w:rPr>
          <w:rFonts w:ascii="Times New Roman" w:hAnsi="Times New Roman" w:cs="Times New Roman"/>
          <w:sz w:val="24"/>
          <w:szCs w:val="24"/>
        </w:rPr>
        <w:t>-</w:t>
      </w:r>
      <w:r>
        <w:rPr>
          <w:rFonts w:ascii="Times New Roman" w:hAnsi="Times New Roman" w:cs="Times New Roman"/>
          <w:sz w:val="24"/>
          <w:szCs w:val="24"/>
        </w:rPr>
        <w:t xml:space="preserve">making. Some cases, for </w:t>
      </w:r>
      <w:r w:rsidR="00D0014C">
        <w:rPr>
          <w:rFonts w:ascii="Times New Roman" w:hAnsi="Times New Roman" w:cs="Times New Roman"/>
          <w:sz w:val="24"/>
          <w:szCs w:val="24"/>
        </w:rPr>
        <w:t>instance, raised First Amendment</w:t>
      </w:r>
      <w:r>
        <w:rPr>
          <w:rFonts w:ascii="Times New Roman" w:hAnsi="Times New Roman" w:cs="Times New Roman"/>
          <w:sz w:val="24"/>
          <w:szCs w:val="24"/>
        </w:rPr>
        <w:t xml:space="preserve"> concerns. An employer may argue that a statement it made was something protected under the First Amendment free speech clause, and the Board in some instances would use the rule of constitutional avoidance to guide its determinations. Moreover, the Board, in a handful of cases, invoked the substantive canon on Native Am</w:t>
      </w:r>
      <w:r w:rsidR="005764D7">
        <w:rPr>
          <w:rFonts w:ascii="Times New Roman" w:hAnsi="Times New Roman" w:cs="Times New Roman"/>
          <w:sz w:val="24"/>
          <w:szCs w:val="24"/>
        </w:rPr>
        <w:t>erican sovereignty as well as</w:t>
      </w:r>
      <w:r>
        <w:rPr>
          <w:rFonts w:ascii="Times New Roman" w:hAnsi="Times New Roman" w:cs="Times New Roman"/>
          <w:sz w:val="24"/>
          <w:szCs w:val="24"/>
        </w:rPr>
        <w:t xml:space="preserve"> the principle against interpreting a statute so as to extend beyond the territorial boundaries of the United States. These </w:t>
      </w:r>
      <w:r>
        <w:rPr>
          <w:rFonts w:ascii="Times New Roman" w:hAnsi="Times New Roman" w:cs="Times New Roman"/>
          <w:sz w:val="24"/>
          <w:szCs w:val="24"/>
        </w:rPr>
        <w:lastRenderedPageBreak/>
        <w:t>cases, however, concerned jurisdiction issues, and were not included in the databa</w:t>
      </w:r>
      <w:r w:rsidR="001F24CC">
        <w:rPr>
          <w:rFonts w:ascii="Times New Roman" w:hAnsi="Times New Roman" w:cs="Times New Roman"/>
          <w:sz w:val="24"/>
          <w:szCs w:val="24"/>
        </w:rPr>
        <w:t>se for this particular project.</w:t>
      </w:r>
    </w:p>
    <w:p w14:paraId="471C1F5F" w14:textId="3D359D0A" w:rsidR="0027708C" w:rsidRPr="007E0531" w:rsidRDefault="0027708C" w:rsidP="007E0531">
      <w:pPr>
        <w:pStyle w:val="ListParagraph"/>
        <w:numPr>
          <w:ilvl w:val="0"/>
          <w:numId w:val="9"/>
        </w:numPr>
        <w:spacing w:after="0" w:line="480" w:lineRule="auto"/>
        <w:rPr>
          <w:rFonts w:ascii="Times New Roman" w:hAnsi="Times New Roman" w:cs="Times New Roman"/>
          <w:b/>
          <w:sz w:val="24"/>
          <w:szCs w:val="24"/>
        </w:rPr>
      </w:pPr>
      <w:r w:rsidRPr="007E0531">
        <w:rPr>
          <w:rFonts w:ascii="Times New Roman" w:hAnsi="Times New Roman" w:cs="Times New Roman"/>
          <w:b/>
          <w:sz w:val="24"/>
          <w:szCs w:val="24"/>
        </w:rPr>
        <w:t>Use of Legislative History</w:t>
      </w:r>
    </w:p>
    <w:p w14:paraId="684026E6" w14:textId="60D6087C" w:rsidR="005764D7" w:rsidRDefault="00E35AE5" w:rsidP="007E05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F508F4">
        <w:rPr>
          <w:rFonts w:ascii="Times New Roman" w:hAnsi="Times New Roman" w:cs="Times New Roman"/>
          <w:sz w:val="24"/>
          <w:szCs w:val="24"/>
        </w:rPr>
        <w:t xml:space="preserve">ajority Board </w:t>
      </w:r>
      <w:r w:rsidR="003957E9">
        <w:rPr>
          <w:rFonts w:ascii="Times New Roman" w:hAnsi="Times New Roman" w:cs="Times New Roman"/>
          <w:sz w:val="24"/>
          <w:szCs w:val="24"/>
        </w:rPr>
        <w:t xml:space="preserve">decisions </w:t>
      </w:r>
      <w:r w:rsidR="00F508F4">
        <w:rPr>
          <w:rFonts w:ascii="Times New Roman" w:hAnsi="Times New Roman" w:cs="Times New Roman"/>
          <w:sz w:val="24"/>
          <w:szCs w:val="24"/>
        </w:rPr>
        <w:t>frequently invoke legisl</w:t>
      </w:r>
      <w:r w:rsidR="003957E9">
        <w:rPr>
          <w:rFonts w:ascii="Times New Roman" w:hAnsi="Times New Roman" w:cs="Times New Roman"/>
          <w:sz w:val="24"/>
          <w:szCs w:val="24"/>
        </w:rPr>
        <w:t>ative history, as about half (47</w:t>
      </w:r>
      <w:r w:rsidR="00F508F4">
        <w:rPr>
          <w:rFonts w:ascii="Times New Roman" w:hAnsi="Times New Roman" w:cs="Times New Roman"/>
          <w:sz w:val="24"/>
          <w:szCs w:val="24"/>
        </w:rPr>
        <w:t>%) of the decisions at least refer to legi</w:t>
      </w:r>
      <w:r>
        <w:rPr>
          <w:rFonts w:ascii="Times New Roman" w:hAnsi="Times New Roman" w:cs="Times New Roman"/>
          <w:sz w:val="24"/>
          <w:szCs w:val="24"/>
        </w:rPr>
        <w:t xml:space="preserve">slative history in some respect, with legislative history playing a </w:t>
      </w:r>
      <w:r w:rsidR="0049190E">
        <w:rPr>
          <w:rFonts w:ascii="Times New Roman" w:hAnsi="Times New Roman" w:cs="Times New Roman"/>
          <w:sz w:val="24"/>
          <w:szCs w:val="24"/>
        </w:rPr>
        <w:t>prominent and primary part</w:t>
      </w:r>
      <w:r>
        <w:rPr>
          <w:rFonts w:ascii="Times New Roman" w:hAnsi="Times New Roman" w:cs="Times New Roman"/>
          <w:sz w:val="24"/>
          <w:szCs w:val="24"/>
        </w:rPr>
        <w:t xml:space="preserve"> in the major</w:t>
      </w:r>
      <w:r w:rsidR="003957E9">
        <w:rPr>
          <w:rFonts w:ascii="Times New Roman" w:hAnsi="Times New Roman" w:cs="Times New Roman"/>
          <w:sz w:val="24"/>
          <w:szCs w:val="24"/>
        </w:rPr>
        <w:t>ity’s interpretation in about 16</w:t>
      </w:r>
      <w:r>
        <w:rPr>
          <w:rFonts w:ascii="Times New Roman" w:hAnsi="Times New Roman" w:cs="Times New Roman"/>
          <w:sz w:val="24"/>
          <w:szCs w:val="24"/>
        </w:rPr>
        <w:t xml:space="preserve">% of the cases. </w:t>
      </w:r>
      <w:r w:rsidR="001F24CC">
        <w:rPr>
          <w:rFonts w:ascii="Times New Roman" w:hAnsi="Times New Roman" w:cs="Times New Roman"/>
          <w:sz w:val="24"/>
          <w:szCs w:val="24"/>
        </w:rPr>
        <w:t>The Board relied on a mix of legislative materials as source for its an</w:t>
      </w:r>
      <w:r w:rsidR="00BC33E5">
        <w:rPr>
          <w:rFonts w:ascii="Times New Roman" w:hAnsi="Times New Roman" w:cs="Times New Roman"/>
          <w:sz w:val="24"/>
          <w:szCs w:val="24"/>
        </w:rPr>
        <w:t xml:space="preserve">alysis of legislative history. </w:t>
      </w:r>
      <w:r w:rsidR="001F24CC">
        <w:rPr>
          <w:rFonts w:ascii="Times New Roman" w:hAnsi="Times New Roman" w:cs="Times New Roman"/>
          <w:sz w:val="24"/>
          <w:szCs w:val="24"/>
        </w:rPr>
        <w:t>I coded for six sources of legislative history: 1) conference reports (often considered to be the most authoritative source of legislative history); 2) statements by sponsors</w:t>
      </w:r>
      <w:r w:rsidR="006F47AD">
        <w:rPr>
          <w:rFonts w:ascii="Times New Roman" w:hAnsi="Times New Roman" w:cs="Times New Roman"/>
          <w:sz w:val="24"/>
          <w:szCs w:val="24"/>
        </w:rPr>
        <w:t>, conference chairman, committee chairman</w:t>
      </w:r>
      <w:r w:rsidR="001F24CC">
        <w:rPr>
          <w:rFonts w:ascii="Times New Roman" w:hAnsi="Times New Roman" w:cs="Times New Roman"/>
          <w:sz w:val="24"/>
          <w:szCs w:val="24"/>
        </w:rPr>
        <w:t xml:space="preserve"> or other Congressman in the Congressional Record; 3) House or Senate Committee reports; 4) general references to the amendment process or to the process by which Congress created the statute; 5) indirect</w:t>
      </w:r>
      <w:r w:rsidR="00145BC4">
        <w:rPr>
          <w:rFonts w:ascii="Times New Roman" w:hAnsi="Times New Roman" w:cs="Times New Roman"/>
          <w:sz w:val="24"/>
          <w:szCs w:val="24"/>
        </w:rPr>
        <w:t xml:space="preserve"> or direct</w:t>
      </w:r>
      <w:r w:rsidR="001F24CC">
        <w:rPr>
          <w:rFonts w:ascii="Times New Roman" w:hAnsi="Times New Roman" w:cs="Times New Roman"/>
          <w:sz w:val="24"/>
          <w:szCs w:val="24"/>
        </w:rPr>
        <w:t xml:space="preserve"> references to the legislative history noted in Board or Supreme Court caselaw</w:t>
      </w:r>
      <w:r w:rsidR="00145BC4">
        <w:rPr>
          <w:rFonts w:ascii="Times New Roman" w:hAnsi="Times New Roman" w:cs="Times New Roman"/>
          <w:sz w:val="24"/>
          <w:szCs w:val="24"/>
        </w:rPr>
        <w:t xml:space="preserve"> but no specific citation to a traditional source of legislative history such as conference reports or statements in the Congressional Record</w:t>
      </w:r>
      <w:r w:rsidR="001F24CC">
        <w:rPr>
          <w:rFonts w:ascii="Times New Roman" w:hAnsi="Times New Roman" w:cs="Times New Roman"/>
          <w:sz w:val="24"/>
          <w:szCs w:val="24"/>
        </w:rPr>
        <w:t>; and 6) references to legislative history of oth</w:t>
      </w:r>
      <w:r w:rsidR="00BC33E5">
        <w:rPr>
          <w:rFonts w:ascii="Times New Roman" w:hAnsi="Times New Roman" w:cs="Times New Roman"/>
          <w:sz w:val="24"/>
          <w:szCs w:val="24"/>
        </w:rPr>
        <w:t xml:space="preserve">er statutes to inform meaning. </w:t>
      </w:r>
      <w:r w:rsidR="005764D7">
        <w:rPr>
          <w:rFonts w:ascii="Times New Roman" w:hAnsi="Times New Roman" w:cs="Times New Roman"/>
          <w:sz w:val="24"/>
          <w:szCs w:val="24"/>
        </w:rPr>
        <w:t>With respect to fifth t</w:t>
      </w:r>
      <w:r w:rsidR="001F2511">
        <w:rPr>
          <w:rFonts w:ascii="Times New Roman" w:hAnsi="Times New Roman" w:cs="Times New Roman"/>
          <w:sz w:val="24"/>
          <w:szCs w:val="24"/>
        </w:rPr>
        <w:t>yp</w:t>
      </w:r>
      <w:r w:rsidR="00145BC4">
        <w:rPr>
          <w:rFonts w:ascii="Times New Roman" w:hAnsi="Times New Roman" w:cs="Times New Roman"/>
          <w:sz w:val="24"/>
          <w:szCs w:val="24"/>
        </w:rPr>
        <w:t>e of legislative history</w:t>
      </w:r>
      <w:r w:rsidR="001F24CC">
        <w:rPr>
          <w:rFonts w:ascii="Times New Roman" w:hAnsi="Times New Roman" w:cs="Times New Roman"/>
          <w:sz w:val="24"/>
          <w:szCs w:val="24"/>
        </w:rPr>
        <w:t xml:space="preserve">, the Board often did not directly cite legislative history, relying instead on former Boards or the Supreme Court to do the work from them. If the indirect citation referred directly to one of the other legislative sources (such as the Conference Report or House Report), I counted the source as the Conference or House report. However, in most instances, the Board </w:t>
      </w:r>
      <w:r w:rsidR="00CE4446">
        <w:rPr>
          <w:rFonts w:ascii="Times New Roman" w:hAnsi="Times New Roman" w:cs="Times New Roman"/>
          <w:sz w:val="24"/>
          <w:szCs w:val="24"/>
        </w:rPr>
        <w:t>simply said</w:t>
      </w:r>
      <w:r w:rsidR="001F24CC">
        <w:rPr>
          <w:rFonts w:ascii="Times New Roman" w:hAnsi="Times New Roman" w:cs="Times New Roman"/>
          <w:sz w:val="24"/>
          <w:szCs w:val="24"/>
        </w:rPr>
        <w:t xml:space="preserve"> that the Board or Supreme Court found the legislative history to say something or another, without providing specifics</w:t>
      </w:r>
      <w:r w:rsidR="0049190E">
        <w:rPr>
          <w:rFonts w:ascii="Times New Roman" w:hAnsi="Times New Roman" w:cs="Times New Roman"/>
          <w:sz w:val="24"/>
          <w:szCs w:val="24"/>
        </w:rPr>
        <w:t xml:space="preserve"> of the actual congressional source</w:t>
      </w:r>
      <w:r w:rsidR="001F24CC">
        <w:rPr>
          <w:rFonts w:ascii="Times New Roman" w:hAnsi="Times New Roman" w:cs="Times New Roman"/>
          <w:sz w:val="24"/>
          <w:szCs w:val="24"/>
        </w:rPr>
        <w:t>.</w:t>
      </w:r>
      <w:r w:rsidR="00145BC4">
        <w:rPr>
          <w:rFonts w:ascii="Times New Roman" w:hAnsi="Times New Roman" w:cs="Times New Roman"/>
          <w:sz w:val="24"/>
          <w:szCs w:val="24"/>
        </w:rPr>
        <w:t xml:space="preserve"> Other times, the Board simply stated “The legislative history says” but without citing the source. </w:t>
      </w:r>
      <w:r w:rsidR="001F24CC">
        <w:rPr>
          <w:rFonts w:ascii="Times New Roman" w:hAnsi="Times New Roman" w:cs="Times New Roman"/>
          <w:sz w:val="24"/>
          <w:szCs w:val="24"/>
        </w:rPr>
        <w:t xml:space="preserve"> I coded these indirect vague references as coming from caselaw generally. As shown in </w:t>
      </w:r>
      <w:r w:rsidR="007E6998">
        <w:rPr>
          <w:rFonts w:ascii="Times New Roman" w:hAnsi="Times New Roman" w:cs="Times New Roman"/>
          <w:sz w:val="24"/>
          <w:szCs w:val="24"/>
        </w:rPr>
        <w:t>Figure 7</w:t>
      </w:r>
      <w:r w:rsidR="001F24CC">
        <w:rPr>
          <w:rFonts w:ascii="Times New Roman" w:hAnsi="Times New Roman" w:cs="Times New Roman"/>
          <w:sz w:val="24"/>
          <w:szCs w:val="24"/>
        </w:rPr>
        <w:t xml:space="preserve">, the Board most frequently </w:t>
      </w:r>
      <w:r w:rsidR="001F24CC">
        <w:rPr>
          <w:rFonts w:ascii="Times New Roman" w:hAnsi="Times New Roman" w:cs="Times New Roman"/>
          <w:sz w:val="24"/>
          <w:szCs w:val="24"/>
        </w:rPr>
        <w:lastRenderedPageBreak/>
        <w:t>only indirectly referenced legislative history by citation to other Board or Supreme Court opinions or to law reviews that mentioned legislative his</w:t>
      </w:r>
      <w:r w:rsidR="005764D7">
        <w:rPr>
          <w:rFonts w:ascii="Times New Roman" w:hAnsi="Times New Roman" w:cs="Times New Roman"/>
          <w:sz w:val="24"/>
          <w:szCs w:val="24"/>
        </w:rPr>
        <w:t xml:space="preserve">tory. </w:t>
      </w:r>
      <w:r w:rsidR="0049190E">
        <w:rPr>
          <w:rFonts w:ascii="Times New Roman" w:hAnsi="Times New Roman" w:cs="Times New Roman"/>
          <w:sz w:val="24"/>
          <w:szCs w:val="24"/>
        </w:rPr>
        <w:t>Indeed, 43% of the citati</w:t>
      </w:r>
      <w:r w:rsidR="001F24CC">
        <w:rPr>
          <w:rFonts w:ascii="Times New Roman" w:hAnsi="Times New Roman" w:cs="Times New Roman"/>
          <w:sz w:val="24"/>
          <w:szCs w:val="24"/>
        </w:rPr>
        <w:t>ons to legislative history concerned broad, indirect references to congressional intent</w:t>
      </w:r>
      <w:r w:rsidR="0049190E">
        <w:rPr>
          <w:rFonts w:ascii="Times New Roman" w:hAnsi="Times New Roman" w:cs="Times New Roman"/>
          <w:sz w:val="24"/>
          <w:szCs w:val="24"/>
        </w:rPr>
        <w:t xml:space="preserve"> gathered from statements in caselaw or law reviews</w:t>
      </w:r>
      <w:r w:rsidR="001F24CC">
        <w:rPr>
          <w:rFonts w:ascii="Times New Roman" w:hAnsi="Times New Roman" w:cs="Times New Roman"/>
          <w:sz w:val="24"/>
          <w:szCs w:val="24"/>
        </w:rPr>
        <w:t xml:space="preserve">, a finding that may trouble those who advocate use of legislative history to aid agencies in being “faithful delegates” of the legislature. </w:t>
      </w:r>
      <w:r w:rsidR="007E0531">
        <w:rPr>
          <w:rFonts w:ascii="Times New Roman" w:hAnsi="Times New Roman" w:cs="Times New Roman"/>
          <w:sz w:val="24"/>
          <w:szCs w:val="24"/>
        </w:rPr>
        <w:t>Many of these cases relied on other cases recounting of legislative history to inform statutory meaning</w:t>
      </w:r>
    </w:p>
    <w:p w14:paraId="75FDDB2E" w14:textId="66FA8559" w:rsidR="004534ED" w:rsidRDefault="001F24CC" w:rsidP="007E05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 findings regarding the source of legislative history raise even more questions. Only 15% of the citations to legislative history were to what is often hai</w:t>
      </w:r>
      <w:r w:rsidR="00C952AF">
        <w:rPr>
          <w:rFonts w:ascii="Times New Roman" w:hAnsi="Times New Roman" w:cs="Times New Roman"/>
          <w:sz w:val="24"/>
          <w:szCs w:val="24"/>
        </w:rPr>
        <w:t>led as the most authoritative sour</w:t>
      </w:r>
      <w:r w:rsidR="0007450B">
        <w:rPr>
          <w:rFonts w:ascii="Times New Roman" w:hAnsi="Times New Roman" w:cs="Times New Roman"/>
          <w:sz w:val="24"/>
          <w:szCs w:val="24"/>
        </w:rPr>
        <w:t>ce of legislative intent</w:t>
      </w:r>
      <w:r w:rsidR="007F4FE1">
        <w:rPr>
          <w:rFonts w:ascii="Times New Roman" w:hAnsi="Times New Roman" w:cs="Times New Roman"/>
          <w:sz w:val="24"/>
          <w:szCs w:val="24"/>
        </w:rPr>
        <w:t>—</w:t>
      </w:r>
      <w:r w:rsidR="00BC33E5">
        <w:rPr>
          <w:rFonts w:ascii="Times New Roman" w:hAnsi="Times New Roman" w:cs="Times New Roman"/>
          <w:sz w:val="24"/>
          <w:szCs w:val="24"/>
        </w:rPr>
        <w:t xml:space="preserve">Conference Committee Reports. </w:t>
      </w:r>
      <w:r>
        <w:rPr>
          <w:rFonts w:ascii="Times New Roman" w:hAnsi="Times New Roman" w:cs="Times New Roman"/>
          <w:sz w:val="24"/>
          <w:szCs w:val="24"/>
        </w:rPr>
        <w:t xml:space="preserve">More often, the Board cited to statements in the Congressional Record (29%) or to House or Senate Committee Reports </w:t>
      </w:r>
      <w:r w:rsidR="006F47AD">
        <w:rPr>
          <w:rFonts w:ascii="Times New Roman" w:hAnsi="Times New Roman" w:cs="Times New Roman"/>
          <w:sz w:val="24"/>
          <w:szCs w:val="24"/>
        </w:rPr>
        <w:t xml:space="preserve">(42%). </w:t>
      </w:r>
      <w:r w:rsidR="00213748">
        <w:rPr>
          <w:rFonts w:ascii="Times New Roman" w:hAnsi="Times New Roman" w:cs="Times New Roman"/>
          <w:sz w:val="24"/>
          <w:szCs w:val="24"/>
        </w:rPr>
        <w:t>In about 22% of legislativ</w:t>
      </w:r>
      <w:r w:rsidR="007F4FE1">
        <w:rPr>
          <w:rFonts w:ascii="Times New Roman" w:hAnsi="Times New Roman" w:cs="Times New Roman"/>
          <w:sz w:val="24"/>
          <w:szCs w:val="24"/>
        </w:rPr>
        <w:t>e history cases, the Board cited</w:t>
      </w:r>
      <w:r w:rsidR="00213748">
        <w:rPr>
          <w:rFonts w:ascii="Times New Roman" w:hAnsi="Times New Roman" w:cs="Times New Roman"/>
          <w:sz w:val="24"/>
          <w:szCs w:val="24"/>
        </w:rPr>
        <w:t xml:space="preserve"> to the amendment process or to the procedure that the statute undertook as being important in informing meaning. </w:t>
      </w:r>
      <w:r w:rsidR="0049190E">
        <w:rPr>
          <w:rFonts w:ascii="Times New Roman" w:hAnsi="Times New Roman" w:cs="Times New Roman"/>
          <w:sz w:val="24"/>
          <w:szCs w:val="24"/>
        </w:rPr>
        <w:t xml:space="preserve">Equally of concern, although the Board mostly cited to </w:t>
      </w:r>
      <w:r w:rsidR="006F47AD">
        <w:rPr>
          <w:rFonts w:ascii="Times New Roman" w:hAnsi="Times New Roman" w:cs="Times New Roman"/>
          <w:sz w:val="24"/>
          <w:szCs w:val="24"/>
        </w:rPr>
        <w:t>statements by the sponsors, floor manager or sponsor of the Taft-Hartley Act or its amendments, the Board occasionally</w:t>
      </w:r>
      <w:r w:rsidR="0049190E">
        <w:rPr>
          <w:rFonts w:ascii="Times New Roman" w:hAnsi="Times New Roman" w:cs="Times New Roman"/>
          <w:sz w:val="24"/>
          <w:szCs w:val="24"/>
        </w:rPr>
        <w:t xml:space="preserve"> also</w:t>
      </w:r>
      <w:r w:rsidR="006F47AD">
        <w:rPr>
          <w:rFonts w:ascii="Times New Roman" w:hAnsi="Times New Roman" w:cs="Times New Roman"/>
          <w:sz w:val="24"/>
          <w:szCs w:val="24"/>
        </w:rPr>
        <w:t xml:space="preserve"> referred to congressional debate about the issue, referencing colloquies in the Congressional Record debating between two Congressman debating different parts of the bill. In all, the use of legislative history was quite varied, and given that the legislative history of Taft-Hartley and its amendments is so vast, one can seriously question whether, if merely saying a statement on the House floor can qualify as legislative history to inform statutory meaning, whether the Board persuasively uses legislative history.</w:t>
      </w:r>
    </w:p>
    <w:p w14:paraId="7890BFB5" w14:textId="77777777" w:rsidR="005E768D" w:rsidRDefault="005E768D" w:rsidP="007E6998">
      <w:pPr>
        <w:spacing w:after="0" w:line="480" w:lineRule="auto"/>
        <w:rPr>
          <w:rFonts w:ascii="Times New Roman" w:hAnsi="Times New Roman" w:cs="Times New Roman"/>
          <w:b/>
          <w:sz w:val="24"/>
          <w:szCs w:val="24"/>
        </w:rPr>
      </w:pPr>
    </w:p>
    <w:p w14:paraId="157062EB" w14:textId="77777777" w:rsidR="005E768D" w:rsidRDefault="005E768D" w:rsidP="007E6998">
      <w:pPr>
        <w:spacing w:after="0" w:line="480" w:lineRule="auto"/>
        <w:rPr>
          <w:rFonts w:ascii="Times New Roman" w:hAnsi="Times New Roman" w:cs="Times New Roman"/>
          <w:b/>
          <w:sz w:val="24"/>
          <w:szCs w:val="24"/>
        </w:rPr>
      </w:pPr>
    </w:p>
    <w:p w14:paraId="581FF2AB" w14:textId="77777777" w:rsidR="005E768D" w:rsidRDefault="005E768D" w:rsidP="007E6998">
      <w:pPr>
        <w:spacing w:after="0" w:line="480" w:lineRule="auto"/>
        <w:rPr>
          <w:rFonts w:ascii="Times New Roman" w:hAnsi="Times New Roman" w:cs="Times New Roman"/>
          <w:b/>
          <w:sz w:val="24"/>
          <w:szCs w:val="24"/>
        </w:rPr>
      </w:pPr>
    </w:p>
    <w:p w14:paraId="26DD500F" w14:textId="50D6B664" w:rsidR="004534ED" w:rsidRPr="004534ED" w:rsidRDefault="007E6998" w:rsidP="007E699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7</w:t>
      </w:r>
    </w:p>
    <w:p w14:paraId="46349229" w14:textId="43AA616F" w:rsidR="00075E60" w:rsidRDefault="00075E60" w:rsidP="007E0531">
      <w:pPr>
        <w:spacing w:after="0" w:line="480" w:lineRule="auto"/>
        <w:rPr>
          <w:rFonts w:ascii="Times New Roman" w:hAnsi="Times New Roman" w:cs="Times New Roman"/>
          <w:sz w:val="24"/>
          <w:szCs w:val="24"/>
        </w:rPr>
      </w:pPr>
      <w:r w:rsidRPr="00B1234C">
        <w:rPr>
          <w:noProof/>
        </w:rPr>
        <w:drawing>
          <wp:inline distT="0" distB="0" distL="0" distR="0" wp14:anchorId="5F32947C" wp14:editId="32773104">
            <wp:extent cx="5118100" cy="3746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34ED283A" w14:textId="2F83ED7D" w:rsidR="00056D6E" w:rsidRDefault="008C07B3" w:rsidP="005764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Board generally invoked legislative</w:t>
      </w:r>
      <w:r w:rsidR="000B650D">
        <w:rPr>
          <w:rFonts w:ascii="Times New Roman" w:hAnsi="Times New Roman" w:cs="Times New Roman"/>
          <w:sz w:val="24"/>
          <w:szCs w:val="24"/>
        </w:rPr>
        <w:t xml:space="preserve"> history</w:t>
      </w:r>
      <w:r>
        <w:rPr>
          <w:rFonts w:ascii="Times New Roman" w:hAnsi="Times New Roman" w:cs="Times New Roman"/>
          <w:sz w:val="24"/>
          <w:szCs w:val="24"/>
        </w:rPr>
        <w:t xml:space="preserve"> to inform of the</w:t>
      </w:r>
      <w:r w:rsidR="0049190E">
        <w:rPr>
          <w:rFonts w:ascii="Times New Roman" w:hAnsi="Times New Roman" w:cs="Times New Roman"/>
          <w:sz w:val="24"/>
          <w:szCs w:val="24"/>
        </w:rPr>
        <w:t xml:space="preserve"> statute’s scope and purpose (63</w:t>
      </w:r>
      <w:r>
        <w:rPr>
          <w:rFonts w:ascii="Times New Roman" w:hAnsi="Times New Roman" w:cs="Times New Roman"/>
          <w:sz w:val="24"/>
          <w:szCs w:val="24"/>
        </w:rPr>
        <w:t xml:space="preserve">%), </w:t>
      </w:r>
      <w:r w:rsidR="00C952AF">
        <w:rPr>
          <w:rFonts w:ascii="Times New Roman" w:hAnsi="Times New Roman" w:cs="Times New Roman"/>
          <w:sz w:val="24"/>
          <w:szCs w:val="24"/>
        </w:rPr>
        <w:t xml:space="preserve">make broad references to general congressional </w:t>
      </w:r>
      <w:r w:rsidR="0049190E">
        <w:rPr>
          <w:rFonts w:ascii="Times New Roman" w:hAnsi="Times New Roman" w:cs="Times New Roman"/>
          <w:sz w:val="24"/>
          <w:szCs w:val="24"/>
        </w:rPr>
        <w:t>purpose or intent (22</w:t>
      </w:r>
      <w:r>
        <w:rPr>
          <w:rFonts w:ascii="Times New Roman" w:hAnsi="Times New Roman" w:cs="Times New Roman"/>
          <w:sz w:val="24"/>
          <w:szCs w:val="24"/>
        </w:rPr>
        <w:t>%) or to simply note that nothing in the legislative history foreclosed the majorit</w:t>
      </w:r>
      <w:r w:rsidR="0049190E">
        <w:rPr>
          <w:rFonts w:ascii="Times New Roman" w:hAnsi="Times New Roman" w:cs="Times New Roman"/>
          <w:sz w:val="24"/>
          <w:szCs w:val="24"/>
        </w:rPr>
        <w:t>y’s given reading of the text (15</w:t>
      </w:r>
      <w:r w:rsidR="00C952AF">
        <w:rPr>
          <w:rFonts w:ascii="Times New Roman" w:hAnsi="Times New Roman" w:cs="Times New Roman"/>
          <w:sz w:val="24"/>
          <w:szCs w:val="24"/>
        </w:rPr>
        <w:t>%).</w:t>
      </w:r>
      <w:r w:rsidR="00415716">
        <w:rPr>
          <w:rStyle w:val="FootnoteReference"/>
          <w:rFonts w:ascii="Times New Roman" w:hAnsi="Times New Roman" w:cs="Times New Roman"/>
          <w:sz w:val="24"/>
          <w:szCs w:val="24"/>
        </w:rPr>
        <w:footnoteReference w:id="190"/>
      </w:r>
      <w:r w:rsidR="00C952AF">
        <w:rPr>
          <w:rFonts w:ascii="Times New Roman" w:hAnsi="Times New Roman" w:cs="Times New Roman"/>
          <w:sz w:val="24"/>
          <w:szCs w:val="24"/>
        </w:rPr>
        <w:t xml:space="preserve"> </w:t>
      </w:r>
      <w:r>
        <w:rPr>
          <w:rFonts w:ascii="Times New Roman" w:hAnsi="Times New Roman" w:cs="Times New Roman"/>
          <w:sz w:val="24"/>
          <w:szCs w:val="24"/>
        </w:rPr>
        <w:t>The cases themsel</w:t>
      </w:r>
      <w:r w:rsidR="00145BC4">
        <w:rPr>
          <w:rFonts w:ascii="Times New Roman" w:hAnsi="Times New Roman" w:cs="Times New Roman"/>
          <w:sz w:val="24"/>
          <w:szCs w:val="24"/>
        </w:rPr>
        <w:t xml:space="preserve">ves could be divided into four </w:t>
      </w:r>
      <w:r>
        <w:rPr>
          <w:rFonts w:ascii="Times New Roman" w:hAnsi="Times New Roman" w:cs="Times New Roman"/>
          <w:sz w:val="24"/>
          <w:szCs w:val="24"/>
        </w:rPr>
        <w:t xml:space="preserve">different legislative history typologies, each of which will be discussed below: 1) </w:t>
      </w:r>
      <w:r w:rsidR="0007450B">
        <w:rPr>
          <w:rFonts w:ascii="Times New Roman" w:hAnsi="Times New Roman" w:cs="Times New Roman"/>
          <w:sz w:val="24"/>
          <w:szCs w:val="24"/>
        </w:rPr>
        <w:t>legislative h</w:t>
      </w:r>
      <w:r w:rsidR="00CE4446">
        <w:rPr>
          <w:rFonts w:ascii="Times New Roman" w:hAnsi="Times New Roman" w:cs="Times New Roman"/>
          <w:sz w:val="24"/>
          <w:szCs w:val="24"/>
        </w:rPr>
        <w:t>istory as</w:t>
      </w:r>
      <w:r w:rsidR="0007450B">
        <w:rPr>
          <w:rFonts w:ascii="Times New Roman" w:hAnsi="Times New Roman" w:cs="Times New Roman"/>
          <w:sz w:val="24"/>
          <w:szCs w:val="24"/>
        </w:rPr>
        <w:t xml:space="preserve"> limiting the text</w:t>
      </w:r>
      <w:r w:rsidR="00CE4446">
        <w:rPr>
          <w:rFonts w:ascii="Times New Roman" w:hAnsi="Times New Roman" w:cs="Times New Roman"/>
          <w:sz w:val="24"/>
          <w:szCs w:val="24"/>
        </w:rPr>
        <w:t>;</w:t>
      </w:r>
      <w:r w:rsidR="0007450B">
        <w:rPr>
          <w:rFonts w:ascii="Times New Roman" w:hAnsi="Times New Roman" w:cs="Times New Roman"/>
          <w:sz w:val="24"/>
          <w:szCs w:val="24"/>
        </w:rPr>
        <w:t xml:space="preserve"> 2) legislative h</w:t>
      </w:r>
      <w:r>
        <w:rPr>
          <w:rFonts w:ascii="Times New Roman" w:hAnsi="Times New Roman" w:cs="Times New Roman"/>
          <w:sz w:val="24"/>
          <w:szCs w:val="24"/>
        </w:rPr>
        <w:t xml:space="preserve">istory as a </w:t>
      </w:r>
      <w:r w:rsidR="0007450B">
        <w:rPr>
          <w:rFonts w:ascii="Times New Roman" w:hAnsi="Times New Roman" w:cs="Times New Roman"/>
          <w:sz w:val="24"/>
          <w:szCs w:val="24"/>
        </w:rPr>
        <w:t>“plus f</w:t>
      </w:r>
      <w:r>
        <w:rPr>
          <w:rFonts w:ascii="Times New Roman" w:hAnsi="Times New Roman" w:cs="Times New Roman"/>
          <w:sz w:val="24"/>
          <w:szCs w:val="24"/>
        </w:rPr>
        <w:t>actor</w:t>
      </w:r>
      <w:r w:rsidR="0007450B">
        <w:rPr>
          <w:rFonts w:ascii="Times New Roman" w:hAnsi="Times New Roman" w:cs="Times New Roman"/>
          <w:sz w:val="24"/>
          <w:szCs w:val="24"/>
        </w:rPr>
        <w:t>”</w:t>
      </w:r>
      <w:r>
        <w:rPr>
          <w:rFonts w:ascii="Times New Roman" w:hAnsi="Times New Roman" w:cs="Times New Roman"/>
          <w:sz w:val="24"/>
          <w:szCs w:val="24"/>
        </w:rPr>
        <w:t xml:space="preserve"> in informing the statute’s scope a</w:t>
      </w:r>
      <w:r w:rsidR="00DF6B71">
        <w:rPr>
          <w:rFonts w:ascii="Times New Roman" w:hAnsi="Times New Roman" w:cs="Times New Roman"/>
          <w:sz w:val="24"/>
          <w:szCs w:val="24"/>
        </w:rPr>
        <w:t>nd purpose;</w:t>
      </w:r>
      <w:r w:rsidR="0007450B">
        <w:rPr>
          <w:rFonts w:ascii="Times New Roman" w:hAnsi="Times New Roman" w:cs="Times New Roman"/>
          <w:sz w:val="24"/>
          <w:szCs w:val="24"/>
        </w:rPr>
        <w:t xml:space="preserve"> 3) legislative h</w:t>
      </w:r>
      <w:r>
        <w:rPr>
          <w:rFonts w:ascii="Times New Roman" w:hAnsi="Times New Roman" w:cs="Times New Roman"/>
          <w:sz w:val="24"/>
          <w:szCs w:val="24"/>
        </w:rPr>
        <w:t>istory as a</w:t>
      </w:r>
      <w:r w:rsidR="0007450B">
        <w:rPr>
          <w:rFonts w:ascii="Times New Roman" w:hAnsi="Times New Roman" w:cs="Times New Roman"/>
          <w:sz w:val="24"/>
          <w:szCs w:val="24"/>
        </w:rPr>
        <w:t xml:space="preserve"> not forbidding the Board’s policy-based approach</w:t>
      </w:r>
      <w:r w:rsidR="00345589">
        <w:rPr>
          <w:rFonts w:ascii="Times New Roman" w:hAnsi="Times New Roman" w:cs="Times New Roman"/>
          <w:sz w:val="24"/>
          <w:szCs w:val="24"/>
        </w:rPr>
        <w:t xml:space="preserve">; and </w:t>
      </w:r>
      <w:r w:rsidR="00145BC4" w:rsidRPr="00145BC4">
        <w:t>4</w:t>
      </w:r>
      <w:r w:rsidR="00145BC4" w:rsidRPr="00056D6E">
        <w:rPr>
          <w:rFonts w:ascii="Times New Roman" w:hAnsi="Times New Roman" w:cs="Times New Roman"/>
          <w:sz w:val="24"/>
          <w:szCs w:val="24"/>
        </w:rPr>
        <w:t xml:space="preserve">) </w:t>
      </w:r>
      <w:r w:rsidR="0007450B">
        <w:rPr>
          <w:rFonts w:ascii="Times New Roman" w:hAnsi="Times New Roman" w:cs="Times New Roman"/>
          <w:sz w:val="24"/>
          <w:szCs w:val="24"/>
        </w:rPr>
        <w:t>legislative history as i</w:t>
      </w:r>
      <w:r w:rsidR="00345589" w:rsidRPr="00056D6E">
        <w:rPr>
          <w:rFonts w:ascii="Times New Roman" w:hAnsi="Times New Roman" w:cs="Times New Roman"/>
          <w:sz w:val="24"/>
          <w:szCs w:val="24"/>
        </w:rPr>
        <w:t>rrelevant.</w:t>
      </w:r>
    </w:p>
    <w:p w14:paraId="077D50BC" w14:textId="143A71F2" w:rsidR="00F27703" w:rsidRPr="0068765B" w:rsidRDefault="007E0531" w:rsidP="0068765B">
      <w:pPr>
        <w:pStyle w:val="ListParagraph"/>
        <w:numPr>
          <w:ilvl w:val="0"/>
          <w:numId w:val="16"/>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Legislative History as Limiting Text</w:t>
      </w:r>
    </w:p>
    <w:p w14:paraId="306CD247" w14:textId="2AA559CA" w:rsidR="00F27703" w:rsidRDefault="00F27703" w:rsidP="003455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small subset of cases, the Board relied on leg</w:t>
      </w:r>
      <w:r w:rsidR="0068765B">
        <w:rPr>
          <w:rFonts w:ascii="Times New Roman" w:hAnsi="Times New Roman" w:cs="Times New Roman"/>
          <w:sz w:val="24"/>
          <w:szCs w:val="24"/>
        </w:rPr>
        <w:t xml:space="preserve">islative history as the primary </w:t>
      </w:r>
      <w:r>
        <w:rPr>
          <w:rFonts w:ascii="Times New Roman" w:hAnsi="Times New Roman" w:cs="Times New Roman"/>
          <w:sz w:val="24"/>
          <w:szCs w:val="24"/>
        </w:rPr>
        <w:t>interpretive met</w:t>
      </w:r>
      <w:r w:rsidR="007F4FE1">
        <w:rPr>
          <w:rFonts w:ascii="Times New Roman" w:hAnsi="Times New Roman" w:cs="Times New Roman"/>
          <w:sz w:val="24"/>
          <w:szCs w:val="24"/>
        </w:rPr>
        <w:t xml:space="preserve">hod in informing case meaning. </w:t>
      </w:r>
      <w:r>
        <w:rPr>
          <w:rFonts w:ascii="Times New Roman" w:hAnsi="Times New Roman" w:cs="Times New Roman"/>
          <w:sz w:val="24"/>
          <w:szCs w:val="24"/>
        </w:rPr>
        <w:t xml:space="preserve">In just 6% of the cases, the Board cited to and extensively documented legislative history to set forth the </w:t>
      </w:r>
      <w:r w:rsidR="00824049">
        <w:rPr>
          <w:rFonts w:ascii="Times New Roman" w:hAnsi="Times New Roman" w:cs="Times New Roman"/>
          <w:sz w:val="24"/>
          <w:szCs w:val="24"/>
        </w:rPr>
        <w:t xml:space="preserve">interpretation of the statute. </w:t>
      </w:r>
      <w:r>
        <w:rPr>
          <w:rFonts w:ascii="Times New Roman" w:hAnsi="Times New Roman" w:cs="Times New Roman"/>
          <w:sz w:val="24"/>
          <w:szCs w:val="24"/>
        </w:rPr>
        <w:t xml:space="preserve">In most </w:t>
      </w:r>
      <w:r w:rsidR="006C6B93">
        <w:rPr>
          <w:rFonts w:ascii="Times New Roman" w:hAnsi="Times New Roman" w:cs="Times New Roman"/>
          <w:sz w:val="24"/>
          <w:szCs w:val="24"/>
        </w:rPr>
        <w:t xml:space="preserve">of these </w:t>
      </w:r>
      <w:r>
        <w:rPr>
          <w:rFonts w:ascii="Times New Roman" w:hAnsi="Times New Roman" w:cs="Times New Roman"/>
          <w:sz w:val="24"/>
          <w:szCs w:val="24"/>
        </w:rPr>
        <w:t xml:space="preserve">cases, the Board invoked legislative history to narrowly interpret the statute, using examples or statements from the legislative history to inform the scope of the statutory provision. </w:t>
      </w:r>
      <w:r w:rsidR="00345589">
        <w:rPr>
          <w:rFonts w:ascii="Times New Roman" w:hAnsi="Times New Roman" w:cs="Times New Roman"/>
          <w:sz w:val="24"/>
          <w:szCs w:val="24"/>
        </w:rPr>
        <w:t xml:space="preserve">For instance, in </w:t>
      </w:r>
      <w:r w:rsidR="007C6071" w:rsidRPr="006A5273">
        <w:rPr>
          <w:rFonts w:ascii="Times New Roman" w:hAnsi="Times New Roman" w:cs="Times New Roman"/>
          <w:i/>
          <w:sz w:val="24"/>
          <w:szCs w:val="24"/>
        </w:rPr>
        <w:t>Northeast Ohio District Council of the Untied Brotherhood of Carpenters and Joiners of America et al</w:t>
      </w:r>
      <w:r w:rsidR="007C6071">
        <w:rPr>
          <w:rFonts w:ascii="Times New Roman" w:hAnsi="Times New Roman" w:cs="Times New Roman"/>
          <w:sz w:val="24"/>
          <w:szCs w:val="24"/>
        </w:rPr>
        <w:t>.</w:t>
      </w:r>
      <w:r w:rsidR="007C6071">
        <w:rPr>
          <w:rStyle w:val="FootnoteReference"/>
          <w:rFonts w:ascii="Times New Roman" w:hAnsi="Times New Roman" w:cs="Times New Roman"/>
          <w:sz w:val="24"/>
          <w:szCs w:val="24"/>
        </w:rPr>
        <w:footnoteReference w:id="191"/>
      </w:r>
      <w:r>
        <w:rPr>
          <w:rFonts w:ascii="Times New Roman" w:hAnsi="Times New Roman" w:cs="Times New Roman"/>
          <w:sz w:val="24"/>
          <w:szCs w:val="24"/>
        </w:rPr>
        <w:t>, the Board invoked legislative history to interpret the meaning of section 8(e) of the statute.</w:t>
      </w:r>
      <w:r w:rsidR="007C6071">
        <w:rPr>
          <w:rStyle w:val="FootnoteReference"/>
          <w:rFonts w:ascii="Times New Roman" w:hAnsi="Times New Roman" w:cs="Times New Roman"/>
          <w:sz w:val="24"/>
          <w:szCs w:val="24"/>
        </w:rPr>
        <w:footnoteReference w:id="192"/>
      </w:r>
      <w:r>
        <w:rPr>
          <w:rFonts w:ascii="Times New Roman" w:hAnsi="Times New Roman" w:cs="Times New Roman"/>
          <w:sz w:val="24"/>
          <w:szCs w:val="24"/>
        </w:rPr>
        <w:t xml:space="preserve"> </w:t>
      </w:r>
      <w:r w:rsidR="007C6071">
        <w:rPr>
          <w:rFonts w:ascii="Times New Roman" w:hAnsi="Times New Roman" w:cs="Times New Roman"/>
          <w:sz w:val="24"/>
          <w:szCs w:val="24"/>
        </w:rPr>
        <w:t>The union alleged another union violated section 8(b)(3) of the NLRA by insisting to impasse on an anti-dual shop clause in the parties’ collective bargaining agreement.</w:t>
      </w:r>
      <w:r w:rsidR="007C6071">
        <w:rPr>
          <w:rStyle w:val="FootnoteReference"/>
          <w:rFonts w:ascii="Times New Roman" w:hAnsi="Times New Roman" w:cs="Times New Roman"/>
          <w:sz w:val="24"/>
          <w:szCs w:val="24"/>
        </w:rPr>
        <w:footnoteReference w:id="193"/>
      </w:r>
      <w:r w:rsidR="007C6071">
        <w:rPr>
          <w:rFonts w:ascii="Times New Roman" w:hAnsi="Times New Roman" w:cs="Times New Roman"/>
          <w:sz w:val="24"/>
          <w:szCs w:val="24"/>
        </w:rPr>
        <w:t xml:space="preserve"> In deciding the case, the Board looked at the plain text but </w:t>
      </w:r>
      <w:r w:rsidR="00FE24C6">
        <w:rPr>
          <w:rFonts w:ascii="Times New Roman" w:hAnsi="Times New Roman" w:cs="Times New Roman"/>
          <w:sz w:val="24"/>
          <w:szCs w:val="24"/>
        </w:rPr>
        <w:t>relied primarily</w:t>
      </w:r>
      <w:r w:rsidR="007C6071">
        <w:rPr>
          <w:rFonts w:ascii="Times New Roman" w:hAnsi="Times New Roman" w:cs="Times New Roman"/>
          <w:sz w:val="24"/>
          <w:szCs w:val="24"/>
        </w:rPr>
        <w:t xml:space="preserve"> on the legislative history to inform the meaning of the statute.</w:t>
      </w:r>
      <w:r w:rsidR="007C6071">
        <w:rPr>
          <w:rStyle w:val="FootnoteReference"/>
          <w:rFonts w:ascii="Times New Roman" w:hAnsi="Times New Roman" w:cs="Times New Roman"/>
          <w:sz w:val="24"/>
          <w:szCs w:val="24"/>
        </w:rPr>
        <w:footnoteReference w:id="194"/>
      </w:r>
      <w:r w:rsidR="007C6071">
        <w:rPr>
          <w:rFonts w:ascii="Times New Roman" w:hAnsi="Times New Roman" w:cs="Times New Roman"/>
          <w:sz w:val="24"/>
          <w:szCs w:val="24"/>
        </w:rPr>
        <w:t xml:space="preserve"> </w:t>
      </w:r>
      <w:r>
        <w:rPr>
          <w:rFonts w:ascii="Times New Roman" w:hAnsi="Times New Roman" w:cs="Times New Roman"/>
          <w:sz w:val="24"/>
          <w:szCs w:val="24"/>
        </w:rPr>
        <w:t>Due to the somewhat temporary and haphazard nature of con</w:t>
      </w:r>
      <w:r w:rsidR="007F4FE1">
        <w:rPr>
          <w:rFonts w:ascii="Times New Roman" w:hAnsi="Times New Roman" w:cs="Times New Roman"/>
          <w:sz w:val="24"/>
          <w:szCs w:val="24"/>
        </w:rPr>
        <w:t>s</w:t>
      </w:r>
      <w:r>
        <w:rPr>
          <w:rFonts w:ascii="Times New Roman" w:hAnsi="Times New Roman" w:cs="Times New Roman"/>
          <w:sz w:val="24"/>
          <w:szCs w:val="24"/>
        </w:rPr>
        <w:t xml:space="preserve">truction work, Congress </w:t>
      </w:r>
      <w:r w:rsidR="00345589">
        <w:rPr>
          <w:rFonts w:ascii="Times New Roman" w:hAnsi="Times New Roman" w:cs="Times New Roman"/>
          <w:sz w:val="24"/>
          <w:szCs w:val="24"/>
        </w:rPr>
        <w:t xml:space="preserve">carved </w:t>
      </w:r>
      <w:r w:rsidR="007C6071">
        <w:rPr>
          <w:rFonts w:ascii="Times New Roman" w:hAnsi="Times New Roman" w:cs="Times New Roman"/>
          <w:sz w:val="24"/>
          <w:szCs w:val="24"/>
        </w:rPr>
        <w:t>out an exception to the law regarding the construction industry by giving them more leeway to engage in secondary activity</w:t>
      </w:r>
      <w:r>
        <w:rPr>
          <w:rFonts w:ascii="Times New Roman" w:hAnsi="Times New Roman" w:cs="Times New Roman"/>
          <w:sz w:val="24"/>
          <w:szCs w:val="24"/>
        </w:rPr>
        <w:t>.</w:t>
      </w:r>
      <w:r w:rsidR="007C6071">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In interpreting this exception, the so-called “construction proviso,” the Board contended that it should be narrowly construed so as to only include within its ambit construction practices as of the year of its enactment</w:t>
      </w:r>
      <w:r w:rsidR="007F4FE1">
        <w:rPr>
          <w:rFonts w:ascii="Times New Roman" w:hAnsi="Times New Roman" w:cs="Times New Roman"/>
          <w:sz w:val="24"/>
          <w:szCs w:val="24"/>
        </w:rPr>
        <w:t xml:space="preserve"> —</w:t>
      </w:r>
      <w:r>
        <w:rPr>
          <w:rFonts w:ascii="Times New Roman" w:hAnsi="Times New Roman" w:cs="Times New Roman"/>
          <w:sz w:val="24"/>
          <w:szCs w:val="24"/>
        </w:rPr>
        <w:t xml:space="preserve"> 1959.</w:t>
      </w:r>
      <w:r w:rsidR="007C6071">
        <w:rPr>
          <w:rStyle w:val="FootnoteReference"/>
          <w:rFonts w:ascii="Times New Roman" w:hAnsi="Times New Roman" w:cs="Times New Roman"/>
          <w:sz w:val="24"/>
          <w:szCs w:val="24"/>
        </w:rPr>
        <w:footnoteReference w:id="196"/>
      </w:r>
      <w:r>
        <w:rPr>
          <w:rFonts w:ascii="Times New Roman" w:hAnsi="Times New Roman" w:cs="Times New Roman"/>
          <w:sz w:val="24"/>
          <w:szCs w:val="24"/>
        </w:rPr>
        <w:t xml:space="preserve"> </w:t>
      </w:r>
      <w:r w:rsidR="007C6071">
        <w:rPr>
          <w:rFonts w:ascii="Times New Roman" w:hAnsi="Times New Roman" w:cs="Times New Roman"/>
          <w:sz w:val="24"/>
          <w:szCs w:val="24"/>
        </w:rPr>
        <w:t>The Board reasoned “[a] careful examination of the legislative history of the proviso reveals little affirmative evidence that Congress would have chosen to protect the anti-dual-shop clause if such clause existed in 1959.”</w:t>
      </w:r>
      <w:r w:rsidR="007C6071">
        <w:rPr>
          <w:rStyle w:val="FootnoteReference"/>
          <w:rFonts w:ascii="Times New Roman" w:hAnsi="Times New Roman" w:cs="Times New Roman"/>
          <w:sz w:val="24"/>
          <w:szCs w:val="24"/>
        </w:rPr>
        <w:footnoteReference w:id="197"/>
      </w:r>
      <w:r w:rsidR="007C6071">
        <w:rPr>
          <w:rFonts w:ascii="Times New Roman" w:hAnsi="Times New Roman" w:cs="Times New Roman"/>
          <w:sz w:val="24"/>
          <w:szCs w:val="24"/>
        </w:rPr>
        <w:t xml:space="preserve"> In so doing, the </w:t>
      </w:r>
      <w:r w:rsidR="007C6071">
        <w:rPr>
          <w:rFonts w:ascii="Times New Roman" w:hAnsi="Times New Roman" w:cs="Times New Roman"/>
          <w:sz w:val="24"/>
          <w:szCs w:val="24"/>
        </w:rPr>
        <w:lastRenderedPageBreak/>
        <w:t>Board picked and chose from snippets of legislative history, citing some parts and stating that contrary parts were simply irrelevant.</w:t>
      </w:r>
      <w:r w:rsidR="007C6071">
        <w:rPr>
          <w:rStyle w:val="FootnoteReference"/>
          <w:rFonts w:ascii="Times New Roman" w:hAnsi="Times New Roman" w:cs="Times New Roman"/>
          <w:sz w:val="24"/>
          <w:szCs w:val="24"/>
        </w:rPr>
        <w:footnoteReference w:id="198"/>
      </w:r>
      <w:r w:rsidR="007C6071">
        <w:rPr>
          <w:rFonts w:ascii="Times New Roman" w:hAnsi="Times New Roman" w:cs="Times New Roman"/>
          <w:sz w:val="24"/>
          <w:szCs w:val="24"/>
        </w:rPr>
        <w:t xml:space="preserve"> </w:t>
      </w:r>
      <w:r>
        <w:rPr>
          <w:rFonts w:ascii="Times New Roman" w:hAnsi="Times New Roman" w:cs="Times New Roman"/>
          <w:sz w:val="24"/>
          <w:szCs w:val="24"/>
        </w:rPr>
        <w:t xml:space="preserve">Relying on that narrow </w:t>
      </w:r>
      <w:r w:rsidR="00416869">
        <w:rPr>
          <w:rFonts w:ascii="Times New Roman" w:hAnsi="Times New Roman" w:cs="Times New Roman"/>
          <w:sz w:val="24"/>
          <w:szCs w:val="24"/>
        </w:rPr>
        <w:t>slice of legislative history</w:t>
      </w:r>
      <w:r>
        <w:rPr>
          <w:rFonts w:ascii="Times New Roman" w:hAnsi="Times New Roman" w:cs="Times New Roman"/>
          <w:sz w:val="24"/>
          <w:szCs w:val="24"/>
        </w:rPr>
        <w:t>, the Board found the union to be in violation of law</w:t>
      </w:r>
      <w:r w:rsidR="002C2879">
        <w:rPr>
          <w:rFonts w:ascii="Times New Roman" w:hAnsi="Times New Roman" w:cs="Times New Roman"/>
          <w:sz w:val="24"/>
          <w:szCs w:val="24"/>
        </w:rPr>
        <w:t>, and set forth the precedent that in interpreting section 8(e), the Board shou</w:t>
      </w:r>
      <w:r w:rsidR="00FE24C6">
        <w:rPr>
          <w:rFonts w:ascii="Times New Roman" w:hAnsi="Times New Roman" w:cs="Times New Roman"/>
          <w:sz w:val="24"/>
          <w:szCs w:val="24"/>
        </w:rPr>
        <w:t>ld be guided by Congress’ intent</w:t>
      </w:r>
      <w:r w:rsidR="005764D7">
        <w:rPr>
          <w:rFonts w:ascii="Times New Roman" w:hAnsi="Times New Roman" w:cs="Times New Roman"/>
          <w:sz w:val="24"/>
          <w:szCs w:val="24"/>
        </w:rPr>
        <w:t xml:space="preserve"> set forth in the legislative history </w:t>
      </w:r>
      <w:r w:rsidR="002C2879">
        <w:rPr>
          <w:rFonts w:ascii="Times New Roman" w:hAnsi="Times New Roman" w:cs="Times New Roman"/>
          <w:sz w:val="24"/>
          <w:szCs w:val="24"/>
        </w:rPr>
        <w:t>to “preserve the status quo and the pattern of collective bargaining in the construction industry at the time the legislation was passed,” that is, in 1959</w:t>
      </w:r>
      <w:r>
        <w:rPr>
          <w:rFonts w:ascii="Times New Roman" w:hAnsi="Times New Roman" w:cs="Times New Roman"/>
          <w:sz w:val="24"/>
          <w:szCs w:val="24"/>
        </w:rPr>
        <w:t>.</w:t>
      </w:r>
      <w:r w:rsidR="002C2879">
        <w:rPr>
          <w:rStyle w:val="FootnoteReference"/>
          <w:rFonts w:ascii="Times New Roman" w:hAnsi="Times New Roman" w:cs="Times New Roman"/>
          <w:sz w:val="24"/>
          <w:szCs w:val="24"/>
        </w:rPr>
        <w:footnoteReference w:id="199"/>
      </w:r>
      <w:r>
        <w:rPr>
          <w:rFonts w:ascii="Times New Roman" w:hAnsi="Times New Roman" w:cs="Times New Roman"/>
          <w:sz w:val="24"/>
          <w:szCs w:val="24"/>
        </w:rPr>
        <w:t xml:space="preserve"> </w:t>
      </w:r>
      <w:r w:rsidR="00345589">
        <w:rPr>
          <w:rFonts w:ascii="Times New Roman" w:hAnsi="Times New Roman" w:cs="Times New Roman"/>
          <w:sz w:val="24"/>
          <w:szCs w:val="24"/>
        </w:rPr>
        <w:t xml:space="preserve">Of </w:t>
      </w:r>
      <w:r w:rsidR="003E6BAB">
        <w:rPr>
          <w:rFonts w:ascii="Times New Roman" w:hAnsi="Times New Roman" w:cs="Times New Roman"/>
          <w:sz w:val="24"/>
          <w:szCs w:val="24"/>
        </w:rPr>
        <w:t>note is the fact that only Republican-dominated Boards used legislative history as a limiter to narrowly foreclose relief to the affected party.</w:t>
      </w:r>
    </w:p>
    <w:p w14:paraId="1E307067" w14:textId="7D4976DD" w:rsidR="006C6B93" w:rsidRPr="0068765B" w:rsidRDefault="006C6B93" w:rsidP="0068765B">
      <w:pPr>
        <w:pStyle w:val="ListParagraph"/>
        <w:numPr>
          <w:ilvl w:val="0"/>
          <w:numId w:val="16"/>
        </w:numPr>
        <w:spacing w:after="0" w:line="480" w:lineRule="auto"/>
        <w:rPr>
          <w:rFonts w:ascii="Times New Roman" w:hAnsi="Times New Roman" w:cs="Times New Roman"/>
          <w:b/>
          <w:sz w:val="24"/>
          <w:szCs w:val="24"/>
        </w:rPr>
      </w:pPr>
      <w:r w:rsidRPr="0068765B">
        <w:rPr>
          <w:rFonts w:ascii="Times New Roman" w:hAnsi="Times New Roman" w:cs="Times New Roman"/>
          <w:b/>
          <w:sz w:val="24"/>
          <w:szCs w:val="24"/>
        </w:rPr>
        <w:t xml:space="preserve">Legislative History as </w:t>
      </w:r>
      <w:r w:rsidR="0007450B">
        <w:rPr>
          <w:rFonts w:ascii="Times New Roman" w:hAnsi="Times New Roman" w:cs="Times New Roman"/>
          <w:b/>
          <w:sz w:val="24"/>
          <w:szCs w:val="24"/>
        </w:rPr>
        <w:t>“</w:t>
      </w:r>
      <w:r w:rsidRPr="0068765B">
        <w:rPr>
          <w:rFonts w:ascii="Times New Roman" w:hAnsi="Times New Roman" w:cs="Times New Roman"/>
          <w:b/>
          <w:sz w:val="24"/>
          <w:szCs w:val="24"/>
        </w:rPr>
        <w:t>Plus</w:t>
      </w:r>
      <w:r w:rsidR="0007450B">
        <w:rPr>
          <w:rFonts w:ascii="Times New Roman" w:hAnsi="Times New Roman" w:cs="Times New Roman"/>
          <w:b/>
          <w:sz w:val="24"/>
          <w:szCs w:val="24"/>
        </w:rPr>
        <w:t>”</w:t>
      </w:r>
      <w:r w:rsidRPr="0068765B">
        <w:rPr>
          <w:rFonts w:ascii="Times New Roman" w:hAnsi="Times New Roman" w:cs="Times New Roman"/>
          <w:b/>
          <w:sz w:val="24"/>
          <w:szCs w:val="24"/>
        </w:rPr>
        <w:t xml:space="preserve"> Factor</w:t>
      </w:r>
    </w:p>
    <w:p w14:paraId="655F9E8F" w14:textId="33A5499D" w:rsidR="006C6B93" w:rsidRDefault="006C6B93" w:rsidP="006C6B93">
      <w:pPr>
        <w:spacing w:after="0" w:line="480" w:lineRule="auto"/>
        <w:rPr>
          <w:rFonts w:ascii="Times New Roman" w:hAnsi="Times New Roman" w:cs="Times New Roman"/>
          <w:sz w:val="24"/>
          <w:szCs w:val="24"/>
        </w:rPr>
      </w:pPr>
      <w:r>
        <w:rPr>
          <w:rFonts w:ascii="Times New Roman" w:hAnsi="Times New Roman" w:cs="Times New Roman"/>
          <w:sz w:val="24"/>
          <w:szCs w:val="24"/>
        </w:rPr>
        <w:tab/>
        <w:t>In the vast majority of cases in which the Board relies on legislative history, the Board uses it as a “plus” factor to inform statutory scope and purpose</w:t>
      </w:r>
      <w:r w:rsidR="007F4FE1">
        <w:rPr>
          <w:rFonts w:ascii="Times New Roman" w:hAnsi="Times New Roman" w:cs="Times New Roman"/>
          <w:sz w:val="24"/>
          <w:szCs w:val="24"/>
        </w:rPr>
        <w:t xml:space="preserve"> beyond what the Board’s text and/or policy-based analysis dictates</w:t>
      </w:r>
      <w:r>
        <w:rPr>
          <w:rFonts w:ascii="Times New Roman" w:hAnsi="Times New Roman" w:cs="Times New Roman"/>
          <w:sz w:val="24"/>
          <w:szCs w:val="24"/>
        </w:rPr>
        <w:t xml:space="preserve">. In about a quarter of all cases in the database, legislative history served as a major cornerstone of the analysis, and in particular in about 11% of all cases, the Board relied on legislative history almost equally to the text or policy in inferring meaning. Sometimes, the Board </w:t>
      </w:r>
      <w:r w:rsidR="00CE4446">
        <w:rPr>
          <w:rFonts w:ascii="Times New Roman" w:hAnsi="Times New Roman" w:cs="Times New Roman"/>
          <w:sz w:val="24"/>
          <w:szCs w:val="24"/>
        </w:rPr>
        <w:t>found</w:t>
      </w:r>
      <w:r>
        <w:rPr>
          <w:rFonts w:ascii="Times New Roman" w:hAnsi="Times New Roman" w:cs="Times New Roman"/>
          <w:sz w:val="24"/>
          <w:szCs w:val="24"/>
        </w:rPr>
        <w:t xml:space="preserve"> that legislative history made clear ambiguous text while in other cases, the Board relied on legislative history as a “plus” factor in confirming what the Board interpretation based on the text’s clear import from the language or surrounding words themselves.</w:t>
      </w:r>
    </w:p>
    <w:p w14:paraId="5BCE2650" w14:textId="560AEE8B" w:rsidR="004B4A87" w:rsidRDefault="00BA0214" w:rsidP="00DB6A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instance, in the </w:t>
      </w:r>
      <w:r w:rsidRPr="00BA0214">
        <w:rPr>
          <w:rFonts w:ascii="Times New Roman" w:hAnsi="Times New Roman" w:cs="Times New Roman"/>
          <w:i/>
          <w:sz w:val="24"/>
          <w:szCs w:val="24"/>
        </w:rPr>
        <w:t>Lincoln Lutheran</w:t>
      </w:r>
      <w:r>
        <w:rPr>
          <w:rFonts w:ascii="Times New Roman" w:hAnsi="Times New Roman" w:cs="Times New Roman"/>
          <w:sz w:val="24"/>
          <w:szCs w:val="24"/>
        </w:rPr>
        <w:t xml:space="preserve"> case discussed above concerning whether dues checkoff can survive expiration of the collective bargaining agreement, the Board not only relied </w:t>
      </w:r>
      <w:r>
        <w:rPr>
          <w:rFonts w:ascii="Times New Roman" w:hAnsi="Times New Roman" w:cs="Times New Roman"/>
          <w:sz w:val="24"/>
          <w:szCs w:val="24"/>
        </w:rPr>
        <w:lastRenderedPageBreak/>
        <w:t>on the plain text and language/textual canons to inform meaning; rather the Board cited the direct statement of Senator Robert Taft, chairman of the Senate Labor Committee, where he expressly stated during debate on the Taft-Hartley amendments that the employer’s “obligation may continue indefinitely until revoked.”</w:t>
      </w:r>
      <w:r>
        <w:rPr>
          <w:rStyle w:val="FootnoteReference"/>
          <w:rFonts w:ascii="Times New Roman" w:hAnsi="Times New Roman" w:cs="Times New Roman"/>
          <w:sz w:val="24"/>
          <w:szCs w:val="24"/>
        </w:rPr>
        <w:footnoteReference w:id="200"/>
      </w:r>
      <w:r w:rsidR="00FE24C6">
        <w:rPr>
          <w:rFonts w:ascii="Times New Roman" w:hAnsi="Times New Roman" w:cs="Times New Roman"/>
          <w:sz w:val="24"/>
          <w:szCs w:val="24"/>
        </w:rPr>
        <w:t xml:space="preserve"> Thus, while legislative history did not form the cornerstone of the Board’s analysis, the Board cited and relied on it as further evidence that its interpretation of the Act’s scope was reasonable. </w:t>
      </w:r>
    </w:p>
    <w:p w14:paraId="549802F8" w14:textId="11CEE892" w:rsidR="00D0396C" w:rsidRPr="00B724D0" w:rsidRDefault="00D0396C" w:rsidP="00B724D0">
      <w:pPr>
        <w:pStyle w:val="ListParagraph"/>
        <w:numPr>
          <w:ilvl w:val="0"/>
          <w:numId w:val="11"/>
        </w:numPr>
        <w:spacing w:after="0" w:line="480" w:lineRule="auto"/>
        <w:rPr>
          <w:rFonts w:ascii="Times New Roman" w:hAnsi="Times New Roman" w:cs="Times New Roman"/>
          <w:b/>
          <w:sz w:val="24"/>
          <w:szCs w:val="24"/>
        </w:rPr>
      </w:pPr>
      <w:r w:rsidRPr="00B724D0">
        <w:rPr>
          <w:rFonts w:ascii="Times New Roman" w:hAnsi="Times New Roman" w:cs="Times New Roman"/>
          <w:b/>
          <w:sz w:val="24"/>
          <w:szCs w:val="24"/>
        </w:rPr>
        <w:t>Legislat</w:t>
      </w:r>
      <w:r w:rsidR="00BD029F">
        <w:rPr>
          <w:rFonts w:ascii="Times New Roman" w:hAnsi="Times New Roman" w:cs="Times New Roman"/>
          <w:b/>
          <w:sz w:val="24"/>
          <w:szCs w:val="24"/>
        </w:rPr>
        <w:t>ive History as Not Foreclosing a</w:t>
      </w:r>
      <w:r w:rsidRPr="00B724D0">
        <w:rPr>
          <w:rFonts w:ascii="Times New Roman" w:hAnsi="Times New Roman" w:cs="Times New Roman"/>
          <w:b/>
          <w:sz w:val="24"/>
          <w:szCs w:val="24"/>
        </w:rPr>
        <w:t xml:space="preserve"> Certain Interpretation</w:t>
      </w:r>
    </w:p>
    <w:p w14:paraId="0A56BA5F" w14:textId="5B07E674" w:rsidR="00D0396C" w:rsidRDefault="00D0396C" w:rsidP="00DB6A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3C37">
        <w:rPr>
          <w:rFonts w:ascii="Times New Roman" w:hAnsi="Times New Roman" w:cs="Times New Roman"/>
          <w:sz w:val="24"/>
          <w:szCs w:val="24"/>
        </w:rPr>
        <w:t>In</w:t>
      </w:r>
      <w:r w:rsidR="0049190E">
        <w:rPr>
          <w:rFonts w:ascii="Times New Roman" w:hAnsi="Times New Roman" w:cs="Times New Roman"/>
          <w:sz w:val="24"/>
          <w:szCs w:val="24"/>
        </w:rPr>
        <w:t xml:space="preserve"> about 15</w:t>
      </w:r>
      <w:r>
        <w:rPr>
          <w:rFonts w:ascii="Times New Roman" w:hAnsi="Times New Roman" w:cs="Times New Roman"/>
          <w:sz w:val="24"/>
          <w:szCs w:val="24"/>
        </w:rPr>
        <w:t xml:space="preserve">% of cases, the Board used legislative history in a negative way, arguing that </w:t>
      </w:r>
      <w:r w:rsidR="0049190E">
        <w:rPr>
          <w:rFonts w:ascii="Times New Roman" w:hAnsi="Times New Roman" w:cs="Times New Roman"/>
          <w:sz w:val="24"/>
          <w:szCs w:val="24"/>
        </w:rPr>
        <w:t xml:space="preserve">since </w:t>
      </w:r>
      <w:r>
        <w:rPr>
          <w:rFonts w:ascii="Times New Roman" w:hAnsi="Times New Roman" w:cs="Times New Roman"/>
          <w:sz w:val="24"/>
          <w:szCs w:val="24"/>
        </w:rPr>
        <w:t>nothing in the legislative history contradicted the majority’s interpretation</w:t>
      </w:r>
      <w:r w:rsidR="00193C37">
        <w:rPr>
          <w:rFonts w:ascii="Times New Roman" w:hAnsi="Times New Roman" w:cs="Times New Roman"/>
          <w:sz w:val="24"/>
          <w:szCs w:val="24"/>
        </w:rPr>
        <w:t>, the</w:t>
      </w:r>
      <w:r w:rsidR="0049190E">
        <w:rPr>
          <w:rFonts w:ascii="Times New Roman" w:hAnsi="Times New Roman" w:cs="Times New Roman"/>
          <w:sz w:val="24"/>
          <w:szCs w:val="24"/>
        </w:rPr>
        <w:t xml:space="preserve"> statute must, by implication, be interpreted a particular</w:t>
      </w:r>
      <w:r w:rsidR="007F4FE1">
        <w:rPr>
          <w:rFonts w:ascii="Times New Roman" w:hAnsi="Times New Roman" w:cs="Times New Roman"/>
          <w:sz w:val="24"/>
          <w:szCs w:val="24"/>
        </w:rPr>
        <w:t xml:space="preserve"> way</w:t>
      </w:r>
      <w:r>
        <w:rPr>
          <w:rFonts w:ascii="Times New Roman" w:hAnsi="Times New Roman" w:cs="Times New Roman"/>
          <w:sz w:val="24"/>
          <w:szCs w:val="24"/>
        </w:rPr>
        <w:t xml:space="preserve">. This particular use of legislative history </w:t>
      </w:r>
      <w:r w:rsidR="00824049">
        <w:rPr>
          <w:rFonts w:ascii="Times New Roman" w:hAnsi="Times New Roman" w:cs="Times New Roman"/>
          <w:sz w:val="24"/>
          <w:szCs w:val="24"/>
        </w:rPr>
        <w:t xml:space="preserve">is perhaps the most troubling. </w:t>
      </w:r>
      <w:r>
        <w:rPr>
          <w:rFonts w:ascii="Times New Roman" w:hAnsi="Times New Roman" w:cs="Times New Roman"/>
          <w:sz w:val="24"/>
          <w:szCs w:val="24"/>
        </w:rPr>
        <w:t>The le</w:t>
      </w:r>
      <w:r w:rsidR="00C952AF">
        <w:rPr>
          <w:rFonts w:ascii="Times New Roman" w:hAnsi="Times New Roman" w:cs="Times New Roman"/>
          <w:sz w:val="24"/>
          <w:szCs w:val="24"/>
        </w:rPr>
        <w:t>gislative history of the NLRA, f</w:t>
      </w:r>
      <w:r>
        <w:rPr>
          <w:rFonts w:ascii="Times New Roman" w:hAnsi="Times New Roman" w:cs="Times New Roman"/>
          <w:sz w:val="24"/>
          <w:szCs w:val="24"/>
        </w:rPr>
        <w:t>or instance, occupies several library bookshelves, so it is a tall order to say that nothing in the entire legislative history contradicts a given interpretation. Nonetheless, the Board often used this technique so as to anchor its policy-based argument to perhaps give it greater legitimacy by reference to congressional intent.</w:t>
      </w:r>
    </w:p>
    <w:p w14:paraId="0EA0AE32" w14:textId="6A1AC0BD" w:rsidR="004B4A87" w:rsidRPr="0068765B" w:rsidRDefault="004B4A87" w:rsidP="0068765B">
      <w:pPr>
        <w:pStyle w:val="ListParagraph"/>
        <w:numPr>
          <w:ilvl w:val="0"/>
          <w:numId w:val="16"/>
        </w:numPr>
        <w:spacing w:after="0" w:line="480" w:lineRule="auto"/>
        <w:rPr>
          <w:rFonts w:ascii="Times New Roman" w:hAnsi="Times New Roman" w:cs="Times New Roman"/>
          <w:b/>
          <w:sz w:val="24"/>
          <w:szCs w:val="24"/>
        </w:rPr>
      </w:pPr>
      <w:r w:rsidRPr="0068765B">
        <w:rPr>
          <w:rFonts w:ascii="Times New Roman" w:hAnsi="Times New Roman" w:cs="Times New Roman"/>
          <w:b/>
          <w:sz w:val="24"/>
          <w:szCs w:val="24"/>
        </w:rPr>
        <w:t>Legislative History as Irrelevant</w:t>
      </w:r>
    </w:p>
    <w:p w14:paraId="4547738E" w14:textId="262F9191" w:rsidR="004B4A87" w:rsidRDefault="004B4A87" w:rsidP="00DB6A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in some cases, the Board wholly ignored legislative history, even if the text appeared unclear. In </w:t>
      </w:r>
      <w:r w:rsidRPr="0029164C">
        <w:rPr>
          <w:rFonts w:ascii="Times New Roman" w:hAnsi="Times New Roman" w:cs="Times New Roman"/>
          <w:i/>
          <w:sz w:val="24"/>
          <w:szCs w:val="24"/>
        </w:rPr>
        <w:t>Service Employees International Union et 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1"/>
      </w:r>
      <w:r>
        <w:rPr>
          <w:rFonts w:ascii="Times New Roman" w:hAnsi="Times New Roman" w:cs="Times New Roman"/>
          <w:sz w:val="24"/>
          <w:szCs w:val="24"/>
        </w:rPr>
        <w:t xml:space="preserve"> the </w:t>
      </w:r>
      <w:r w:rsidR="009C5CA2">
        <w:rPr>
          <w:rFonts w:ascii="Times New Roman" w:hAnsi="Times New Roman" w:cs="Times New Roman"/>
          <w:sz w:val="24"/>
          <w:szCs w:val="24"/>
        </w:rPr>
        <w:t xml:space="preserve">Republican-dominated </w:t>
      </w:r>
      <w:r>
        <w:rPr>
          <w:rFonts w:ascii="Times New Roman" w:hAnsi="Times New Roman" w:cs="Times New Roman"/>
          <w:sz w:val="24"/>
          <w:szCs w:val="24"/>
        </w:rPr>
        <w:t>Board had to decide whether a party was a “neutral” under the common law because if they were were not neutral, they would be in violation of the NLRA’s secondary boycott provisions.</w:t>
      </w:r>
      <w:r>
        <w:rPr>
          <w:rStyle w:val="FootnoteReference"/>
          <w:rFonts w:ascii="Times New Roman" w:hAnsi="Times New Roman" w:cs="Times New Roman"/>
          <w:sz w:val="24"/>
          <w:szCs w:val="24"/>
        </w:rPr>
        <w:footnoteReference w:id="202"/>
      </w:r>
      <w:r>
        <w:rPr>
          <w:rFonts w:ascii="Times New Roman" w:hAnsi="Times New Roman" w:cs="Times New Roman"/>
          <w:sz w:val="24"/>
          <w:szCs w:val="24"/>
        </w:rPr>
        <w:t xml:space="preserve"> The Board extensively cited to Senator Robert Taft’s statements in the legislative history on his </w:t>
      </w:r>
      <w:r>
        <w:rPr>
          <w:rFonts w:ascii="Times New Roman" w:hAnsi="Times New Roman" w:cs="Times New Roman"/>
          <w:sz w:val="24"/>
          <w:szCs w:val="24"/>
        </w:rPr>
        <w:lastRenderedPageBreak/>
        <w:t>interpretation of the word neutral as being “wholly unconcerned” in the disagreement.</w:t>
      </w:r>
      <w:r>
        <w:rPr>
          <w:rStyle w:val="FootnoteReference"/>
          <w:rFonts w:ascii="Times New Roman" w:hAnsi="Times New Roman" w:cs="Times New Roman"/>
          <w:sz w:val="24"/>
          <w:szCs w:val="24"/>
        </w:rPr>
        <w:footnoteReference w:id="203"/>
      </w:r>
      <w:r>
        <w:rPr>
          <w:rFonts w:ascii="Times New Roman" w:hAnsi="Times New Roman" w:cs="Times New Roman"/>
          <w:sz w:val="24"/>
          <w:szCs w:val="24"/>
        </w:rPr>
        <w:t xml:space="preserve"> The Board, however, decided to apply a different test, nothing that while on the surface, “the legislative history of these provisions would seem to be relatively clear and similarly argue for an extremely narrow interpretation of the word ‘neutral,’”</w:t>
      </w:r>
      <w:r w:rsidR="009C5CA2">
        <w:rPr>
          <w:rFonts w:ascii="Times New Roman" w:hAnsi="Times New Roman" w:cs="Times New Roman"/>
          <w:sz w:val="24"/>
          <w:szCs w:val="24"/>
        </w:rPr>
        <w:t xml:space="preserve"> policy concerns predominated to interpret the provision in a broader sense to be violative of the law.</w:t>
      </w:r>
      <w:r w:rsidR="009C5CA2">
        <w:rPr>
          <w:rStyle w:val="FootnoteReference"/>
          <w:rFonts w:ascii="Times New Roman" w:hAnsi="Times New Roman" w:cs="Times New Roman"/>
          <w:sz w:val="24"/>
          <w:szCs w:val="24"/>
        </w:rPr>
        <w:footnoteReference w:id="204"/>
      </w:r>
    </w:p>
    <w:p w14:paraId="2900F5AD" w14:textId="26BCB0A7" w:rsidR="008C07B3" w:rsidRPr="00345589" w:rsidRDefault="008C07B3" w:rsidP="007E0531">
      <w:pPr>
        <w:pStyle w:val="ListParagraph"/>
        <w:numPr>
          <w:ilvl w:val="0"/>
          <w:numId w:val="9"/>
        </w:numPr>
        <w:spacing w:after="0" w:line="480" w:lineRule="auto"/>
        <w:rPr>
          <w:rFonts w:ascii="Times New Roman" w:hAnsi="Times New Roman" w:cs="Times New Roman"/>
          <w:b/>
          <w:sz w:val="24"/>
          <w:szCs w:val="24"/>
        </w:rPr>
      </w:pPr>
      <w:r w:rsidRPr="00345589">
        <w:rPr>
          <w:rFonts w:ascii="Times New Roman" w:hAnsi="Times New Roman" w:cs="Times New Roman"/>
          <w:b/>
          <w:sz w:val="24"/>
          <w:szCs w:val="24"/>
        </w:rPr>
        <w:t>Policy and Pragmatic Based Approaches</w:t>
      </w:r>
    </w:p>
    <w:p w14:paraId="097FCA7B" w14:textId="05978E69" w:rsidR="008C07B3" w:rsidRDefault="00345589" w:rsidP="009658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8C07B3">
        <w:rPr>
          <w:rFonts w:ascii="Times New Roman" w:hAnsi="Times New Roman" w:cs="Times New Roman"/>
          <w:sz w:val="24"/>
          <w:szCs w:val="24"/>
        </w:rPr>
        <w:t xml:space="preserve"> Board frequently engaged in a policy-based approach in informing statutory meaning, with more than half of cases primarily relying on policy as the cornerstone of its choice between two or more permissible constructions of the statute. The Board’s use of policy-based statutory appro</w:t>
      </w:r>
      <w:r w:rsidR="007F4FE1">
        <w:rPr>
          <w:rFonts w:ascii="Times New Roman" w:hAnsi="Times New Roman" w:cs="Times New Roman"/>
          <w:sz w:val="24"/>
          <w:szCs w:val="24"/>
        </w:rPr>
        <w:t>aches fall</w:t>
      </w:r>
      <w:r w:rsidR="00416869">
        <w:rPr>
          <w:rFonts w:ascii="Times New Roman" w:hAnsi="Times New Roman" w:cs="Times New Roman"/>
          <w:sz w:val="24"/>
          <w:szCs w:val="24"/>
        </w:rPr>
        <w:t>s into two</w:t>
      </w:r>
      <w:r w:rsidR="00BC3046">
        <w:rPr>
          <w:rFonts w:ascii="Times New Roman" w:hAnsi="Times New Roman" w:cs="Times New Roman"/>
          <w:sz w:val="24"/>
          <w:szCs w:val="24"/>
        </w:rPr>
        <w:t xml:space="preserve"> main camps: 1) an “all hands on d</w:t>
      </w:r>
      <w:r w:rsidR="008C07B3">
        <w:rPr>
          <w:rFonts w:ascii="Times New Roman" w:hAnsi="Times New Roman" w:cs="Times New Roman"/>
          <w:sz w:val="24"/>
          <w:szCs w:val="24"/>
        </w:rPr>
        <w:t>eck” approach where the Board equally looks at text, legislative history, policy and practical considerations to inform the meaning</w:t>
      </w:r>
      <w:r w:rsidR="005B651C">
        <w:rPr>
          <w:rFonts w:ascii="Times New Roman" w:hAnsi="Times New Roman" w:cs="Times New Roman"/>
          <w:sz w:val="24"/>
          <w:szCs w:val="24"/>
        </w:rPr>
        <w:t>, with the “purpose” of the statutory scheme occupying center stage in the analysis</w:t>
      </w:r>
      <w:r w:rsidR="008C07B3">
        <w:rPr>
          <w:rFonts w:ascii="Times New Roman" w:hAnsi="Times New Roman" w:cs="Times New Roman"/>
          <w:sz w:val="24"/>
          <w:szCs w:val="24"/>
        </w:rPr>
        <w:t>; and</w:t>
      </w:r>
      <w:r w:rsidR="00BC3046">
        <w:rPr>
          <w:rFonts w:ascii="Times New Roman" w:hAnsi="Times New Roman" w:cs="Times New Roman"/>
          <w:sz w:val="24"/>
          <w:szCs w:val="24"/>
        </w:rPr>
        <w:t xml:space="preserve"> 2) a policy-based approach where the Board either expressly or implicitly decides the case by making a policy choice</w:t>
      </w:r>
      <w:r w:rsidR="007E0531">
        <w:rPr>
          <w:rFonts w:ascii="Times New Roman" w:hAnsi="Times New Roman" w:cs="Times New Roman"/>
          <w:sz w:val="24"/>
          <w:szCs w:val="24"/>
        </w:rPr>
        <w:t xml:space="preserve"> with little to no discussion of the text or legislative history</w:t>
      </w:r>
      <w:r w:rsidR="005B651C">
        <w:rPr>
          <w:rFonts w:ascii="Times New Roman" w:hAnsi="Times New Roman" w:cs="Times New Roman"/>
          <w:sz w:val="24"/>
          <w:szCs w:val="24"/>
        </w:rPr>
        <w:t>.</w:t>
      </w:r>
      <w:r w:rsidR="00BC3046">
        <w:rPr>
          <w:rFonts w:ascii="Times New Roman" w:hAnsi="Times New Roman" w:cs="Times New Roman"/>
          <w:sz w:val="24"/>
          <w:szCs w:val="24"/>
        </w:rPr>
        <w:t xml:space="preserve"> These choices, for instance, may include decisions concerning what caselaw to apply or whether one policy is better than another. In all, 51% of all cases are made with policy considerations being paramount, either expressly or implicitly.</w:t>
      </w:r>
      <w:r w:rsidR="00BC3046">
        <w:rPr>
          <w:rStyle w:val="FootnoteReference"/>
          <w:rFonts w:ascii="Times New Roman" w:hAnsi="Times New Roman" w:cs="Times New Roman"/>
          <w:sz w:val="24"/>
          <w:szCs w:val="24"/>
        </w:rPr>
        <w:footnoteReference w:id="205"/>
      </w:r>
      <w:r w:rsidR="00BC3046">
        <w:rPr>
          <w:rFonts w:ascii="Times New Roman" w:hAnsi="Times New Roman" w:cs="Times New Roman"/>
          <w:sz w:val="24"/>
          <w:szCs w:val="24"/>
        </w:rPr>
        <w:t xml:space="preserve"> When the Board engages in this primarily caselaw/purposive approach, it only cites practical considerations in 32% of cases. The Obama Board especially has often adopted this caselaw based/policy approach.</w:t>
      </w:r>
    </w:p>
    <w:p w14:paraId="5AC91660" w14:textId="149EEE40" w:rsidR="007F4FE1" w:rsidRPr="0068765B" w:rsidRDefault="00655C6E" w:rsidP="0068765B">
      <w:pPr>
        <w:pStyle w:val="ListParagraph"/>
        <w:numPr>
          <w:ilvl w:val="0"/>
          <w:numId w:val="17"/>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007F4FE1" w:rsidRPr="0068765B">
        <w:rPr>
          <w:rFonts w:ascii="Times New Roman" w:hAnsi="Times New Roman" w:cs="Times New Roman"/>
          <w:b/>
          <w:sz w:val="24"/>
          <w:szCs w:val="24"/>
        </w:rPr>
        <w:t>All Hands on Deck</w:t>
      </w:r>
      <w:r>
        <w:rPr>
          <w:rFonts w:ascii="Times New Roman" w:hAnsi="Times New Roman" w:cs="Times New Roman"/>
          <w:b/>
          <w:sz w:val="24"/>
          <w:szCs w:val="24"/>
        </w:rPr>
        <w:t>”</w:t>
      </w:r>
      <w:r w:rsidR="007F4FE1" w:rsidRPr="0068765B">
        <w:rPr>
          <w:rFonts w:ascii="Times New Roman" w:hAnsi="Times New Roman" w:cs="Times New Roman"/>
          <w:b/>
          <w:sz w:val="24"/>
          <w:szCs w:val="24"/>
        </w:rPr>
        <w:t xml:space="preserve"> Purposive Approach</w:t>
      </w:r>
    </w:p>
    <w:p w14:paraId="438888D0" w14:textId="77777777" w:rsidR="00A23B41" w:rsidRDefault="008C07B3" w:rsidP="004534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 the first approach, the statute’s “purpose” seems to be the central lynchpin of the analysis, with the text and legislative history providing a backdrop in which to offer insig</w:t>
      </w:r>
      <w:r w:rsidR="00345589">
        <w:rPr>
          <w:rFonts w:ascii="Times New Roman" w:hAnsi="Times New Roman" w:cs="Times New Roman"/>
          <w:sz w:val="24"/>
          <w:szCs w:val="24"/>
        </w:rPr>
        <w:t xml:space="preserve">ht into congressional purpose. </w:t>
      </w:r>
      <w:r>
        <w:rPr>
          <w:rFonts w:ascii="Times New Roman" w:hAnsi="Times New Roman" w:cs="Times New Roman"/>
          <w:sz w:val="24"/>
          <w:szCs w:val="24"/>
        </w:rPr>
        <w:t>The issue with this methodology, however, is that both Democratic and Republican Boards act like the Act only has one purpose; they fail to acknowledge let alone reconcile the fact the Act has multiple and somewhat competing purposes.</w:t>
      </w:r>
      <w:r w:rsidR="0007450B">
        <w:rPr>
          <w:rStyle w:val="FootnoteReference"/>
          <w:rFonts w:ascii="Times New Roman" w:hAnsi="Times New Roman" w:cs="Times New Roman"/>
          <w:sz w:val="24"/>
          <w:szCs w:val="24"/>
        </w:rPr>
        <w:footnoteReference w:id="206"/>
      </w:r>
      <w:r>
        <w:rPr>
          <w:rFonts w:ascii="Times New Roman" w:hAnsi="Times New Roman" w:cs="Times New Roman"/>
          <w:sz w:val="24"/>
          <w:szCs w:val="24"/>
        </w:rPr>
        <w:t xml:space="preserve"> Framing the statutory interpretation in terms of “purpose” thus leads to the unfortunate consequence that the Board frequently shifts in its </w:t>
      </w:r>
      <w:r w:rsidR="007F4FE1">
        <w:rPr>
          <w:rFonts w:ascii="Times New Roman" w:hAnsi="Times New Roman" w:cs="Times New Roman"/>
          <w:sz w:val="24"/>
          <w:szCs w:val="24"/>
        </w:rPr>
        <w:t xml:space="preserve">interpretation of the statute. </w:t>
      </w:r>
    </w:p>
    <w:p w14:paraId="48E6CCE6" w14:textId="4A86A14F" w:rsidR="00460D8E" w:rsidRDefault="008C07B3" w:rsidP="004534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will be discusse</w:t>
      </w:r>
      <w:r w:rsidR="0068765B">
        <w:rPr>
          <w:rFonts w:ascii="Times New Roman" w:hAnsi="Times New Roman" w:cs="Times New Roman"/>
          <w:sz w:val="24"/>
          <w:szCs w:val="24"/>
        </w:rPr>
        <w:t xml:space="preserve">d more </w:t>
      </w:r>
      <w:r w:rsidR="0068765B">
        <w:rPr>
          <w:rFonts w:ascii="Times New Roman" w:hAnsi="Times New Roman" w:cs="Times New Roman"/>
          <w:i/>
          <w:sz w:val="24"/>
          <w:szCs w:val="24"/>
        </w:rPr>
        <w:t>infra</w:t>
      </w:r>
      <w:r>
        <w:rPr>
          <w:rFonts w:ascii="Times New Roman" w:hAnsi="Times New Roman" w:cs="Times New Roman"/>
          <w:sz w:val="24"/>
          <w:szCs w:val="24"/>
        </w:rPr>
        <w:t>, both Republican and Democratic Boards may in fact rely on the same interpretive techniques to inform the statutory meanings but they look at them completely differently because each has a different view of the statute’s purpose.</w:t>
      </w:r>
      <w:r w:rsidR="00DB6A7C" w:rsidRPr="00A52EBC">
        <w:rPr>
          <w:rFonts w:ascii="Times New Roman" w:hAnsi="Times New Roman" w:cs="Times New Roman"/>
          <w:b/>
          <w:sz w:val="24"/>
          <w:szCs w:val="24"/>
        </w:rPr>
        <w:t xml:space="preserve"> </w:t>
      </w:r>
      <w:r w:rsidR="000E798E">
        <w:rPr>
          <w:rFonts w:ascii="Times New Roman" w:hAnsi="Times New Roman" w:cs="Times New Roman"/>
          <w:sz w:val="24"/>
          <w:szCs w:val="24"/>
        </w:rPr>
        <w:t xml:space="preserve">In </w:t>
      </w:r>
      <w:r w:rsidR="000E798E" w:rsidRPr="00345589">
        <w:rPr>
          <w:rFonts w:ascii="Times New Roman" w:hAnsi="Times New Roman" w:cs="Times New Roman"/>
          <w:i/>
          <w:sz w:val="24"/>
          <w:szCs w:val="24"/>
        </w:rPr>
        <w:t>Brown University</w:t>
      </w:r>
      <w:r w:rsidR="000E798E">
        <w:rPr>
          <w:rFonts w:ascii="Times New Roman" w:hAnsi="Times New Roman" w:cs="Times New Roman"/>
          <w:sz w:val="24"/>
          <w:szCs w:val="24"/>
        </w:rPr>
        <w:t xml:space="preserve">, discussed above, and overruled by the recent </w:t>
      </w:r>
      <w:r w:rsidR="000E798E" w:rsidRPr="00345589">
        <w:rPr>
          <w:rFonts w:ascii="Times New Roman" w:hAnsi="Times New Roman" w:cs="Times New Roman"/>
          <w:i/>
          <w:sz w:val="24"/>
          <w:szCs w:val="24"/>
        </w:rPr>
        <w:t>Columbia University</w:t>
      </w:r>
      <w:r w:rsidR="000E798E">
        <w:rPr>
          <w:rFonts w:ascii="Times New Roman" w:hAnsi="Times New Roman" w:cs="Times New Roman"/>
          <w:sz w:val="24"/>
          <w:szCs w:val="24"/>
        </w:rPr>
        <w:t xml:space="preserve"> case, the Board had to decide whether graduate TAs qualified as “employees” under the Act.</w:t>
      </w:r>
      <w:r w:rsidR="000E798E">
        <w:rPr>
          <w:rStyle w:val="FootnoteReference"/>
          <w:rFonts w:ascii="Times New Roman" w:hAnsi="Times New Roman" w:cs="Times New Roman"/>
          <w:sz w:val="24"/>
          <w:szCs w:val="24"/>
        </w:rPr>
        <w:footnoteReference w:id="207"/>
      </w:r>
      <w:r w:rsidR="00653520">
        <w:rPr>
          <w:rFonts w:ascii="Times New Roman" w:hAnsi="Times New Roman" w:cs="Times New Roman"/>
          <w:sz w:val="24"/>
          <w:szCs w:val="24"/>
        </w:rPr>
        <w:t xml:space="preserve"> </w:t>
      </w:r>
      <w:r w:rsidR="000E798E">
        <w:rPr>
          <w:rFonts w:ascii="Times New Roman" w:hAnsi="Times New Roman" w:cs="Times New Roman"/>
          <w:sz w:val="24"/>
          <w:szCs w:val="24"/>
        </w:rPr>
        <w:t xml:space="preserve">The predecessor case </w:t>
      </w:r>
      <w:r w:rsidR="000E798E" w:rsidRPr="00345589">
        <w:rPr>
          <w:rFonts w:ascii="Times New Roman" w:hAnsi="Times New Roman" w:cs="Times New Roman"/>
          <w:i/>
          <w:sz w:val="24"/>
          <w:szCs w:val="24"/>
        </w:rPr>
        <w:t>NYU</w:t>
      </w:r>
      <w:r w:rsidR="000E798E">
        <w:rPr>
          <w:rFonts w:ascii="Times New Roman" w:hAnsi="Times New Roman" w:cs="Times New Roman"/>
          <w:sz w:val="24"/>
          <w:szCs w:val="24"/>
        </w:rPr>
        <w:t xml:space="preserve"> and the subsequent case </w:t>
      </w:r>
      <w:r w:rsidR="000E798E" w:rsidRPr="00345589">
        <w:rPr>
          <w:rFonts w:ascii="Times New Roman" w:hAnsi="Times New Roman" w:cs="Times New Roman"/>
          <w:i/>
          <w:sz w:val="24"/>
          <w:szCs w:val="24"/>
        </w:rPr>
        <w:t>Columbia University</w:t>
      </w:r>
      <w:r w:rsidR="000E798E">
        <w:rPr>
          <w:rFonts w:ascii="Times New Roman" w:hAnsi="Times New Roman" w:cs="Times New Roman"/>
          <w:sz w:val="24"/>
          <w:szCs w:val="24"/>
        </w:rPr>
        <w:t xml:space="preserve"> applied a textualist approach, looking at the plain meaning of the statute. However, in </w:t>
      </w:r>
      <w:r w:rsidR="000E798E" w:rsidRPr="00345589">
        <w:rPr>
          <w:rFonts w:ascii="Times New Roman" w:hAnsi="Times New Roman" w:cs="Times New Roman"/>
          <w:i/>
          <w:sz w:val="24"/>
          <w:szCs w:val="24"/>
        </w:rPr>
        <w:t>Brown</w:t>
      </w:r>
      <w:r w:rsidR="000E798E">
        <w:rPr>
          <w:rFonts w:ascii="Times New Roman" w:hAnsi="Times New Roman" w:cs="Times New Roman"/>
          <w:sz w:val="24"/>
          <w:szCs w:val="24"/>
        </w:rPr>
        <w:t xml:space="preserve">, the </w:t>
      </w:r>
      <w:r w:rsidR="00416869">
        <w:rPr>
          <w:rFonts w:ascii="Times New Roman" w:hAnsi="Times New Roman" w:cs="Times New Roman"/>
          <w:sz w:val="24"/>
          <w:szCs w:val="24"/>
        </w:rPr>
        <w:t xml:space="preserve">Republican-majority </w:t>
      </w:r>
      <w:r w:rsidR="000E798E">
        <w:rPr>
          <w:rFonts w:ascii="Times New Roman" w:hAnsi="Times New Roman" w:cs="Times New Roman"/>
          <w:sz w:val="24"/>
          <w:szCs w:val="24"/>
        </w:rPr>
        <w:t xml:space="preserve">Board </w:t>
      </w:r>
      <w:r w:rsidR="002E778D">
        <w:rPr>
          <w:rFonts w:ascii="Times New Roman" w:hAnsi="Times New Roman" w:cs="Times New Roman"/>
          <w:sz w:val="24"/>
          <w:szCs w:val="24"/>
        </w:rPr>
        <w:t xml:space="preserve">also adopted a textualist approach but </w:t>
      </w:r>
      <w:r w:rsidR="000E798E">
        <w:rPr>
          <w:rFonts w:ascii="Times New Roman" w:hAnsi="Times New Roman" w:cs="Times New Roman"/>
          <w:sz w:val="24"/>
          <w:szCs w:val="24"/>
        </w:rPr>
        <w:t>framed the decision largely in terms of congressional purpose. The Board opined that the NLRA’s fundamental purpose is to cover “economic relationships” and as such collective bargaining by students at schools would not further the purpose of the Act as intended by Congress.</w:t>
      </w:r>
      <w:r w:rsidR="000E798E">
        <w:rPr>
          <w:rStyle w:val="FootnoteReference"/>
          <w:rFonts w:ascii="Times New Roman" w:hAnsi="Times New Roman" w:cs="Times New Roman"/>
          <w:sz w:val="24"/>
          <w:szCs w:val="24"/>
        </w:rPr>
        <w:footnoteReference w:id="208"/>
      </w:r>
      <w:r w:rsidR="000E798E">
        <w:rPr>
          <w:rFonts w:ascii="Times New Roman" w:hAnsi="Times New Roman" w:cs="Times New Roman"/>
          <w:sz w:val="24"/>
          <w:szCs w:val="24"/>
        </w:rPr>
        <w:t xml:space="preserve"> The Board also reasoned that to include TAs within the ambit of the Act would infringe upon academic freedom.</w:t>
      </w:r>
      <w:r w:rsidR="000E798E">
        <w:rPr>
          <w:rStyle w:val="FootnoteReference"/>
          <w:rFonts w:ascii="Times New Roman" w:hAnsi="Times New Roman" w:cs="Times New Roman"/>
          <w:sz w:val="24"/>
          <w:szCs w:val="24"/>
        </w:rPr>
        <w:footnoteReference w:id="209"/>
      </w:r>
      <w:r w:rsidR="00345589">
        <w:rPr>
          <w:rFonts w:ascii="Times New Roman" w:hAnsi="Times New Roman" w:cs="Times New Roman"/>
          <w:sz w:val="24"/>
          <w:szCs w:val="24"/>
        </w:rPr>
        <w:t xml:space="preserve"> </w:t>
      </w:r>
      <w:r w:rsidR="002E778D">
        <w:rPr>
          <w:rFonts w:ascii="Times New Roman" w:hAnsi="Times New Roman" w:cs="Times New Roman"/>
          <w:sz w:val="24"/>
          <w:szCs w:val="24"/>
        </w:rPr>
        <w:t>By contrast, in</w:t>
      </w:r>
      <w:r w:rsidR="00460D8E">
        <w:rPr>
          <w:rFonts w:ascii="Times New Roman" w:hAnsi="Times New Roman" w:cs="Times New Roman"/>
          <w:sz w:val="24"/>
          <w:szCs w:val="24"/>
        </w:rPr>
        <w:t xml:space="preserve"> </w:t>
      </w:r>
      <w:r w:rsidR="00460D8E">
        <w:rPr>
          <w:rFonts w:ascii="Times New Roman" w:hAnsi="Times New Roman" w:cs="Times New Roman"/>
          <w:i/>
          <w:sz w:val="24"/>
          <w:szCs w:val="24"/>
        </w:rPr>
        <w:t>Columbia University</w:t>
      </w:r>
      <w:r w:rsidR="00460D8E">
        <w:rPr>
          <w:rFonts w:ascii="Times New Roman" w:hAnsi="Times New Roman" w:cs="Times New Roman"/>
          <w:sz w:val="24"/>
          <w:szCs w:val="24"/>
        </w:rPr>
        <w:t xml:space="preserve">, the Board adopted a “all hands on deck” approach where it used textualism, legislative history, policy, and </w:t>
      </w:r>
      <w:r w:rsidR="00460D8E">
        <w:rPr>
          <w:rFonts w:ascii="Times New Roman" w:hAnsi="Times New Roman" w:cs="Times New Roman"/>
          <w:sz w:val="24"/>
          <w:szCs w:val="24"/>
        </w:rPr>
        <w:lastRenderedPageBreak/>
        <w:t>practical considerations to give meaning to the statute.</w:t>
      </w:r>
      <w:r w:rsidR="002E778D">
        <w:rPr>
          <w:rStyle w:val="FootnoteReference"/>
          <w:rFonts w:ascii="Times New Roman" w:hAnsi="Times New Roman" w:cs="Times New Roman"/>
          <w:sz w:val="24"/>
          <w:szCs w:val="24"/>
        </w:rPr>
        <w:footnoteReference w:id="210"/>
      </w:r>
      <w:r w:rsidR="005F554A">
        <w:rPr>
          <w:rFonts w:ascii="Times New Roman" w:hAnsi="Times New Roman" w:cs="Times New Roman"/>
          <w:sz w:val="24"/>
          <w:szCs w:val="24"/>
        </w:rPr>
        <w:t xml:space="preserve"> </w:t>
      </w:r>
      <w:r w:rsidR="002E778D">
        <w:rPr>
          <w:rFonts w:ascii="Times New Roman" w:hAnsi="Times New Roman" w:cs="Times New Roman"/>
          <w:sz w:val="24"/>
          <w:szCs w:val="24"/>
        </w:rPr>
        <w:t xml:space="preserve">It too adopted a </w:t>
      </w:r>
      <w:r w:rsidR="00A23B41">
        <w:rPr>
          <w:rFonts w:ascii="Times New Roman" w:hAnsi="Times New Roman" w:cs="Times New Roman"/>
          <w:sz w:val="24"/>
          <w:szCs w:val="24"/>
        </w:rPr>
        <w:t xml:space="preserve">text-based </w:t>
      </w:r>
      <w:r w:rsidR="002E778D">
        <w:rPr>
          <w:rFonts w:ascii="Times New Roman" w:hAnsi="Times New Roman" w:cs="Times New Roman"/>
          <w:sz w:val="24"/>
          <w:szCs w:val="24"/>
        </w:rPr>
        <w:t xml:space="preserve">purposive analysis, but the Democratic-Board </w:t>
      </w:r>
      <w:r w:rsidR="005F554A">
        <w:rPr>
          <w:rFonts w:ascii="Times New Roman" w:hAnsi="Times New Roman" w:cs="Times New Roman"/>
          <w:sz w:val="24"/>
          <w:szCs w:val="24"/>
        </w:rPr>
        <w:t>thought the “purpose”</w:t>
      </w:r>
      <w:r w:rsidR="002E778D">
        <w:rPr>
          <w:rFonts w:ascii="Times New Roman" w:hAnsi="Times New Roman" w:cs="Times New Roman"/>
          <w:sz w:val="24"/>
          <w:szCs w:val="24"/>
        </w:rPr>
        <w:t xml:space="preserve"> of the NLRA was different from the purpose envisioned by the Republican </w:t>
      </w:r>
      <w:r w:rsidR="002E778D" w:rsidRPr="002E778D">
        <w:rPr>
          <w:rFonts w:ascii="Times New Roman" w:hAnsi="Times New Roman" w:cs="Times New Roman"/>
          <w:i/>
          <w:sz w:val="24"/>
          <w:szCs w:val="24"/>
        </w:rPr>
        <w:t>Brown</w:t>
      </w:r>
      <w:r w:rsidR="002E778D">
        <w:rPr>
          <w:rFonts w:ascii="Times New Roman" w:hAnsi="Times New Roman" w:cs="Times New Roman"/>
          <w:sz w:val="24"/>
          <w:szCs w:val="24"/>
        </w:rPr>
        <w:t xml:space="preserve"> Board</w:t>
      </w:r>
      <w:r w:rsidR="005F554A">
        <w:rPr>
          <w:rFonts w:ascii="Times New Roman" w:hAnsi="Times New Roman" w:cs="Times New Roman"/>
          <w:sz w:val="24"/>
          <w:szCs w:val="24"/>
        </w:rPr>
        <w:t>.</w:t>
      </w:r>
      <w:r w:rsidR="002E778D">
        <w:rPr>
          <w:rFonts w:ascii="Times New Roman" w:hAnsi="Times New Roman" w:cs="Times New Roman"/>
          <w:sz w:val="24"/>
          <w:szCs w:val="24"/>
        </w:rPr>
        <w:t xml:space="preserve"> As the </w:t>
      </w:r>
      <w:r w:rsidR="002E778D">
        <w:rPr>
          <w:rFonts w:ascii="Times New Roman" w:hAnsi="Times New Roman" w:cs="Times New Roman"/>
          <w:i/>
          <w:sz w:val="24"/>
          <w:szCs w:val="24"/>
        </w:rPr>
        <w:t>Columbia</w:t>
      </w:r>
      <w:r w:rsidR="002E778D">
        <w:rPr>
          <w:rFonts w:ascii="Times New Roman" w:hAnsi="Times New Roman" w:cs="Times New Roman"/>
          <w:sz w:val="24"/>
          <w:szCs w:val="24"/>
        </w:rPr>
        <w:t xml:space="preserve"> Board reasoned, “[p]ermitting students assistants to choose whether they wish to engage in collective bargaining—not prohibiting it— would further the Act’s policies.”</w:t>
      </w:r>
      <w:r w:rsidR="002E778D">
        <w:rPr>
          <w:rStyle w:val="FootnoteReference"/>
          <w:rFonts w:ascii="Times New Roman" w:hAnsi="Times New Roman" w:cs="Times New Roman"/>
          <w:sz w:val="24"/>
          <w:szCs w:val="24"/>
        </w:rPr>
        <w:footnoteReference w:id="211"/>
      </w:r>
      <w:r w:rsidR="00A23B41">
        <w:rPr>
          <w:rFonts w:ascii="Times New Roman" w:hAnsi="Times New Roman" w:cs="Times New Roman"/>
          <w:sz w:val="24"/>
          <w:szCs w:val="24"/>
        </w:rPr>
        <w:t xml:space="preserve"> Both sides read the text in light of completely different purposes.</w:t>
      </w:r>
    </w:p>
    <w:p w14:paraId="6E40090D" w14:textId="2FA99C7E" w:rsidR="00B724D0" w:rsidRDefault="00653520" w:rsidP="005764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also used this approach in deciding whether house staff (or medical residents) qualified as employees under the NLRA. </w:t>
      </w:r>
      <w:r w:rsidR="00B724D0">
        <w:rPr>
          <w:rFonts w:ascii="Times New Roman" w:hAnsi="Times New Roman" w:cs="Times New Roman"/>
          <w:sz w:val="24"/>
          <w:szCs w:val="24"/>
        </w:rPr>
        <w:t xml:space="preserve">In </w:t>
      </w:r>
      <w:r w:rsidR="00B724D0">
        <w:rPr>
          <w:rFonts w:ascii="Times New Roman" w:hAnsi="Times New Roman" w:cs="Times New Roman"/>
          <w:i/>
          <w:sz w:val="24"/>
          <w:szCs w:val="24"/>
        </w:rPr>
        <w:t>Boston Medical Center</w:t>
      </w:r>
      <w:r w:rsidR="00B724D0">
        <w:rPr>
          <w:rFonts w:ascii="Times New Roman" w:hAnsi="Times New Roman" w:cs="Times New Roman"/>
          <w:sz w:val="24"/>
          <w:szCs w:val="24"/>
        </w:rPr>
        <w:t xml:space="preserve">, the </w:t>
      </w:r>
      <w:r>
        <w:rPr>
          <w:rFonts w:ascii="Times New Roman" w:hAnsi="Times New Roman" w:cs="Times New Roman"/>
          <w:sz w:val="24"/>
          <w:szCs w:val="24"/>
        </w:rPr>
        <w:t xml:space="preserve">Board </w:t>
      </w:r>
      <w:r w:rsidR="00B724D0">
        <w:rPr>
          <w:rFonts w:ascii="Times New Roman" w:hAnsi="Times New Roman" w:cs="Times New Roman"/>
          <w:sz w:val="24"/>
          <w:szCs w:val="24"/>
        </w:rPr>
        <w:t>relied on a multi-factor analysis, using text, legislative history, policy and pragmatic considerations.  First, the Board emphasized the text, noting the language of the NLRA was broad, and that the term ‘employee’ specifically says “shall include any employee.”</w:t>
      </w:r>
      <w:r w:rsidR="00B724D0">
        <w:rPr>
          <w:rStyle w:val="FootnoteReference"/>
          <w:rFonts w:ascii="Times New Roman" w:hAnsi="Times New Roman" w:cs="Times New Roman"/>
          <w:sz w:val="24"/>
          <w:szCs w:val="24"/>
        </w:rPr>
        <w:footnoteReference w:id="212"/>
      </w:r>
      <w:r w:rsidR="00A23B41">
        <w:rPr>
          <w:rFonts w:ascii="Times New Roman" w:hAnsi="Times New Roman" w:cs="Times New Roman"/>
          <w:sz w:val="24"/>
          <w:szCs w:val="24"/>
        </w:rPr>
        <w:t xml:space="preserve"> </w:t>
      </w:r>
      <w:r w:rsidR="00B724D0">
        <w:rPr>
          <w:rFonts w:ascii="Times New Roman" w:hAnsi="Times New Roman" w:cs="Times New Roman"/>
          <w:sz w:val="24"/>
          <w:szCs w:val="24"/>
        </w:rPr>
        <w:t>It went further to discuss resident’s job functions in light of the dictionary definition of employee.</w:t>
      </w:r>
      <w:r w:rsidR="00B724D0">
        <w:rPr>
          <w:rStyle w:val="FootnoteReference"/>
          <w:rFonts w:ascii="Times New Roman" w:hAnsi="Times New Roman" w:cs="Times New Roman"/>
          <w:sz w:val="24"/>
          <w:szCs w:val="24"/>
        </w:rPr>
        <w:footnoteReference w:id="213"/>
      </w:r>
      <w:r w:rsidR="00124532">
        <w:rPr>
          <w:rFonts w:ascii="Times New Roman" w:hAnsi="Times New Roman" w:cs="Times New Roman"/>
          <w:sz w:val="24"/>
          <w:szCs w:val="24"/>
        </w:rPr>
        <w:t xml:space="preserve"> The Board went on to look at other statutory language, such as section 2(12)(b) as well as</w:t>
      </w:r>
      <w:r w:rsidR="00C0167E">
        <w:rPr>
          <w:rFonts w:ascii="Times New Roman" w:hAnsi="Times New Roman" w:cs="Times New Roman"/>
          <w:sz w:val="24"/>
          <w:szCs w:val="24"/>
        </w:rPr>
        <w:t xml:space="preserve"> by involving </w:t>
      </w:r>
      <w:r>
        <w:rPr>
          <w:rFonts w:ascii="Times New Roman" w:hAnsi="Times New Roman" w:cs="Times New Roman"/>
          <w:sz w:val="24"/>
          <w:szCs w:val="24"/>
        </w:rPr>
        <w:t xml:space="preserve">the </w:t>
      </w:r>
      <w:r w:rsidR="00C0167E">
        <w:rPr>
          <w:rFonts w:ascii="Times New Roman" w:hAnsi="Times New Roman" w:cs="Times New Roman"/>
          <w:sz w:val="24"/>
          <w:szCs w:val="24"/>
        </w:rPr>
        <w:t xml:space="preserve">canon of </w:t>
      </w:r>
      <w:r w:rsidR="00C0167E" w:rsidRPr="00C0167E">
        <w:rPr>
          <w:rFonts w:ascii="Times New Roman" w:hAnsi="Times New Roman" w:cs="Times New Roman"/>
          <w:i/>
          <w:sz w:val="24"/>
          <w:szCs w:val="24"/>
        </w:rPr>
        <w:t>expressio</w:t>
      </w:r>
      <w:r w:rsidR="00124532" w:rsidRPr="00C0167E">
        <w:rPr>
          <w:rFonts w:ascii="Times New Roman" w:hAnsi="Times New Roman" w:cs="Times New Roman"/>
          <w:i/>
          <w:sz w:val="24"/>
          <w:szCs w:val="24"/>
        </w:rPr>
        <w:t xml:space="preserve"> unius</w:t>
      </w:r>
      <w:r w:rsidR="00124532">
        <w:rPr>
          <w:rFonts w:ascii="Times New Roman" w:hAnsi="Times New Roman" w:cs="Times New Roman"/>
          <w:sz w:val="24"/>
          <w:szCs w:val="24"/>
        </w:rPr>
        <w:t>.</w:t>
      </w:r>
      <w:r w:rsidR="00124532">
        <w:rPr>
          <w:rStyle w:val="FootnoteReference"/>
          <w:rFonts w:ascii="Times New Roman" w:hAnsi="Times New Roman" w:cs="Times New Roman"/>
          <w:sz w:val="24"/>
          <w:szCs w:val="24"/>
        </w:rPr>
        <w:footnoteReference w:id="214"/>
      </w:r>
      <w:r>
        <w:rPr>
          <w:rFonts w:ascii="Times New Roman" w:hAnsi="Times New Roman" w:cs="Times New Roman"/>
          <w:sz w:val="24"/>
          <w:szCs w:val="24"/>
        </w:rPr>
        <w:t xml:space="preserve"> </w:t>
      </w:r>
      <w:r w:rsidR="00124532">
        <w:rPr>
          <w:rFonts w:ascii="Times New Roman" w:hAnsi="Times New Roman" w:cs="Times New Roman"/>
          <w:sz w:val="24"/>
          <w:szCs w:val="24"/>
        </w:rPr>
        <w:t>The Board buttressed its conclusion by referring to the legislative history.</w:t>
      </w:r>
      <w:r w:rsidR="00124532">
        <w:rPr>
          <w:rStyle w:val="FootnoteReference"/>
          <w:rFonts w:ascii="Times New Roman" w:hAnsi="Times New Roman" w:cs="Times New Roman"/>
          <w:sz w:val="24"/>
          <w:szCs w:val="24"/>
        </w:rPr>
        <w:footnoteReference w:id="215"/>
      </w:r>
      <w:r w:rsidR="00124532">
        <w:rPr>
          <w:rFonts w:ascii="Times New Roman" w:hAnsi="Times New Roman" w:cs="Times New Roman"/>
          <w:sz w:val="24"/>
          <w:szCs w:val="24"/>
        </w:rPr>
        <w:t xml:space="preserve"> Finally, the Board looked to caselaw, polic</w:t>
      </w:r>
      <w:r>
        <w:rPr>
          <w:rFonts w:ascii="Times New Roman" w:hAnsi="Times New Roman" w:cs="Times New Roman"/>
          <w:sz w:val="24"/>
          <w:szCs w:val="24"/>
        </w:rPr>
        <w:t>y and pragmatic considerations.</w:t>
      </w:r>
      <w:r w:rsidR="00124532">
        <w:rPr>
          <w:rFonts w:ascii="Times New Roman" w:hAnsi="Times New Roman" w:cs="Times New Roman"/>
          <w:sz w:val="24"/>
          <w:szCs w:val="24"/>
        </w:rPr>
        <w:t xml:space="preserve"> It noted that “without exception, every other court, agency, and legal analyst to have grappled with this issue has concluded that interns, residents, and fellows, are, in large measure, employees.”</w:t>
      </w:r>
      <w:r w:rsidR="00124532">
        <w:rPr>
          <w:rStyle w:val="FootnoteReference"/>
          <w:rFonts w:ascii="Times New Roman" w:hAnsi="Times New Roman" w:cs="Times New Roman"/>
          <w:sz w:val="24"/>
          <w:szCs w:val="24"/>
        </w:rPr>
        <w:footnoteReference w:id="216"/>
      </w:r>
      <w:r w:rsidR="00124532">
        <w:rPr>
          <w:rFonts w:ascii="Times New Roman" w:hAnsi="Times New Roman" w:cs="Times New Roman"/>
          <w:sz w:val="24"/>
          <w:szCs w:val="24"/>
        </w:rPr>
        <w:t xml:space="preserve"> The Board also detailed the role of residents in hospitals.</w:t>
      </w:r>
      <w:r w:rsidR="00124532">
        <w:rPr>
          <w:rStyle w:val="FootnoteReference"/>
          <w:rFonts w:ascii="Times New Roman" w:hAnsi="Times New Roman" w:cs="Times New Roman"/>
          <w:sz w:val="24"/>
          <w:szCs w:val="24"/>
        </w:rPr>
        <w:footnoteReference w:id="217"/>
      </w:r>
    </w:p>
    <w:p w14:paraId="18E56451" w14:textId="77777777" w:rsidR="005E768D" w:rsidRDefault="005E768D" w:rsidP="005764D7">
      <w:pPr>
        <w:spacing w:after="0" w:line="480" w:lineRule="auto"/>
        <w:ind w:firstLine="720"/>
        <w:rPr>
          <w:rFonts w:ascii="Times New Roman" w:hAnsi="Times New Roman" w:cs="Times New Roman"/>
          <w:sz w:val="24"/>
          <w:szCs w:val="24"/>
        </w:rPr>
      </w:pPr>
    </w:p>
    <w:p w14:paraId="788BD72A" w14:textId="784A235C" w:rsidR="00460D8E" w:rsidRPr="0068765B" w:rsidRDefault="005F554A" w:rsidP="0068765B">
      <w:pPr>
        <w:pStyle w:val="ListParagraph"/>
        <w:numPr>
          <w:ilvl w:val="0"/>
          <w:numId w:val="17"/>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Policy-Only Driven</w:t>
      </w:r>
      <w:r w:rsidR="00460D8E" w:rsidRPr="0068765B">
        <w:rPr>
          <w:rFonts w:ascii="Times New Roman" w:hAnsi="Times New Roman" w:cs="Times New Roman"/>
          <w:b/>
          <w:sz w:val="24"/>
          <w:szCs w:val="24"/>
        </w:rPr>
        <w:t xml:space="preserve"> Purposivism</w:t>
      </w:r>
    </w:p>
    <w:p w14:paraId="5CCD0F33" w14:textId="254160B9" w:rsidR="00350B55" w:rsidRDefault="00460D8E" w:rsidP="00460D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Likewise, in other cases, the Board largely rested its decision on policy, esc</w:t>
      </w:r>
      <w:r w:rsidR="00E160F0">
        <w:rPr>
          <w:rFonts w:ascii="Times New Roman" w:hAnsi="Times New Roman" w:cs="Times New Roman"/>
          <w:sz w:val="24"/>
          <w:szCs w:val="24"/>
        </w:rPr>
        <w:t xml:space="preserve">hewing text and legislative history in its analysis. </w:t>
      </w:r>
      <w:r w:rsidR="003222C2">
        <w:rPr>
          <w:rFonts w:ascii="Times New Roman" w:hAnsi="Times New Roman" w:cs="Times New Roman"/>
          <w:sz w:val="24"/>
          <w:szCs w:val="24"/>
        </w:rPr>
        <w:t xml:space="preserve">These cases are different than the former as there is a clear gap in the law that never even contemplated by the enacting Congress or even addressed in the legislative history. </w:t>
      </w:r>
      <w:r w:rsidR="007E0531">
        <w:rPr>
          <w:rFonts w:ascii="Times New Roman" w:hAnsi="Times New Roman" w:cs="Times New Roman"/>
          <w:sz w:val="24"/>
          <w:szCs w:val="24"/>
        </w:rPr>
        <w:t>As an example, t</w:t>
      </w:r>
      <w:r w:rsidR="002A5E2D">
        <w:rPr>
          <w:rFonts w:ascii="Times New Roman" w:hAnsi="Times New Roman" w:cs="Times New Roman"/>
          <w:sz w:val="24"/>
          <w:szCs w:val="24"/>
        </w:rPr>
        <w:t xml:space="preserve">he Board applied a </w:t>
      </w:r>
      <w:r w:rsidR="007E0531">
        <w:rPr>
          <w:rFonts w:ascii="Times New Roman" w:hAnsi="Times New Roman" w:cs="Times New Roman"/>
          <w:sz w:val="24"/>
          <w:szCs w:val="24"/>
        </w:rPr>
        <w:t xml:space="preserve">completely policy-driven, </w:t>
      </w:r>
      <w:r w:rsidR="002A5E2D">
        <w:rPr>
          <w:rFonts w:ascii="Times New Roman" w:hAnsi="Times New Roman" w:cs="Times New Roman"/>
          <w:sz w:val="24"/>
          <w:szCs w:val="24"/>
        </w:rPr>
        <w:t>purposive</w:t>
      </w:r>
      <w:r w:rsidR="00345589">
        <w:rPr>
          <w:rFonts w:ascii="Times New Roman" w:hAnsi="Times New Roman" w:cs="Times New Roman"/>
          <w:sz w:val="24"/>
          <w:szCs w:val="24"/>
        </w:rPr>
        <w:t>-driven</w:t>
      </w:r>
      <w:r w:rsidR="002A5E2D">
        <w:rPr>
          <w:rFonts w:ascii="Times New Roman" w:hAnsi="Times New Roman" w:cs="Times New Roman"/>
          <w:sz w:val="24"/>
          <w:szCs w:val="24"/>
        </w:rPr>
        <w:t xml:space="preserve"> approach in </w:t>
      </w:r>
      <w:r w:rsidR="002A5E2D" w:rsidRPr="00BC6F92">
        <w:rPr>
          <w:rFonts w:ascii="Times New Roman" w:hAnsi="Times New Roman" w:cs="Times New Roman"/>
          <w:i/>
          <w:sz w:val="24"/>
          <w:szCs w:val="24"/>
        </w:rPr>
        <w:t>Browning-Ferris Industries</w:t>
      </w:r>
      <w:r w:rsidR="002A5E2D">
        <w:rPr>
          <w:rFonts w:ascii="Times New Roman" w:hAnsi="Times New Roman" w:cs="Times New Roman"/>
          <w:sz w:val="24"/>
          <w:szCs w:val="24"/>
        </w:rPr>
        <w:t>, where the Board adjusted the standard applied to determine whether an entity qualified as a “joint employer” so that the caselaw would better effectuate the NLRA’s purpose.</w:t>
      </w:r>
      <w:r w:rsidR="002A5E2D">
        <w:rPr>
          <w:rStyle w:val="FootnoteReference"/>
          <w:rFonts w:ascii="Times New Roman" w:hAnsi="Times New Roman" w:cs="Times New Roman"/>
          <w:sz w:val="24"/>
          <w:szCs w:val="24"/>
        </w:rPr>
        <w:footnoteReference w:id="218"/>
      </w:r>
      <w:r w:rsidR="002A5E2D">
        <w:rPr>
          <w:rFonts w:ascii="Times New Roman" w:hAnsi="Times New Roman" w:cs="Times New Roman"/>
          <w:sz w:val="24"/>
          <w:szCs w:val="24"/>
        </w:rPr>
        <w:t xml:space="preserve"> The Board stated that it was adjusting the test for determining joint-employer status to “best serve the Federal policy of ‘encouraging the practice and procedure of collective bargaining.’”</w:t>
      </w:r>
      <w:r w:rsidR="002A5E2D">
        <w:rPr>
          <w:rStyle w:val="FootnoteReference"/>
          <w:rFonts w:ascii="Times New Roman" w:hAnsi="Times New Roman" w:cs="Times New Roman"/>
          <w:sz w:val="24"/>
          <w:szCs w:val="24"/>
        </w:rPr>
        <w:footnoteReference w:id="219"/>
      </w:r>
      <w:r w:rsidR="002A5E2D">
        <w:rPr>
          <w:rFonts w:ascii="Times New Roman" w:hAnsi="Times New Roman" w:cs="Times New Roman"/>
          <w:sz w:val="24"/>
          <w:szCs w:val="24"/>
        </w:rPr>
        <w:t xml:space="preserve"> In so doing, the Board looked to modern realities of how the prior test had been implemented in practice and decided to abandon limiting requirements under the prior caselaw to adopt a broader standard to effectuate the Act’s purpose of facilitating collective bargaining.</w:t>
      </w:r>
      <w:r w:rsidR="002A5E2D">
        <w:rPr>
          <w:rStyle w:val="FootnoteReference"/>
          <w:rFonts w:ascii="Times New Roman" w:hAnsi="Times New Roman" w:cs="Times New Roman"/>
          <w:sz w:val="24"/>
          <w:szCs w:val="24"/>
        </w:rPr>
        <w:footnoteReference w:id="220"/>
      </w:r>
      <w:r w:rsidR="002A5E2D">
        <w:rPr>
          <w:rFonts w:ascii="Times New Roman" w:hAnsi="Times New Roman" w:cs="Times New Roman"/>
          <w:sz w:val="24"/>
          <w:szCs w:val="24"/>
        </w:rPr>
        <w:t xml:space="preserve"> The Board noted that the nature of the workplace has changed, citing statistics from</w:t>
      </w:r>
      <w:r w:rsidR="00BC6F92">
        <w:rPr>
          <w:rFonts w:ascii="Times New Roman" w:hAnsi="Times New Roman" w:cs="Times New Roman"/>
          <w:sz w:val="24"/>
          <w:szCs w:val="24"/>
        </w:rPr>
        <w:t xml:space="preserve"> the Bureau of Labor Statistics</w:t>
      </w:r>
      <w:r w:rsidR="002A5E2D">
        <w:rPr>
          <w:rFonts w:ascii="Times New Roman" w:hAnsi="Times New Roman" w:cs="Times New Roman"/>
          <w:sz w:val="24"/>
          <w:szCs w:val="24"/>
        </w:rPr>
        <w:t xml:space="preserve"> detailing how common temporary and subcontracting arrangements had become.</w:t>
      </w:r>
      <w:r w:rsidR="002A5E2D">
        <w:rPr>
          <w:rStyle w:val="FootnoteReference"/>
          <w:rFonts w:ascii="Times New Roman" w:hAnsi="Times New Roman" w:cs="Times New Roman"/>
          <w:sz w:val="24"/>
          <w:szCs w:val="24"/>
        </w:rPr>
        <w:footnoteReference w:id="221"/>
      </w:r>
      <w:r w:rsidR="00BC6F92">
        <w:rPr>
          <w:rFonts w:ascii="Times New Roman" w:hAnsi="Times New Roman" w:cs="Times New Roman"/>
          <w:sz w:val="24"/>
          <w:szCs w:val="24"/>
        </w:rPr>
        <w:t xml:space="preserve"> </w:t>
      </w:r>
      <w:r w:rsidR="002A5E2D">
        <w:rPr>
          <w:rFonts w:ascii="Times New Roman" w:hAnsi="Times New Roman" w:cs="Times New Roman"/>
          <w:sz w:val="24"/>
          <w:szCs w:val="24"/>
        </w:rPr>
        <w:t>To not broaden the standard, the Board argued, would amount to an abdication of its responsibilities to “adapt the Act to the changing patterns of industrial life.”</w:t>
      </w:r>
      <w:r w:rsidR="002A5E2D">
        <w:rPr>
          <w:rStyle w:val="FootnoteReference"/>
          <w:rFonts w:ascii="Times New Roman" w:hAnsi="Times New Roman" w:cs="Times New Roman"/>
          <w:sz w:val="24"/>
          <w:szCs w:val="24"/>
        </w:rPr>
        <w:footnoteReference w:id="222"/>
      </w:r>
      <w:r w:rsidR="002A5E2D">
        <w:rPr>
          <w:rFonts w:ascii="Times New Roman" w:hAnsi="Times New Roman" w:cs="Times New Roman"/>
          <w:sz w:val="24"/>
          <w:szCs w:val="24"/>
        </w:rPr>
        <w:t xml:space="preserve">  Following Supreme Court caselaw dictating that the Board should follow the common law agency test in determining employment relationships, the Board reasoned that the NLRA did not foreclose the Board from adopting the broader standard.</w:t>
      </w:r>
      <w:r w:rsidR="002A5E2D">
        <w:rPr>
          <w:rStyle w:val="FootnoteReference"/>
          <w:rFonts w:ascii="Times New Roman" w:hAnsi="Times New Roman" w:cs="Times New Roman"/>
          <w:sz w:val="24"/>
          <w:szCs w:val="24"/>
        </w:rPr>
        <w:footnoteReference w:id="223"/>
      </w:r>
      <w:r w:rsidR="00BC6F92">
        <w:rPr>
          <w:rFonts w:ascii="Times New Roman" w:hAnsi="Times New Roman" w:cs="Times New Roman"/>
          <w:sz w:val="24"/>
          <w:szCs w:val="24"/>
        </w:rPr>
        <w:t xml:space="preserve"> </w:t>
      </w:r>
      <w:r w:rsidR="007C6DA5">
        <w:rPr>
          <w:rFonts w:ascii="Times New Roman" w:hAnsi="Times New Roman" w:cs="Times New Roman"/>
          <w:sz w:val="24"/>
          <w:szCs w:val="24"/>
        </w:rPr>
        <w:t>A robust dissentin</w:t>
      </w:r>
      <w:r w:rsidR="00416869">
        <w:rPr>
          <w:rFonts w:ascii="Times New Roman" w:hAnsi="Times New Roman" w:cs="Times New Roman"/>
          <w:sz w:val="24"/>
          <w:szCs w:val="24"/>
        </w:rPr>
        <w:t>g opinion in the case criticized the majority on</w:t>
      </w:r>
      <w:r w:rsidR="007C6DA5">
        <w:rPr>
          <w:rFonts w:ascii="Times New Roman" w:hAnsi="Times New Roman" w:cs="Times New Roman"/>
          <w:sz w:val="24"/>
          <w:szCs w:val="24"/>
        </w:rPr>
        <w:t xml:space="preserve"> the legal issues involved with respect to what the </w:t>
      </w:r>
      <w:r w:rsidR="007C6DA5">
        <w:rPr>
          <w:rFonts w:ascii="Times New Roman" w:hAnsi="Times New Roman" w:cs="Times New Roman"/>
          <w:sz w:val="24"/>
          <w:szCs w:val="24"/>
        </w:rPr>
        <w:lastRenderedPageBreak/>
        <w:t>common law means.</w:t>
      </w:r>
      <w:r w:rsidR="007C6DA5">
        <w:rPr>
          <w:rStyle w:val="FootnoteReference"/>
          <w:rFonts w:ascii="Times New Roman" w:hAnsi="Times New Roman" w:cs="Times New Roman"/>
          <w:sz w:val="24"/>
          <w:szCs w:val="24"/>
        </w:rPr>
        <w:footnoteReference w:id="224"/>
      </w:r>
      <w:r w:rsidR="00345589">
        <w:rPr>
          <w:rFonts w:ascii="Times New Roman" w:hAnsi="Times New Roman" w:cs="Times New Roman"/>
          <w:sz w:val="24"/>
          <w:szCs w:val="24"/>
        </w:rPr>
        <w:t xml:space="preserve"> </w:t>
      </w:r>
      <w:r w:rsidR="007C6DA5">
        <w:rPr>
          <w:rFonts w:ascii="Times New Roman" w:hAnsi="Times New Roman" w:cs="Times New Roman"/>
          <w:sz w:val="24"/>
          <w:szCs w:val="24"/>
        </w:rPr>
        <w:t>As the Board argued “reevaluating doctrines, refining rules, and sometimes reversing precedent are fami</w:t>
      </w:r>
      <w:r w:rsidR="0007450B">
        <w:rPr>
          <w:rFonts w:ascii="Times New Roman" w:hAnsi="Times New Roman" w:cs="Times New Roman"/>
          <w:sz w:val="24"/>
          <w:szCs w:val="24"/>
        </w:rPr>
        <w:t>liar parts of the Board’s work</w:t>
      </w:r>
      <w:r w:rsidR="00BC6F92">
        <w:rPr>
          <w:rFonts w:ascii="Times New Roman" w:hAnsi="Times New Roman" w:cs="Times New Roman"/>
          <w:sz w:val="24"/>
          <w:szCs w:val="24"/>
        </w:rPr>
        <w:t>—</w:t>
      </w:r>
      <w:r w:rsidR="007C6DA5">
        <w:rPr>
          <w:rFonts w:ascii="Times New Roman" w:hAnsi="Times New Roman" w:cs="Times New Roman"/>
          <w:sz w:val="24"/>
          <w:szCs w:val="24"/>
        </w:rPr>
        <w:t>and rightly so.”</w:t>
      </w:r>
      <w:r w:rsidR="007C6DA5">
        <w:rPr>
          <w:rStyle w:val="FootnoteReference"/>
          <w:rFonts w:ascii="Times New Roman" w:hAnsi="Times New Roman" w:cs="Times New Roman"/>
          <w:sz w:val="24"/>
          <w:szCs w:val="24"/>
        </w:rPr>
        <w:footnoteReference w:id="225"/>
      </w:r>
    </w:p>
    <w:p w14:paraId="0F71951B" w14:textId="2414A361" w:rsidR="00597073" w:rsidRPr="002A5E2D" w:rsidRDefault="009619EA" w:rsidP="005B65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in </w:t>
      </w:r>
      <w:r w:rsidRPr="009D42A5">
        <w:rPr>
          <w:rFonts w:ascii="Times New Roman" w:hAnsi="Times New Roman" w:cs="Times New Roman"/>
          <w:i/>
          <w:sz w:val="24"/>
          <w:szCs w:val="24"/>
        </w:rPr>
        <w:t>Auc</w:t>
      </w:r>
      <w:r w:rsidR="00597073" w:rsidRPr="009D42A5">
        <w:rPr>
          <w:rFonts w:ascii="Times New Roman" w:hAnsi="Times New Roman" w:cs="Times New Roman"/>
          <w:i/>
          <w:sz w:val="24"/>
          <w:szCs w:val="24"/>
        </w:rPr>
        <w:t>iello Iron Works, Inc. et al.</w:t>
      </w:r>
      <w:r w:rsidR="00597073">
        <w:rPr>
          <w:rFonts w:ascii="Times New Roman" w:hAnsi="Times New Roman" w:cs="Times New Roman"/>
          <w:sz w:val="24"/>
          <w:szCs w:val="24"/>
        </w:rPr>
        <w:t>, the Board made a policy choice buttressed by Board and Supreme Court precedent.</w:t>
      </w:r>
      <w:r w:rsidR="00597073">
        <w:rPr>
          <w:rStyle w:val="FootnoteReference"/>
          <w:rFonts w:ascii="Times New Roman" w:hAnsi="Times New Roman" w:cs="Times New Roman"/>
          <w:sz w:val="24"/>
          <w:szCs w:val="24"/>
        </w:rPr>
        <w:footnoteReference w:id="226"/>
      </w:r>
      <w:r>
        <w:rPr>
          <w:rFonts w:ascii="Times New Roman" w:hAnsi="Times New Roman" w:cs="Times New Roman"/>
          <w:sz w:val="24"/>
          <w:szCs w:val="24"/>
        </w:rPr>
        <w:t xml:space="preserve">  In that case, the Board had to determine whether the employer could present evidence of its good faith doubt as to the level of the union’s majority support.</w:t>
      </w:r>
      <w:r>
        <w:rPr>
          <w:rStyle w:val="FootnoteReference"/>
          <w:rFonts w:ascii="Times New Roman" w:hAnsi="Times New Roman" w:cs="Times New Roman"/>
          <w:sz w:val="24"/>
          <w:szCs w:val="24"/>
        </w:rPr>
        <w:footnoteReference w:id="227"/>
      </w:r>
      <w:r>
        <w:rPr>
          <w:rFonts w:ascii="Times New Roman" w:hAnsi="Times New Roman" w:cs="Times New Roman"/>
          <w:sz w:val="24"/>
          <w:szCs w:val="24"/>
        </w:rPr>
        <w:t xml:space="preserve"> The First Circuit remanded the case for the Board to provide “policy guidance” and to address other circuit caselaw.</w:t>
      </w:r>
      <w:r>
        <w:rPr>
          <w:rStyle w:val="FootnoteReference"/>
          <w:rFonts w:ascii="Times New Roman" w:hAnsi="Times New Roman" w:cs="Times New Roman"/>
          <w:sz w:val="24"/>
          <w:szCs w:val="24"/>
        </w:rPr>
        <w:footnoteReference w:id="228"/>
      </w:r>
      <w:r>
        <w:rPr>
          <w:rFonts w:ascii="Times New Roman" w:hAnsi="Times New Roman" w:cs="Times New Roman"/>
          <w:sz w:val="24"/>
          <w:szCs w:val="24"/>
        </w:rPr>
        <w:t xml:space="preserve"> In ruling the Board reasoned that both policy and “practicalities support the rule that, if an employer is aware of objective evidence to support a good-faith doubt before the union accepts its offer [to bargain in good faith], it must, for the defense to be timely raised, act on this doubt before the union accepts its offer.”</w:t>
      </w:r>
      <w:r>
        <w:rPr>
          <w:rStyle w:val="FootnoteReference"/>
          <w:rFonts w:ascii="Times New Roman" w:hAnsi="Times New Roman" w:cs="Times New Roman"/>
          <w:sz w:val="24"/>
          <w:szCs w:val="24"/>
        </w:rPr>
        <w:footnoteReference w:id="229"/>
      </w:r>
    </w:p>
    <w:p w14:paraId="59455D45" w14:textId="5BE8053F" w:rsidR="00CE4446" w:rsidRPr="0068765B" w:rsidRDefault="00CE4446" w:rsidP="007E0531">
      <w:pPr>
        <w:pStyle w:val="ListParagraph"/>
        <w:numPr>
          <w:ilvl w:val="0"/>
          <w:numId w:val="9"/>
        </w:numPr>
        <w:spacing w:after="0" w:line="480" w:lineRule="auto"/>
        <w:rPr>
          <w:rFonts w:ascii="Times New Roman" w:hAnsi="Times New Roman" w:cs="Times New Roman"/>
          <w:b/>
          <w:sz w:val="24"/>
          <w:szCs w:val="24"/>
        </w:rPr>
      </w:pPr>
      <w:r w:rsidRPr="0068765B">
        <w:rPr>
          <w:rFonts w:ascii="Times New Roman" w:hAnsi="Times New Roman" w:cs="Times New Roman"/>
          <w:b/>
          <w:sz w:val="24"/>
          <w:szCs w:val="24"/>
        </w:rPr>
        <w:t>Conclusions About Board Majority’s Use of Statutory Methods</w:t>
      </w:r>
    </w:p>
    <w:p w14:paraId="76B4EDDC" w14:textId="691FB75E" w:rsidR="005764D7" w:rsidRDefault="00CE4446" w:rsidP="005F55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all</w:t>
      </w:r>
      <w:r w:rsidR="00BC6F92">
        <w:rPr>
          <w:rFonts w:ascii="Times New Roman" w:hAnsi="Times New Roman" w:cs="Times New Roman"/>
          <w:sz w:val="24"/>
          <w:szCs w:val="24"/>
        </w:rPr>
        <w:t>,</w:t>
      </w:r>
      <w:r>
        <w:rPr>
          <w:rFonts w:ascii="Times New Roman" w:hAnsi="Times New Roman" w:cs="Times New Roman"/>
          <w:sz w:val="24"/>
          <w:szCs w:val="24"/>
        </w:rPr>
        <w:t xml:space="preserve"> the Board uses a mix of methods to inform meaning to statutory terms. While policy concerns and caselaw predominate in informing statu</w:t>
      </w:r>
      <w:r w:rsidR="00824049">
        <w:rPr>
          <w:rFonts w:ascii="Times New Roman" w:hAnsi="Times New Roman" w:cs="Times New Roman"/>
          <w:sz w:val="24"/>
          <w:szCs w:val="24"/>
        </w:rPr>
        <w:t>tor</w:t>
      </w:r>
      <w:r>
        <w:rPr>
          <w:rFonts w:ascii="Times New Roman" w:hAnsi="Times New Roman" w:cs="Times New Roman"/>
          <w:sz w:val="24"/>
          <w:szCs w:val="24"/>
        </w:rPr>
        <w:t xml:space="preserve">y meaning, the Board also engages in more traditional statutory interpretation processes, relying on the plain meaning of the text itself, or how the text relates to other parts of the statute or code. Moreover, the Board frequently invokes legislative history, but such invocation has been somewhat uneven being more as a disguise to veil policy arguments rather than a legitimate source of informing meaning </w:t>
      </w:r>
      <w:r>
        <w:rPr>
          <w:rFonts w:ascii="Times New Roman" w:hAnsi="Times New Roman" w:cs="Times New Roman"/>
          <w:sz w:val="24"/>
          <w:szCs w:val="24"/>
        </w:rPr>
        <w:lastRenderedPageBreak/>
        <w:t xml:space="preserve">of the </w:t>
      </w:r>
      <w:r w:rsidR="005F554A">
        <w:rPr>
          <w:rFonts w:ascii="Times New Roman" w:hAnsi="Times New Roman" w:cs="Times New Roman"/>
          <w:sz w:val="24"/>
          <w:szCs w:val="24"/>
        </w:rPr>
        <w:t xml:space="preserve">statute. </w:t>
      </w:r>
      <w:r w:rsidR="005201F2">
        <w:rPr>
          <w:rFonts w:ascii="Times New Roman" w:hAnsi="Times New Roman" w:cs="Times New Roman"/>
          <w:sz w:val="24"/>
          <w:szCs w:val="24"/>
        </w:rPr>
        <w:t xml:space="preserve">Majority boards cite to widely varying sources of legislative history, ranging from conference reports to Senate committee reports. In many instances, however, the Board simply pronounced that the legislative history is one thing or another, often without any citation except to another Board or Supreme Court case. </w:t>
      </w:r>
      <w:r w:rsidR="005D6EF3" w:rsidRPr="00FC6F7D">
        <w:rPr>
          <w:rFonts w:ascii="Times New Roman" w:hAnsi="Times New Roman" w:cs="Times New Roman"/>
          <w:sz w:val="24"/>
          <w:szCs w:val="24"/>
        </w:rPr>
        <w:t>All in all, Republican Board members as a whole were no more likely than Democratic Board members to engage in a textualist approach,</w:t>
      </w:r>
      <w:r w:rsidR="005F554A">
        <w:rPr>
          <w:rFonts w:ascii="Times New Roman" w:hAnsi="Times New Roman" w:cs="Times New Roman"/>
          <w:sz w:val="24"/>
          <w:szCs w:val="24"/>
        </w:rPr>
        <w:t xml:space="preserve"> and Democrats were no more likely to be purposivists than Republican</w:t>
      </w:r>
      <w:r w:rsidR="005D6EF3" w:rsidRPr="00FC6F7D">
        <w:rPr>
          <w:rFonts w:ascii="Times New Roman" w:hAnsi="Times New Roman" w:cs="Times New Roman"/>
          <w:sz w:val="24"/>
          <w:szCs w:val="24"/>
        </w:rPr>
        <w:t xml:space="preserve">. </w:t>
      </w:r>
      <w:r w:rsidR="005F554A">
        <w:rPr>
          <w:rFonts w:ascii="Times New Roman" w:hAnsi="Times New Roman" w:cs="Times New Roman"/>
          <w:sz w:val="24"/>
          <w:szCs w:val="24"/>
        </w:rPr>
        <w:t xml:space="preserve">Ideology does not dictate methodological choice. </w:t>
      </w:r>
      <w:r w:rsidR="005D6EF3" w:rsidRPr="00FC6F7D">
        <w:rPr>
          <w:rFonts w:ascii="Times New Roman" w:hAnsi="Times New Roman" w:cs="Times New Roman"/>
          <w:sz w:val="24"/>
          <w:szCs w:val="24"/>
        </w:rPr>
        <w:t>Rather, the evidence showed that Board members selectively use statutory modes of interpretation</w:t>
      </w:r>
      <w:r w:rsidR="00824049">
        <w:rPr>
          <w:rFonts w:ascii="Times New Roman" w:hAnsi="Times New Roman" w:cs="Times New Roman"/>
          <w:sz w:val="24"/>
          <w:szCs w:val="24"/>
        </w:rPr>
        <w:t xml:space="preserve"> to advance policy objectives. </w:t>
      </w:r>
    </w:p>
    <w:p w14:paraId="20078D6A" w14:textId="7EF173FE" w:rsidR="005F554A" w:rsidRDefault="005F554A" w:rsidP="005F55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cert</w:t>
      </w:r>
      <w:r w:rsidR="0007450B">
        <w:rPr>
          <w:rFonts w:ascii="Times New Roman" w:hAnsi="Times New Roman" w:cs="Times New Roman"/>
          <w:sz w:val="24"/>
          <w:szCs w:val="24"/>
        </w:rPr>
        <w:t xml:space="preserve">ain methods changed over time. </w:t>
      </w:r>
      <w:r>
        <w:rPr>
          <w:rFonts w:ascii="Times New Roman" w:hAnsi="Times New Roman" w:cs="Times New Roman"/>
          <w:sz w:val="24"/>
          <w:szCs w:val="24"/>
        </w:rPr>
        <w:t>Making decisions based solely on policy considerations has increased during the Obama Board. Use of legislative history in general has markedly decreased s</w:t>
      </w:r>
      <w:r w:rsidR="00415716">
        <w:rPr>
          <w:rFonts w:ascii="Times New Roman" w:hAnsi="Times New Roman" w:cs="Times New Roman"/>
          <w:sz w:val="24"/>
          <w:szCs w:val="24"/>
        </w:rPr>
        <w:t>ince the Clinton administration, a trend that Walker found as well among his survey respondents.</w:t>
      </w:r>
      <w:r w:rsidR="00415716">
        <w:rPr>
          <w:rStyle w:val="FootnoteReference"/>
          <w:rFonts w:ascii="Times New Roman" w:hAnsi="Times New Roman" w:cs="Times New Roman"/>
          <w:sz w:val="24"/>
          <w:szCs w:val="24"/>
        </w:rPr>
        <w:footnoteReference w:id="230"/>
      </w:r>
      <w:r>
        <w:rPr>
          <w:rFonts w:ascii="Times New Roman" w:hAnsi="Times New Roman" w:cs="Times New Roman"/>
          <w:sz w:val="24"/>
          <w:szCs w:val="24"/>
        </w:rPr>
        <w:t xml:space="preserve"> </w:t>
      </w:r>
      <w:r w:rsidR="005201F2">
        <w:rPr>
          <w:rFonts w:ascii="Times New Roman" w:hAnsi="Times New Roman" w:cs="Times New Roman"/>
          <w:sz w:val="24"/>
          <w:szCs w:val="24"/>
        </w:rPr>
        <w:t xml:space="preserve">Finally, although the sample size is small and we must take the results with caution, it is interesting to note that the minority Boards often used the methodological choice most often associated with the current administration. For instance, Republican panels during the Clinton administration used legislative history more and Democratic panels during the Bush II administration tended to like to use textualism more than normal. Again, given the small sample size of these panels during these time periods, we cannot make much of the results, but it would be interesting to see if longer term and over more cases whether out of party Board members will adopt the statutory methodological choice most traditionally associated with the </w:t>
      </w:r>
      <w:r w:rsidR="005201F2">
        <w:rPr>
          <w:rFonts w:ascii="Times New Roman" w:hAnsi="Times New Roman" w:cs="Times New Roman"/>
          <w:sz w:val="24"/>
          <w:szCs w:val="24"/>
        </w:rPr>
        <w:lastRenderedPageBreak/>
        <w:t>in-party president (that is, Democrats being more textualist during Republican administrations, and Republicans being more purposive during Democratic administrations).</w:t>
      </w:r>
    </w:p>
    <w:p w14:paraId="7661F02E" w14:textId="15022304" w:rsidR="00B33157" w:rsidRDefault="00B33157" w:rsidP="005F55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Board frequently referred to the whole code and whole act rules, though not in name. That the Board often interprets words consistently throughout a stat</w:t>
      </w:r>
      <w:r w:rsidR="00E65E99">
        <w:rPr>
          <w:rFonts w:ascii="Times New Roman" w:hAnsi="Times New Roman" w:cs="Times New Roman"/>
          <w:sz w:val="24"/>
          <w:szCs w:val="24"/>
        </w:rPr>
        <w:t>ute may be problematic. Respondents in the Gluck and Bressman survey, for instance, noted “significant organizational barriers that the committee system, bundled legislative deals, and lengthy, multidrafter statutes pose to the realistic operation of these rules.”</w:t>
      </w:r>
      <w:r w:rsidR="00E65E99">
        <w:rPr>
          <w:rStyle w:val="FootnoteReference"/>
          <w:rFonts w:ascii="Times New Roman" w:hAnsi="Times New Roman" w:cs="Times New Roman"/>
          <w:sz w:val="24"/>
          <w:szCs w:val="24"/>
        </w:rPr>
        <w:footnoteReference w:id="231"/>
      </w:r>
      <w:r w:rsidR="00E65E99">
        <w:rPr>
          <w:rFonts w:ascii="Times New Roman" w:hAnsi="Times New Roman" w:cs="Times New Roman"/>
          <w:sz w:val="24"/>
          <w:szCs w:val="24"/>
        </w:rPr>
        <w:t xml:space="preserve"> While “consistent usage” of a similar term may be the “goal,” in reality, Congress is not organized to always make that happen in any kind of systematic way. </w:t>
      </w:r>
      <w:r w:rsidR="00E65E99">
        <w:rPr>
          <w:rStyle w:val="FootnoteReference"/>
          <w:rFonts w:ascii="Times New Roman" w:hAnsi="Times New Roman" w:cs="Times New Roman"/>
          <w:sz w:val="24"/>
          <w:szCs w:val="24"/>
        </w:rPr>
        <w:footnoteReference w:id="232"/>
      </w:r>
      <w:r w:rsidR="00E65E99">
        <w:rPr>
          <w:rFonts w:ascii="Times New Roman" w:hAnsi="Times New Roman" w:cs="Times New Roman"/>
          <w:sz w:val="24"/>
          <w:szCs w:val="24"/>
        </w:rPr>
        <w:t xml:space="preserve"> </w:t>
      </w:r>
      <w:r w:rsidR="00C457A9">
        <w:rPr>
          <w:rFonts w:ascii="Times New Roman" w:hAnsi="Times New Roman" w:cs="Times New Roman"/>
          <w:sz w:val="24"/>
          <w:szCs w:val="24"/>
        </w:rPr>
        <w:t>Thus, in construing the text, the Board may believe that the NLRA is written more consistently than it actually is in practice. Concern over using the whole act rule may be especially problematic when the Board uses parts of the law directed at union abuses to inform meaning about employer abuses. The legislative history of those sections were written at different times in dramatically different political climates, and as such, the Board should be cautious in extrapolating</w:t>
      </w:r>
      <w:r w:rsidR="003415F4">
        <w:rPr>
          <w:rFonts w:ascii="Times New Roman" w:hAnsi="Times New Roman" w:cs="Times New Roman"/>
          <w:sz w:val="24"/>
          <w:szCs w:val="24"/>
        </w:rPr>
        <w:t xml:space="preserve"> from one section to</w:t>
      </w:r>
      <w:r w:rsidR="00C457A9">
        <w:rPr>
          <w:rFonts w:ascii="Times New Roman" w:hAnsi="Times New Roman" w:cs="Times New Roman"/>
          <w:sz w:val="24"/>
          <w:szCs w:val="24"/>
        </w:rPr>
        <w:t xml:space="preserve"> another.</w:t>
      </w:r>
      <w:r w:rsidR="0048169C">
        <w:rPr>
          <w:rStyle w:val="FootnoteReference"/>
          <w:rFonts w:ascii="Times New Roman" w:hAnsi="Times New Roman" w:cs="Times New Roman"/>
          <w:sz w:val="24"/>
          <w:szCs w:val="24"/>
        </w:rPr>
        <w:footnoteReference w:id="233"/>
      </w:r>
    </w:p>
    <w:p w14:paraId="083E8051" w14:textId="20CDED01" w:rsidR="00CE4446" w:rsidRPr="005F554A" w:rsidRDefault="005D6EF3" w:rsidP="005F554A">
      <w:pPr>
        <w:pStyle w:val="ListParagraph"/>
        <w:numPr>
          <w:ilvl w:val="0"/>
          <w:numId w:val="6"/>
        </w:numPr>
        <w:spacing w:after="0" w:line="480" w:lineRule="auto"/>
        <w:rPr>
          <w:rFonts w:ascii="Times New Roman" w:hAnsi="Times New Roman" w:cs="Times New Roman"/>
          <w:b/>
          <w:sz w:val="24"/>
          <w:szCs w:val="24"/>
        </w:rPr>
      </w:pPr>
      <w:r w:rsidRPr="005F554A">
        <w:rPr>
          <w:rFonts w:ascii="Times New Roman" w:hAnsi="Times New Roman" w:cs="Times New Roman"/>
          <w:b/>
          <w:sz w:val="24"/>
          <w:szCs w:val="24"/>
        </w:rPr>
        <w:t>“</w:t>
      </w:r>
      <w:r w:rsidR="00CE4446" w:rsidRPr="005F554A">
        <w:rPr>
          <w:rFonts w:ascii="Times New Roman" w:hAnsi="Times New Roman" w:cs="Times New Roman"/>
          <w:b/>
          <w:sz w:val="24"/>
          <w:szCs w:val="24"/>
        </w:rPr>
        <w:t>Dueling</w:t>
      </w:r>
      <w:r w:rsidRPr="005F554A">
        <w:rPr>
          <w:rFonts w:ascii="Times New Roman" w:hAnsi="Times New Roman" w:cs="Times New Roman"/>
          <w:b/>
          <w:sz w:val="24"/>
          <w:szCs w:val="24"/>
        </w:rPr>
        <w:t>”</w:t>
      </w:r>
      <w:r w:rsidR="00CE4446" w:rsidRPr="005F554A">
        <w:rPr>
          <w:rFonts w:ascii="Times New Roman" w:hAnsi="Times New Roman" w:cs="Times New Roman"/>
          <w:b/>
          <w:sz w:val="24"/>
          <w:szCs w:val="24"/>
        </w:rPr>
        <w:t xml:space="preserve"> Statutory Interpretation</w:t>
      </w:r>
      <w:r w:rsidRPr="005F554A">
        <w:rPr>
          <w:rFonts w:ascii="Times New Roman" w:hAnsi="Times New Roman" w:cs="Times New Roman"/>
          <w:b/>
          <w:sz w:val="24"/>
          <w:szCs w:val="24"/>
        </w:rPr>
        <w:t>s</w:t>
      </w:r>
    </w:p>
    <w:p w14:paraId="3F0D5ECA" w14:textId="34234A3E" w:rsidR="00CE4446" w:rsidRDefault="00CE4446" w:rsidP="00DB6A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About 80% of the Board majority decisions concerning statutory interpretation had a dissent</w:t>
      </w:r>
      <w:r w:rsidR="005D6EF3">
        <w:rPr>
          <w:rFonts w:ascii="Times New Roman" w:hAnsi="Times New Roman" w:cs="Times New Roman"/>
          <w:sz w:val="24"/>
          <w:szCs w:val="24"/>
        </w:rPr>
        <w:t xml:space="preserve"> in the database</w:t>
      </w:r>
      <w:r>
        <w:rPr>
          <w:rFonts w:ascii="Times New Roman" w:hAnsi="Times New Roman" w:cs="Times New Roman"/>
          <w:sz w:val="24"/>
          <w:szCs w:val="24"/>
        </w:rPr>
        <w:t xml:space="preserve">. The dissent “teams” are somewhat consistent. </w:t>
      </w:r>
      <w:r w:rsidR="00E86D02">
        <w:rPr>
          <w:rFonts w:ascii="Times New Roman" w:hAnsi="Times New Roman" w:cs="Times New Roman"/>
          <w:sz w:val="24"/>
          <w:szCs w:val="24"/>
        </w:rPr>
        <w:t>During the Clinton administration, Board members Hurtgen and Brame often united in dissent, whereas during the Bush II administration, Liebman and Walsh differed from the majority. In the Obama years, Republican</w:t>
      </w:r>
      <w:r w:rsidR="00CA3E50">
        <w:rPr>
          <w:rFonts w:ascii="Times New Roman" w:hAnsi="Times New Roman" w:cs="Times New Roman"/>
          <w:sz w:val="24"/>
          <w:szCs w:val="24"/>
        </w:rPr>
        <w:t>s</w:t>
      </w:r>
      <w:r w:rsidR="00E86D02">
        <w:rPr>
          <w:rFonts w:ascii="Times New Roman" w:hAnsi="Times New Roman" w:cs="Times New Roman"/>
          <w:sz w:val="24"/>
          <w:szCs w:val="24"/>
        </w:rPr>
        <w:t xml:space="preserve"> Miscimarra and Johnson frequently write long detailed dissents. </w:t>
      </w:r>
      <w:r w:rsidR="00FC3A54">
        <w:rPr>
          <w:rFonts w:ascii="Times New Roman" w:hAnsi="Times New Roman" w:cs="Times New Roman"/>
          <w:sz w:val="24"/>
          <w:szCs w:val="24"/>
        </w:rPr>
        <w:t xml:space="preserve">The proclivity to dissent has increased over time; whereas Board members dissented in just 69% of cases during </w:t>
      </w:r>
      <w:r w:rsidR="00FC3A54">
        <w:rPr>
          <w:rFonts w:ascii="Times New Roman" w:hAnsi="Times New Roman" w:cs="Times New Roman"/>
          <w:sz w:val="24"/>
          <w:szCs w:val="24"/>
        </w:rPr>
        <w:lastRenderedPageBreak/>
        <w:t>the Clinton administration, the number of dissents rose to 90% and 88%, respectively, during the Bush II and Obama administrations, at least among the statutory interpretation c</w:t>
      </w:r>
      <w:r w:rsidR="00824049">
        <w:rPr>
          <w:rFonts w:ascii="Times New Roman" w:hAnsi="Times New Roman" w:cs="Times New Roman"/>
          <w:sz w:val="24"/>
          <w:szCs w:val="24"/>
        </w:rPr>
        <w:t xml:space="preserve">ases included in the database. </w:t>
      </w:r>
      <w:r w:rsidR="00FC3A54">
        <w:rPr>
          <w:rFonts w:ascii="Times New Roman" w:hAnsi="Times New Roman" w:cs="Times New Roman"/>
          <w:sz w:val="24"/>
          <w:szCs w:val="24"/>
        </w:rPr>
        <w:t>As such, we have a rich treasure trove in which to explore how dissenting Board members responded to the statutory methodologies relied on by majority Board members.</w:t>
      </w:r>
    </w:p>
    <w:p w14:paraId="34964FC8" w14:textId="44FB93A2" w:rsidR="00FC3A54" w:rsidRDefault="00FC3A54" w:rsidP="00DB6A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 I</w:t>
      </w:r>
      <w:r w:rsidR="00E86D02">
        <w:rPr>
          <w:rFonts w:ascii="Times New Roman" w:hAnsi="Times New Roman" w:cs="Times New Roman"/>
          <w:sz w:val="24"/>
          <w:szCs w:val="24"/>
        </w:rPr>
        <w:t>I</w:t>
      </w:r>
      <w:r w:rsidR="00DB5385">
        <w:rPr>
          <w:rFonts w:ascii="Times New Roman" w:hAnsi="Times New Roman" w:cs="Times New Roman"/>
          <w:sz w:val="24"/>
          <w:szCs w:val="24"/>
        </w:rPr>
        <w:t>.</w:t>
      </w:r>
      <w:proofErr w:type="gramStart"/>
      <w:r w:rsidR="00DB5385">
        <w:rPr>
          <w:rFonts w:ascii="Times New Roman" w:hAnsi="Times New Roman" w:cs="Times New Roman"/>
          <w:sz w:val="24"/>
          <w:szCs w:val="24"/>
        </w:rPr>
        <w:t>D</w:t>
      </w:r>
      <w:r>
        <w:rPr>
          <w:rFonts w:ascii="Times New Roman" w:hAnsi="Times New Roman" w:cs="Times New Roman"/>
          <w:sz w:val="24"/>
          <w:szCs w:val="24"/>
        </w:rPr>
        <w:t>.i</w:t>
      </w:r>
      <w:proofErr w:type="gramEnd"/>
      <w:r>
        <w:rPr>
          <w:rFonts w:ascii="Times New Roman" w:hAnsi="Times New Roman" w:cs="Times New Roman"/>
          <w:sz w:val="24"/>
          <w:szCs w:val="24"/>
        </w:rPr>
        <w:t xml:space="preserve"> provides the general background of the methodologies dissenting members used followed by a </w:t>
      </w:r>
      <w:r w:rsidR="00DB5385">
        <w:rPr>
          <w:rFonts w:ascii="Times New Roman" w:hAnsi="Times New Roman" w:cs="Times New Roman"/>
          <w:sz w:val="24"/>
          <w:szCs w:val="24"/>
        </w:rPr>
        <w:t>detailed assessment in Part II.D</w:t>
      </w:r>
      <w:r>
        <w:rPr>
          <w:rFonts w:ascii="Times New Roman" w:hAnsi="Times New Roman" w:cs="Times New Roman"/>
          <w:sz w:val="24"/>
          <w:szCs w:val="24"/>
        </w:rPr>
        <w:t>.ii concerning the extent to which the majority and dissenting Board members used either similar or conflicting methodologies in interpreting precedent.</w:t>
      </w:r>
      <w:r w:rsidR="000B650D" w:rsidRPr="000B650D">
        <w:rPr>
          <w:rFonts w:ascii="Times New Roman" w:hAnsi="Times New Roman" w:cs="Times New Roman"/>
          <w:sz w:val="24"/>
          <w:szCs w:val="24"/>
        </w:rPr>
        <w:t xml:space="preserve"> </w:t>
      </w:r>
      <w:r w:rsidR="000B650D" w:rsidRPr="00FC6F7D">
        <w:rPr>
          <w:rFonts w:ascii="Times New Roman" w:hAnsi="Times New Roman" w:cs="Times New Roman"/>
          <w:sz w:val="24"/>
          <w:szCs w:val="24"/>
        </w:rPr>
        <w:t>Board members may “duel” with each other in a textual matter by 1) focusing on different words; 2) focusing on the text of differe</w:t>
      </w:r>
      <w:r w:rsidR="000B650D">
        <w:rPr>
          <w:rFonts w:ascii="Times New Roman" w:hAnsi="Times New Roman" w:cs="Times New Roman"/>
          <w:sz w:val="24"/>
          <w:szCs w:val="24"/>
        </w:rPr>
        <w:t xml:space="preserve">nt statutes; or 3) focusing on </w:t>
      </w:r>
      <w:r w:rsidR="000B650D" w:rsidRPr="00FC6F7D">
        <w:rPr>
          <w:rFonts w:ascii="Times New Roman" w:hAnsi="Times New Roman" w:cs="Times New Roman"/>
          <w:sz w:val="24"/>
          <w:szCs w:val="24"/>
        </w:rPr>
        <w:t>the same word but ascribe a different meaning to the text.</w:t>
      </w:r>
      <w:r w:rsidR="000B650D" w:rsidRPr="00FC6F7D">
        <w:rPr>
          <w:rStyle w:val="FootnoteReference"/>
          <w:rFonts w:ascii="Times New Roman" w:hAnsi="Times New Roman" w:cs="Times New Roman"/>
          <w:sz w:val="24"/>
          <w:szCs w:val="24"/>
        </w:rPr>
        <w:footnoteReference w:id="234"/>
      </w:r>
      <w:r w:rsidR="000B650D">
        <w:rPr>
          <w:rFonts w:ascii="Times New Roman" w:hAnsi="Times New Roman" w:cs="Times New Roman"/>
          <w:sz w:val="24"/>
          <w:szCs w:val="24"/>
        </w:rPr>
        <w:t xml:space="preserve"> Purposivists can also</w:t>
      </w:r>
      <w:r w:rsidR="000B650D" w:rsidRPr="00FC6F7D">
        <w:rPr>
          <w:rFonts w:ascii="Times New Roman" w:hAnsi="Times New Roman" w:cs="Times New Roman"/>
          <w:sz w:val="24"/>
          <w:szCs w:val="24"/>
        </w:rPr>
        <w:t xml:space="preserve"> “duel” with each other </w:t>
      </w:r>
      <w:r w:rsidR="000B650D">
        <w:rPr>
          <w:rFonts w:ascii="Times New Roman" w:hAnsi="Times New Roman" w:cs="Times New Roman"/>
          <w:sz w:val="24"/>
          <w:szCs w:val="24"/>
        </w:rPr>
        <w:t xml:space="preserve">by </w:t>
      </w:r>
      <w:r w:rsidR="000B650D" w:rsidRPr="00FC6F7D">
        <w:rPr>
          <w:rFonts w:ascii="Times New Roman" w:hAnsi="Times New Roman" w:cs="Times New Roman"/>
          <w:sz w:val="24"/>
          <w:szCs w:val="24"/>
        </w:rPr>
        <w:t>1) focusing on different, competing purposes; 2) focus</w:t>
      </w:r>
      <w:r w:rsidR="000B650D">
        <w:rPr>
          <w:rFonts w:ascii="Times New Roman" w:hAnsi="Times New Roman" w:cs="Times New Roman"/>
          <w:sz w:val="24"/>
          <w:szCs w:val="24"/>
        </w:rPr>
        <w:t>ing</w:t>
      </w:r>
      <w:r w:rsidR="000B650D" w:rsidRPr="00FC6F7D">
        <w:rPr>
          <w:rFonts w:ascii="Times New Roman" w:hAnsi="Times New Roman" w:cs="Times New Roman"/>
          <w:sz w:val="24"/>
          <w:szCs w:val="24"/>
        </w:rPr>
        <w:t xml:space="preserve"> on </w:t>
      </w:r>
      <w:r w:rsidR="000B650D">
        <w:rPr>
          <w:rFonts w:ascii="Times New Roman" w:hAnsi="Times New Roman" w:cs="Times New Roman"/>
          <w:sz w:val="24"/>
          <w:szCs w:val="24"/>
        </w:rPr>
        <w:t xml:space="preserve">the </w:t>
      </w:r>
      <w:r w:rsidR="000B650D" w:rsidRPr="00FC6F7D">
        <w:rPr>
          <w:rFonts w:ascii="Times New Roman" w:hAnsi="Times New Roman" w:cs="Times New Roman"/>
          <w:sz w:val="24"/>
          <w:szCs w:val="24"/>
        </w:rPr>
        <w:t xml:space="preserve">same purpose but draw different conclusions about that purpose; or 3) </w:t>
      </w:r>
      <w:r w:rsidR="000B650D">
        <w:rPr>
          <w:rFonts w:ascii="Times New Roman" w:hAnsi="Times New Roman" w:cs="Times New Roman"/>
          <w:sz w:val="24"/>
          <w:szCs w:val="24"/>
        </w:rPr>
        <w:t>focusing</w:t>
      </w:r>
      <w:r w:rsidR="000B650D" w:rsidRPr="00FC6F7D">
        <w:rPr>
          <w:rFonts w:ascii="Times New Roman" w:hAnsi="Times New Roman" w:cs="Times New Roman"/>
          <w:sz w:val="24"/>
          <w:szCs w:val="24"/>
        </w:rPr>
        <w:t xml:space="preserve"> on a broad, general statutory purpose while another one focuses on narrowly drawn specific purpose</w:t>
      </w:r>
      <w:r w:rsidR="000B650D">
        <w:rPr>
          <w:rFonts w:ascii="Times New Roman" w:hAnsi="Times New Roman" w:cs="Times New Roman"/>
          <w:sz w:val="24"/>
          <w:szCs w:val="24"/>
        </w:rPr>
        <w:t>s</w:t>
      </w:r>
      <w:r w:rsidR="000B650D" w:rsidRPr="00FC6F7D">
        <w:rPr>
          <w:rFonts w:ascii="Times New Roman" w:hAnsi="Times New Roman" w:cs="Times New Roman"/>
          <w:sz w:val="24"/>
          <w:szCs w:val="24"/>
        </w:rPr>
        <w:t>.</w:t>
      </w:r>
      <w:r w:rsidR="000B650D" w:rsidRPr="00FC6F7D">
        <w:rPr>
          <w:rStyle w:val="FootnoteReference"/>
          <w:rFonts w:ascii="Times New Roman" w:hAnsi="Times New Roman" w:cs="Times New Roman"/>
          <w:sz w:val="24"/>
          <w:szCs w:val="24"/>
        </w:rPr>
        <w:footnoteReference w:id="235"/>
      </w:r>
      <w:r w:rsidR="000B650D">
        <w:rPr>
          <w:rFonts w:ascii="Times New Roman" w:hAnsi="Times New Roman" w:cs="Times New Roman"/>
          <w:sz w:val="24"/>
          <w:szCs w:val="24"/>
        </w:rPr>
        <w:t xml:space="preserve">  </w:t>
      </w:r>
    </w:p>
    <w:p w14:paraId="5F0F199C" w14:textId="385E08C7" w:rsidR="000B650D" w:rsidRPr="004663C3" w:rsidRDefault="005D6EF3" w:rsidP="004663C3">
      <w:pPr>
        <w:pStyle w:val="ListParagraph"/>
        <w:numPr>
          <w:ilvl w:val="0"/>
          <w:numId w:val="18"/>
        </w:numPr>
        <w:spacing w:after="0" w:line="480" w:lineRule="auto"/>
        <w:rPr>
          <w:rFonts w:ascii="Times New Roman" w:hAnsi="Times New Roman" w:cs="Times New Roman"/>
          <w:b/>
          <w:sz w:val="24"/>
          <w:szCs w:val="24"/>
        </w:rPr>
      </w:pPr>
      <w:r w:rsidRPr="004663C3">
        <w:rPr>
          <w:rFonts w:ascii="Times New Roman" w:hAnsi="Times New Roman" w:cs="Times New Roman"/>
          <w:b/>
          <w:sz w:val="24"/>
          <w:szCs w:val="24"/>
        </w:rPr>
        <w:t>General Dissenting Methodologies</w:t>
      </w:r>
    </w:p>
    <w:p w14:paraId="719B7547" w14:textId="36CB2749" w:rsidR="005D6EF3" w:rsidRDefault="0000725F" w:rsidP="00DB6A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Compared to the majority opinions, dissenting Board employs use similar interpretive met</w:t>
      </w:r>
      <w:r w:rsidR="00204F85">
        <w:rPr>
          <w:rFonts w:ascii="Times New Roman" w:hAnsi="Times New Roman" w:cs="Times New Roman"/>
          <w:sz w:val="24"/>
          <w:szCs w:val="24"/>
        </w:rPr>
        <w:t>hodologies, as shown in Table 8 and Figure 8</w:t>
      </w:r>
      <w:r>
        <w:rPr>
          <w:rFonts w:ascii="Times New Roman" w:hAnsi="Times New Roman" w:cs="Times New Roman"/>
          <w:sz w:val="24"/>
          <w:szCs w:val="24"/>
        </w:rPr>
        <w:t>. Percentages are within a few points of the numbers given previously for majority opinions with two notable exceptions: Dissenting opinions rely somewhat less on a primarily textual methodology (9% v. 21% for majority opinions), but in turn dissenting opinions use practical considerations to support its reasoning more so than majority decisions (</w:t>
      </w:r>
      <w:r w:rsidR="00A8720B">
        <w:rPr>
          <w:rFonts w:ascii="Times New Roman" w:hAnsi="Times New Roman" w:cs="Times New Roman"/>
          <w:sz w:val="24"/>
          <w:szCs w:val="24"/>
        </w:rPr>
        <w:t>48% v. 36%).</w:t>
      </w:r>
      <w:r w:rsidR="00824049">
        <w:rPr>
          <w:rFonts w:ascii="Times New Roman" w:hAnsi="Times New Roman" w:cs="Times New Roman"/>
          <w:sz w:val="24"/>
          <w:szCs w:val="24"/>
        </w:rPr>
        <w:t xml:space="preserve"> </w:t>
      </w:r>
      <w:r w:rsidR="007C2F86">
        <w:rPr>
          <w:rFonts w:ascii="Times New Roman" w:hAnsi="Times New Roman" w:cs="Times New Roman"/>
          <w:sz w:val="24"/>
          <w:szCs w:val="24"/>
        </w:rPr>
        <w:t xml:space="preserve">Moreover, dissenting opinions use legislative history more in election/bargaining unit cases than in unfair labor practice cases to a statistically </w:t>
      </w:r>
      <w:r w:rsidR="007C2F86">
        <w:rPr>
          <w:rFonts w:ascii="Times New Roman" w:hAnsi="Times New Roman" w:cs="Times New Roman"/>
          <w:sz w:val="24"/>
          <w:szCs w:val="24"/>
        </w:rPr>
        <w:lastRenderedPageBreak/>
        <w:t>significant degree, and they resort to practical considerations in dissenting cases involving unfair labor practices levied against unions compared to other types of cases.</w:t>
      </w:r>
    </w:p>
    <w:p w14:paraId="65DC3EFB" w14:textId="398735E7" w:rsidR="004663C3" w:rsidRPr="004663C3" w:rsidRDefault="0069219C" w:rsidP="0048169C">
      <w:pPr>
        <w:spacing w:after="0" w:line="480" w:lineRule="auto"/>
        <w:rPr>
          <w:rFonts w:ascii="Times New Roman" w:hAnsi="Times New Roman" w:cs="Times New Roman"/>
          <w:b/>
          <w:sz w:val="24"/>
          <w:szCs w:val="24"/>
        </w:rPr>
      </w:pPr>
      <w:r>
        <w:rPr>
          <w:rFonts w:ascii="Times New Roman" w:hAnsi="Times New Roman" w:cs="Times New Roman"/>
          <w:b/>
          <w:sz w:val="24"/>
          <w:szCs w:val="24"/>
        </w:rPr>
        <w:t>Table 8: Dueling Methodologies, by Case Type (Percent)</w:t>
      </w:r>
    </w:p>
    <w:tbl>
      <w:tblPr>
        <w:tblStyle w:val="TableGrid"/>
        <w:tblW w:w="0" w:type="auto"/>
        <w:tblLook w:val="04A0" w:firstRow="1" w:lastRow="0" w:firstColumn="1" w:lastColumn="0" w:noHBand="0" w:noVBand="1"/>
      </w:tblPr>
      <w:tblGrid>
        <w:gridCol w:w="2185"/>
        <w:gridCol w:w="1009"/>
        <w:gridCol w:w="1175"/>
        <w:gridCol w:w="1789"/>
        <w:gridCol w:w="1277"/>
        <w:gridCol w:w="817"/>
        <w:gridCol w:w="1098"/>
      </w:tblGrid>
      <w:tr w:rsidR="0000725F" w14:paraId="1258D9C0" w14:textId="77777777" w:rsidTr="00046FCE">
        <w:tc>
          <w:tcPr>
            <w:tcW w:w="2185" w:type="dxa"/>
          </w:tcPr>
          <w:p w14:paraId="2EC909F9" w14:textId="77777777" w:rsidR="0000725F" w:rsidRPr="0069219C" w:rsidRDefault="0000725F" w:rsidP="00BC6F92">
            <w:pPr>
              <w:spacing w:after="0" w:line="240" w:lineRule="auto"/>
              <w:rPr>
                <w:rFonts w:ascii="Times New Roman" w:hAnsi="Times New Roman" w:cs="Times New Roman"/>
                <w:sz w:val="20"/>
                <w:szCs w:val="24"/>
              </w:rPr>
            </w:pPr>
          </w:p>
        </w:tc>
        <w:tc>
          <w:tcPr>
            <w:tcW w:w="1009" w:type="dxa"/>
          </w:tcPr>
          <w:p w14:paraId="71905990" w14:textId="13CC89E7" w:rsidR="0000725F" w:rsidRPr="0069219C" w:rsidRDefault="0000725F"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General Text</w:t>
            </w:r>
          </w:p>
        </w:tc>
        <w:tc>
          <w:tcPr>
            <w:tcW w:w="1175" w:type="dxa"/>
          </w:tcPr>
          <w:p w14:paraId="49C8EDC9" w14:textId="28D32143" w:rsidR="0000725F" w:rsidRPr="0069219C" w:rsidRDefault="0000725F"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Primarily Text</w:t>
            </w:r>
          </w:p>
        </w:tc>
        <w:tc>
          <w:tcPr>
            <w:tcW w:w="1789" w:type="dxa"/>
          </w:tcPr>
          <w:p w14:paraId="3C571741" w14:textId="46AFBF9C" w:rsidR="0000725F" w:rsidRPr="0069219C" w:rsidRDefault="0000725F"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Latin/Language Canons</w:t>
            </w:r>
          </w:p>
        </w:tc>
        <w:tc>
          <w:tcPr>
            <w:tcW w:w="1277" w:type="dxa"/>
          </w:tcPr>
          <w:p w14:paraId="7423ED48" w14:textId="5F56AD52" w:rsidR="0000725F" w:rsidRPr="0069219C" w:rsidRDefault="0000725F"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Legislative History</w:t>
            </w:r>
          </w:p>
        </w:tc>
        <w:tc>
          <w:tcPr>
            <w:tcW w:w="817" w:type="dxa"/>
          </w:tcPr>
          <w:p w14:paraId="2152C6BD" w14:textId="1B4400FA" w:rsidR="0000725F" w:rsidRPr="0069219C" w:rsidRDefault="0000725F"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Policy</w:t>
            </w:r>
          </w:p>
        </w:tc>
        <w:tc>
          <w:tcPr>
            <w:tcW w:w="1098" w:type="dxa"/>
          </w:tcPr>
          <w:p w14:paraId="7F9F0391" w14:textId="1AE636A9" w:rsidR="0000725F" w:rsidRPr="0069219C" w:rsidRDefault="0000725F"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Practical</w:t>
            </w:r>
          </w:p>
        </w:tc>
      </w:tr>
      <w:tr w:rsidR="0000725F" w14:paraId="34B501FF" w14:textId="77777777" w:rsidTr="00046FCE">
        <w:tc>
          <w:tcPr>
            <w:tcW w:w="2185" w:type="dxa"/>
          </w:tcPr>
          <w:p w14:paraId="75A648D4" w14:textId="0AF8E42D" w:rsidR="0000725F" w:rsidRPr="0069219C" w:rsidRDefault="00A8720B"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All Cases</w:t>
            </w:r>
          </w:p>
        </w:tc>
        <w:tc>
          <w:tcPr>
            <w:tcW w:w="1009" w:type="dxa"/>
          </w:tcPr>
          <w:p w14:paraId="0744E20F" w14:textId="0CCBC1F2" w:rsidR="0000725F" w:rsidRPr="0069219C" w:rsidRDefault="0000725F"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45</w:t>
            </w:r>
          </w:p>
        </w:tc>
        <w:tc>
          <w:tcPr>
            <w:tcW w:w="1175" w:type="dxa"/>
          </w:tcPr>
          <w:p w14:paraId="78A1026F" w14:textId="7FDC1E80" w:rsidR="0000725F" w:rsidRPr="0069219C" w:rsidRDefault="0000725F"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10</w:t>
            </w:r>
          </w:p>
        </w:tc>
        <w:tc>
          <w:tcPr>
            <w:tcW w:w="1789" w:type="dxa"/>
          </w:tcPr>
          <w:p w14:paraId="53E743E0" w14:textId="3A8B208B" w:rsidR="0000725F" w:rsidRPr="0069219C" w:rsidRDefault="0000725F"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33</w:t>
            </w:r>
          </w:p>
        </w:tc>
        <w:tc>
          <w:tcPr>
            <w:tcW w:w="1277" w:type="dxa"/>
          </w:tcPr>
          <w:p w14:paraId="6A23C369" w14:textId="066C3AB5" w:rsidR="0000725F" w:rsidRPr="0069219C" w:rsidRDefault="0000725F"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43</w:t>
            </w:r>
          </w:p>
        </w:tc>
        <w:tc>
          <w:tcPr>
            <w:tcW w:w="817" w:type="dxa"/>
          </w:tcPr>
          <w:p w14:paraId="790C8794" w14:textId="0114ECCD" w:rsidR="0000725F" w:rsidRPr="0069219C" w:rsidRDefault="0000725F"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89</w:t>
            </w:r>
          </w:p>
        </w:tc>
        <w:tc>
          <w:tcPr>
            <w:tcW w:w="1098" w:type="dxa"/>
          </w:tcPr>
          <w:p w14:paraId="70BA434E" w14:textId="1ACD2D0C" w:rsidR="0000725F" w:rsidRPr="0069219C" w:rsidRDefault="0000725F"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48</w:t>
            </w:r>
          </w:p>
        </w:tc>
      </w:tr>
      <w:tr w:rsidR="0000725F" w14:paraId="6E08D293" w14:textId="77777777" w:rsidTr="00046FCE">
        <w:tc>
          <w:tcPr>
            <w:tcW w:w="2185" w:type="dxa"/>
          </w:tcPr>
          <w:p w14:paraId="1F1A5474" w14:textId="76296484" w:rsidR="0000725F" w:rsidRPr="0069219C" w:rsidRDefault="00A8720B"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ULP</w:t>
            </w:r>
            <w:r w:rsidR="007C2F86" w:rsidRPr="0069219C">
              <w:rPr>
                <w:rFonts w:ascii="Times New Roman" w:hAnsi="Times New Roman" w:cs="Times New Roman"/>
                <w:b/>
                <w:sz w:val="20"/>
                <w:szCs w:val="24"/>
              </w:rPr>
              <w:t xml:space="preserve"> Against Employer</w:t>
            </w:r>
          </w:p>
        </w:tc>
        <w:tc>
          <w:tcPr>
            <w:tcW w:w="1009" w:type="dxa"/>
          </w:tcPr>
          <w:p w14:paraId="50269E30" w14:textId="7D4745AE"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39</w:t>
            </w:r>
          </w:p>
        </w:tc>
        <w:tc>
          <w:tcPr>
            <w:tcW w:w="1175" w:type="dxa"/>
          </w:tcPr>
          <w:p w14:paraId="748F6C2E" w14:textId="71397495"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9</w:t>
            </w:r>
          </w:p>
        </w:tc>
        <w:tc>
          <w:tcPr>
            <w:tcW w:w="1789" w:type="dxa"/>
          </w:tcPr>
          <w:p w14:paraId="3D360B42" w14:textId="22A70C93"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37</w:t>
            </w:r>
          </w:p>
        </w:tc>
        <w:tc>
          <w:tcPr>
            <w:tcW w:w="1277" w:type="dxa"/>
          </w:tcPr>
          <w:p w14:paraId="5D5AC834" w14:textId="13B8C9EA"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36**</w:t>
            </w:r>
          </w:p>
        </w:tc>
        <w:tc>
          <w:tcPr>
            <w:tcW w:w="817" w:type="dxa"/>
          </w:tcPr>
          <w:p w14:paraId="7EBF5BF0" w14:textId="6703BD35"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95</w:t>
            </w:r>
          </w:p>
        </w:tc>
        <w:tc>
          <w:tcPr>
            <w:tcW w:w="1098" w:type="dxa"/>
          </w:tcPr>
          <w:p w14:paraId="0E36F95B" w14:textId="62712FAC"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54***</w:t>
            </w:r>
          </w:p>
        </w:tc>
      </w:tr>
      <w:tr w:rsidR="0000725F" w14:paraId="590BBE94" w14:textId="77777777" w:rsidTr="00046FCE">
        <w:tc>
          <w:tcPr>
            <w:tcW w:w="2185" w:type="dxa"/>
          </w:tcPr>
          <w:p w14:paraId="63834C48" w14:textId="2D021B1C" w:rsidR="0000725F" w:rsidRPr="0069219C" w:rsidRDefault="007C2F86"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ULP Against Union</w:t>
            </w:r>
          </w:p>
        </w:tc>
        <w:tc>
          <w:tcPr>
            <w:tcW w:w="1009" w:type="dxa"/>
          </w:tcPr>
          <w:p w14:paraId="3F12622A" w14:textId="32490F6F"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49</w:t>
            </w:r>
          </w:p>
        </w:tc>
        <w:tc>
          <w:tcPr>
            <w:tcW w:w="1175" w:type="dxa"/>
          </w:tcPr>
          <w:p w14:paraId="3F4CB056" w14:textId="443A72C9"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8</w:t>
            </w:r>
          </w:p>
        </w:tc>
        <w:tc>
          <w:tcPr>
            <w:tcW w:w="1789" w:type="dxa"/>
          </w:tcPr>
          <w:p w14:paraId="7C15AD3A" w14:textId="7D9A3825"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35</w:t>
            </w:r>
          </w:p>
        </w:tc>
        <w:tc>
          <w:tcPr>
            <w:tcW w:w="1277" w:type="dxa"/>
          </w:tcPr>
          <w:p w14:paraId="66A3900A" w14:textId="3326DB51"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38**</w:t>
            </w:r>
          </w:p>
        </w:tc>
        <w:tc>
          <w:tcPr>
            <w:tcW w:w="817" w:type="dxa"/>
          </w:tcPr>
          <w:p w14:paraId="2BD9C725" w14:textId="157E9B5C"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83</w:t>
            </w:r>
          </w:p>
        </w:tc>
        <w:tc>
          <w:tcPr>
            <w:tcW w:w="1098" w:type="dxa"/>
          </w:tcPr>
          <w:p w14:paraId="5CB9A56A" w14:textId="52500233"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22***</w:t>
            </w:r>
          </w:p>
        </w:tc>
      </w:tr>
      <w:tr w:rsidR="0000725F" w14:paraId="370D56E6" w14:textId="77777777" w:rsidTr="00046FCE">
        <w:tc>
          <w:tcPr>
            <w:tcW w:w="2185" w:type="dxa"/>
          </w:tcPr>
          <w:p w14:paraId="329B2343" w14:textId="44D6BE17" w:rsidR="0000725F" w:rsidRPr="0069219C" w:rsidRDefault="007C2F86" w:rsidP="00BC6F92">
            <w:pPr>
              <w:spacing w:after="0" w:line="240" w:lineRule="auto"/>
              <w:rPr>
                <w:rFonts w:ascii="Times New Roman" w:hAnsi="Times New Roman" w:cs="Times New Roman"/>
                <w:b/>
                <w:sz w:val="20"/>
                <w:szCs w:val="24"/>
              </w:rPr>
            </w:pPr>
            <w:r w:rsidRPr="0069219C">
              <w:rPr>
                <w:rFonts w:ascii="Times New Roman" w:hAnsi="Times New Roman" w:cs="Times New Roman"/>
                <w:b/>
                <w:sz w:val="20"/>
                <w:szCs w:val="24"/>
              </w:rPr>
              <w:t>Election/Bargaining Unit</w:t>
            </w:r>
          </w:p>
        </w:tc>
        <w:tc>
          <w:tcPr>
            <w:tcW w:w="1009" w:type="dxa"/>
          </w:tcPr>
          <w:p w14:paraId="04A47F9C" w14:textId="37E1EC77"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55</w:t>
            </w:r>
          </w:p>
        </w:tc>
        <w:tc>
          <w:tcPr>
            <w:tcW w:w="1175" w:type="dxa"/>
          </w:tcPr>
          <w:p w14:paraId="35C034FA" w14:textId="11527033"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13</w:t>
            </w:r>
          </w:p>
        </w:tc>
        <w:tc>
          <w:tcPr>
            <w:tcW w:w="1789" w:type="dxa"/>
          </w:tcPr>
          <w:p w14:paraId="29BD223B" w14:textId="2068CDFE"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25</w:t>
            </w:r>
          </w:p>
        </w:tc>
        <w:tc>
          <w:tcPr>
            <w:tcW w:w="1277" w:type="dxa"/>
          </w:tcPr>
          <w:p w14:paraId="57D6E8E1" w14:textId="74B88CF0"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63**</w:t>
            </w:r>
          </w:p>
        </w:tc>
        <w:tc>
          <w:tcPr>
            <w:tcW w:w="817" w:type="dxa"/>
          </w:tcPr>
          <w:p w14:paraId="6AB0E976" w14:textId="351ACAA0"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94</w:t>
            </w:r>
          </w:p>
        </w:tc>
        <w:tc>
          <w:tcPr>
            <w:tcW w:w="1098" w:type="dxa"/>
          </w:tcPr>
          <w:p w14:paraId="1FF93906" w14:textId="6D7F93A5" w:rsidR="0000725F" w:rsidRPr="0069219C" w:rsidRDefault="007C2F86" w:rsidP="00BC6F92">
            <w:pPr>
              <w:spacing w:after="0" w:line="240" w:lineRule="auto"/>
              <w:rPr>
                <w:rFonts w:ascii="Times New Roman" w:hAnsi="Times New Roman" w:cs="Times New Roman"/>
                <w:sz w:val="20"/>
                <w:szCs w:val="24"/>
              </w:rPr>
            </w:pPr>
            <w:r w:rsidRPr="0069219C">
              <w:rPr>
                <w:rFonts w:ascii="Times New Roman" w:hAnsi="Times New Roman" w:cs="Times New Roman"/>
                <w:sz w:val="20"/>
                <w:szCs w:val="24"/>
              </w:rPr>
              <w:t>60***</w:t>
            </w:r>
          </w:p>
        </w:tc>
      </w:tr>
    </w:tbl>
    <w:p w14:paraId="01D91442" w14:textId="580324D2" w:rsidR="005F554A" w:rsidRDefault="005F554A" w:rsidP="00E86D02">
      <w:pPr>
        <w:spacing w:after="0" w:line="480" w:lineRule="auto"/>
        <w:ind w:firstLine="720"/>
        <w:rPr>
          <w:rFonts w:ascii="Times New Roman" w:hAnsi="Times New Roman" w:cs="Times New Roman"/>
          <w:sz w:val="24"/>
          <w:szCs w:val="24"/>
        </w:rPr>
      </w:pPr>
    </w:p>
    <w:p w14:paraId="7FEAEBC8" w14:textId="4DB8FE6C" w:rsidR="005F554A" w:rsidRDefault="00204F85" w:rsidP="005F554A">
      <w:pPr>
        <w:spacing w:after="0" w:line="480" w:lineRule="auto"/>
        <w:rPr>
          <w:noProof/>
        </w:rPr>
      </w:pPr>
      <w:r>
        <w:rPr>
          <w:rFonts w:ascii="Times New Roman" w:hAnsi="Times New Roman" w:cs="Times New Roman"/>
          <w:b/>
          <w:sz w:val="24"/>
          <w:szCs w:val="24"/>
        </w:rPr>
        <w:t>Figure 8</w:t>
      </w:r>
    </w:p>
    <w:p w14:paraId="10C1C233" w14:textId="6E91358E" w:rsidR="005F554A" w:rsidRPr="005F554A" w:rsidRDefault="005F554A" w:rsidP="005F554A">
      <w:pPr>
        <w:spacing w:after="0" w:line="480" w:lineRule="auto"/>
        <w:rPr>
          <w:rFonts w:ascii="Times New Roman" w:hAnsi="Times New Roman" w:cs="Times New Roman"/>
          <w:b/>
          <w:sz w:val="24"/>
          <w:szCs w:val="24"/>
        </w:rPr>
      </w:pPr>
      <w:r w:rsidRPr="003859E0">
        <w:rPr>
          <w:noProof/>
        </w:rPr>
        <w:drawing>
          <wp:inline distT="0" distB="0" distL="0" distR="0" wp14:anchorId="1B10257E" wp14:editId="557B1994">
            <wp:extent cx="5118100" cy="3746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48E12679" w14:textId="02D3E908" w:rsidR="00FC3A54" w:rsidRDefault="000B6E8B" w:rsidP="00DB6A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tables in the next section breaks down the data by both partisan ideology of the dissent as well as the presidential administration.</w:t>
      </w:r>
      <w:r w:rsidR="00824049">
        <w:rPr>
          <w:rFonts w:ascii="Times New Roman" w:hAnsi="Times New Roman" w:cs="Times New Roman"/>
          <w:sz w:val="24"/>
          <w:szCs w:val="24"/>
        </w:rPr>
        <w:t xml:space="preserve"> </w:t>
      </w:r>
      <w:r w:rsidR="00992DCF">
        <w:rPr>
          <w:rFonts w:ascii="Times New Roman" w:hAnsi="Times New Roman" w:cs="Times New Roman"/>
          <w:sz w:val="24"/>
          <w:szCs w:val="24"/>
        </w:rPr>
        <w:t>Broken down by party</w:t>
      </w:r>
      <w:r w:rsidR="004A2C45">
        <w:rPr>
          <w:rFonts w:ascii="Times New Roman" w:hAnsi="Times New Roman" w:cs="Times New Roman"/>
          <w:sz w:val="24"/>
          <w:szCs w:val="24"/>
        </w:rPr>
        <w:t xml:space="preserve"> in Table 9</w:t>
      </w:r>
      <w:r w:rsidR="00992DCF">
        <w:rPr>
          <w:rFonts w:ascii="Times New Roman" w:hAnsi="Times New Roman" w:cs="Times New Roman"/>
          <w:sz w:val="24"/>
          <w:szCs w:val="24"/>
        </w:rPr>
        <w:t>, Democratic dissents and Republican dissents use methodologies in similar ways; the only difference being that Democratic dissents use legislative history more than Republican dissen</w:t>
      </w:r>
      <w:r w:rsidR="00824049">
        <w:rPr>
          <w:rFonts w:ascii="Times New Roman" w:hAnsi="Times New Roman" w:cs="Times New Roman"/>
          <w:sz w:val="24"/>
          <w:szCs w:val="24"/>
        </w:rPr>
        <w:t xml:space="preserve">ts overall (58% v. </w:t>
      </w:r>
      <w:r w:rsidR="00824049">
        <w:rPr>
          <w:rFonts w:ascii="Times New Roman" w:hAnsi="Times New Roman" w:cs="Times New Roman"/>
          <w:sz w:val="24"/>
          <w:szCs w:val="24"/>
        </w:rPr>
        <w:lastRenderedPageBreak/>
        <w:t xml:space="preserve">38%). </w:t>
      </w:r>
      <w:r w:rsidR="004A2C45">
        <w:rPr>
          <w:rFonts w:ascii="Times New Roman" w:hAnsi="Times New Roman" w:cs="Times New Roman"/>
          <w:sz w:val="24"/>
          <w:szCs w:val="24"/>
        </w:rPr>
        <w:t>Table 10</w:t>
      </w:r>
      <w:r w:rsidR="00992DCF">
        <w:rPr>
          <w:rFonts w:ascii="Times New Roman" w:hAnsi="Times New Roman" w:cs="Times New Roman"/>
          <w:sz w:val="24"/>
          <w:szCs w:val="24"/>
        </w:rPr>
        <w:t xml:space="preserve"> divides the data broken up by presidential administration. Clearly, the use of both policy and practical reasoning in the dissent has increased markedly si</w:t>
      </w:r>
      <w:r w:rsidR="00824049">
        <w:rPr>
          <w:rFonts w:ascii="Times New Roman" w:hAnsi="Times New Roman" w:cs="Times New Roman"/>
          <w:sz w:val="24"/>
          <w:szCs w:val="24"/>
        </w:rPr>
        <w:t>nce the Clinton administration.</w:t>
      </w:r>
      <w:r w:rsidR="00992DCF">
        <w:rPr>
          <w:rFonts w:ascii="Times New Roman" w:hAnsi="Times New Roman" w:cs="Times New Roman"/>
          <w:sz w:val="24"/>
          <w:szCs w:val="24"/>
        </w:rPr>
        <w:t xml:space="preserve"> To a 99% degree of confidence, we can say there is a statistically significant difference between administrations based on the dissent’s use of policy and practical considerations, with dissents during the Clinton era evoking such considerations much less than duri</w:t>
      </w:r>
      <w:r w:rsidR="00AA09A7">
        <w:rPr>
          <w:rFonts w:ascii="Times New Roman" w:hAnsi="Times New Roman" w:cs="Times New Roman"/>
          <w:sz w:val="24"/>
          <w:szCs w:val="24"/>
        </w:rPr>
        <w:t xml:space="preserve">ng the Bush II and Obama eras. </w:t>
      </w:r>
      <w:r w:rsidR="00992DCF">
        <w:rPr>
          <w:rFonts w:ascii="Times New Roman" w:hAnsi="Times New Roman" w:cs="Times New Roman"/>
          <w:sz w:val="24"/>
          <w:szCs w:val="24"/>
        </w:rPr>
        <w:t>A text-based approach to dissents also appears to be higher during the Bush II administration, but the results are not statistically significant.</w:t>
      </w:r>
      <w:r w:rsidR="00AA09A7">
        <w:rPr>
          <w:rFonts w:ascii="Times New Roman" w:hAnsi="Times New Roman" w:cs="Times New Roman"/>
          <w:sz w:val="24"/>
          <w:szCs w:val="24"/>
        </w:rPr>
        <w:t xml:space="preserve"> Board members Liebman and Walsh often dissented to decisions during this Republican-dominated period.</w:t>
      </w:r>
    </w:p>
    <w:p w14:paraId="53F266FD" w14:textId="69ABAC65" w:rsidR="004663C3" w:rsidRPr="004A2C45" w:rsidRDefault="004A2C45" w:rsidP="004663C3">
      <w:pPr>
        <w:spacing w:after="0" w:line="480" w:lineRule="auto"/>
        <w:rPr>
          <w:rFonts w:ascii="Times New Roman" w:hAnsi="Times New Roman" w:cs="Times New Roman"/>
          <w:b/>
          <w:sz w:val="20"/>
          <w:szCs w:val="24"/>
        </w:rPr>
      </w:pPr>
      <w:r>
        <w:rPr>
          <w:rFonts w:ascii="Times New Roman" w:hAnsi="Times New Roman" w:cs="Times New Roman"/>
          <w:b/>
          <w:sz w:val="20"/>
          <w:szCs w:val="24"/>
        </w:rPr>
        <w:t>Table 9: Dissenting</w:t>
      </w:r>
      <w:r w:rsidRPr="004A2C45">
        <w:rPr>
          <w:rFonts w:ascii="Times New Roman" w:hAnsi="Times New Roman" w:cs="Times New Roman"/>
          <w:b/>
          <w:sz w:val="20"/>
          <w:szCs w:val="24"/>
        </w:rPr>
        <w:t xml:space="preserve"> Methodologies, by Dissenting Party (Percent)</w:t>
      </w:r>
    </w:p>
    <w:tbl>
      <w:tblPr>
        <w:tblStyle w:val="TableGrid"/>
        <w:tblW w:w="0" w:type="auto"/>
        <w:tblInd w:w="113" w:type="dxa"/>
        <w:tblLook w:val="04A0" w:firstRow="1" w:lastRow="0" w:firstColumn="1" w:lastColumn="0" w:noHBand="0" w:noVBand="1"/>
      </w:tblPr>
      <w:tblGrid>
        <w:gridCol w:w="1177"/>
        <w:gridCol w:w="1211"/>
        <w:gridCol w:w="1285"/>
        <w:gridCol w:w="1857"/>
        <w:gridCol w:w="1330"/>
        <w:gridCol w:w="1126"/>
        <w:gridCol w:w="1251"/>
      </w:tblGrid>
      <w:tr w:rsidR="000B6E8B" w:rsidRPr="004A2C45" w14:paraId="670658E4" w14:textId="77777777" w:rsidTr="009C5CA2">
        <w:tc>
          <w:tcPr>
            <w:tcW w:w="1177" w:type="dxa"/>
          </w:tcPr>
          <w:p w14:paraId="2FB0B68F" w14:textId="77777777" w:rsidR="000B6E8B" w:rsidRPr="004A2C45" w:rsidRDefault="000B6E8B" w:rsidP="00BC6F92">
            <w:pPr>
              <w:spacing w:after="0" w:line="240" w:lineRule="auto"/>
              <w:rPr>
                <w:rFonts w:ascii="Times New Roman" w:hAnsi="Times New Roman" w:cs="Times New Roman"/>
                <w:sz w:val="20"/>
                <w:szCs w:val="24"/>
              </w:rPr>
            </w:pPr>
          </w:p>
        </w:tc>
        <w:tc>
          <w:tcPr>
            <w:tcW w:w="1211" w:type="dxa"/>
          </w:tcPr>
          <w:p w14:paraId="295865B7" w14:textId="14C7078C"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General Text</w:t>
            </w:r>
          </w:p>
        </w:tc>
        <w:tc>
          <w:tcPr>
            <w:tcW w:w="1285" w:type="dxa"/>
          </w:tcPr>
          <w:p w14:paraId="3F42E82F" w14:textId="327936B7"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Primarily Text</w:t>
            </w:r>
          </w:p>
        </w:tc>
        <w:tc>
          <w:tcPr>
            <w:tcW w:w="1857" w:type="dxa"/>
          </w:tcPr>
          <w:p w14:paraId="04D23097" w14:textId="6F34CE70"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Latin/Language Canons</w:t>
            </w:r>
          </w:p>
        </w:tc>
        <w:tc>
          <w:tcPr>
            <w:tcW w:w="1330" w:type="dxa"/>
          </w:tcPr>
          <w:p w14:paraId="0E9EB859" w14:textId="57E09539"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Legislative History</w:t>
            </w:r>
          </w:p>
        </w:tc>
        <w:tc>
          <w:tcPr>
            <w:tcW w:w="1126" w:type="dxa"/>
          </w:tcPr>
          <w:p w14:paraId="7A12D73D" w14:textId="5DC99355"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Policy</w:t>
            </w:r>
          </w:p>
        </w:tc>
        <w:tc>
          <w:tcPr>
            <w:tcW w:w="1251" w:type="dxa"/>
          </w:tcPr>
          <w:p w14:paraId="3FD8461B" w14:textId="192605BD"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Practical</w:t>
            </w:r>
          </w:p>
        </w:tc>
      </w:tr>
      <w:tr w:rsidR="000B6E8B" w:rsidRPr="004A2C45" w14:paraId="24FB92E0" w14:textId="77777777" w:rsidTr="009C5CA2">
        <w:tc>
          <w:tcPr>
            <w:tcW w:w="1177" w:type="dxa"/>
          </w:tcPr>
          <w:p w14:paraId="798D0FEC" w14:textId="022C3C31" w:rsidR="000B6E8B" w:rsidRPr="004A2C45" w:rsidRDefault="005764D7"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 xml:space="preserve">Dem. </w:t>
            </w:r>
          </w:p>
        </w:tc>
        <w:tc>
          <w:tcPr>
            <w:tcW w:w="1211" w:type="dxa"/>
          </w:tcPr>
          <w:p w14:paraId="33A8BC8F" w14:textId="6881ABCE" w:rsidR="000B6E8B" w:rsidRPr="004A2C45" w:rsidRDefault="000B6E8B"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67</w:t>
            </w:r>
          </w:p>
        </w:tc>
        <w:tc>
          <w:tcPr>
            <w:tcW w:w="1285" w:type="dxa"/>
          </w:tcPr>
          <w:p w14:paraId="6B567C1C" w14:textId="588315B2" w:rsidR="000B6E8B" w:rsidRPr="004A2C45" w:rsidRDefault="000B6E8B"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12</w:t>
            </w:r>
          </w:p>
        </w:tc>
        <w:tc>
          <w:tcPr>
            <w:tcW w:w="1857" w:type="dxa"/>
          </w:tcPr>
          <w:p w14:paraId="6FE426EB" w14:textId="09DE064D" w:rsidR="000B6E8B" w:rsidRPr="004A2C45" w:rsidRDefault="000B6E8B"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33</w:t>
            </w:r>
          </w:p>
        </w:tc>
        <w:tc>
          <w:tcPr>
            <w:tcW w:w="1330" w:type="dxa"/>
          </w:tcPr>
          <w:p w14:paraId="1EB6032E" w14:textId="491A790D" w:rsidR="000B6E8B" w:rsidRPr="004A2C45" w:rsidRDefault="000B6E8B"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58*</w:t>
            </w:r>
          </w:p>
        </w:tc>
        <w:tc>
          <w:tcPr>
            <w:tcW w:w="1126" w:type="dxa"/>
          </w:tcPr>
          <w:p w14:paraId="47A4AE4A" w14:textId="07856834"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97</w:t>
            </w:r>
          </w:p>
        </w:tc>
        <w:tc>
          <w:tcPr>
            <w:tcW w:w="1251" w:type="dxa"/>
          </w:tcPr>
          <w:p w14:paraId="13BF17AA" w14:textId="77D8EC10"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48</w:t>
            </w:r>
          </w:p>
        </w:tc>
      </w:tr>
      <w:tr w:rsidR="000B6E8B" w:rsidRPr="004A2C45" w14:paraId="0124438C" w14:textId="77777777" w:rsidTr="009C5CA2">
        <w:tc>
          <w:tcPr>
            <w:tcW w:w="1177" w:type="dxa"/>
          </w:tcPr>
          <w:p w14:paraId="623E651A" w14:textId="29D80A72" w:rsidR="000B6E8B" w:rsidRPr="004A2C45" w:rsidRDefault="005764D7"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 xml:space="preserve">Rep. </w:t>
            </w:r>
          </w:p>
        </w:tc>
        <w:tc>
          <w:tcPr>
            <w:tcW w:w="1211" w:type="dxa"/>
          </w:tcPr>
          <w:p w14:paraId="0EB98C76" w14:textId="51A8EC6E" w:rsidR="000B6E8B" w:rsidRPr="004A2C45" w:rsidRDefault="000B6E8B"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51</w:t>
            </w:r>
          </w:p>
        </w:tc>
        <w:tc>
          <w:tcPr>
            <w:tcW w:w="1285" w:type="dxa"/>
          </w:tcPr>
          <w:p w14:paraId="7F4E4190" w14:textId="37E4306C" w:rsidR="000B6E8B" w:rsidRPr="004A2C45" w:rsidRDefault="000B6E8B"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9</w:t>
            </w:r>
          </w:p>
        </w:tc>
        <w:tc>
          <w:tcPr>
            <w:tcW w:w="1857" w:type="dxa"/>
          </w:tcPr>
          <w:p w14:paraId="78362214" w14:textId="25A47BC9" w:rsidR="000B6E8B" w:rsidRPr="004A2C45" w:rsidRDefault="000B6E8B"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32</w:t>
            </w:r>
          </w:p>
        </w:tc>
        <w:tc>
          <w:tcPr>
            <w:tcW w:w="1330" w:type="dxa"/>
          </w:tcPr>
          <w:p w14:paraId="4FC64157" w14:textId="17A2B307" w:rsidR="000B6E8B" w:rsidRPr="004A2C45" w:rsidRDefault="000B6E8B"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38*</w:t>
            </w:r>
          </w:p>
        </w:tc>
        <w:tc>
          <w:tcPr>
            <w:tcW w:w="1126" w:type="dxa"/>
          </w:tcPr>
          <w:p w14:paraId="03C58BFD" w14:textId="23FB397B"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87</w:t>
            </w:r>
          </w:p>
        </w:tc>
        <w:tc>
          <w:tcPr>
            <w:tcW w:w="1251" w:type="dxa"/>
          </w:tcPr>
          <w:p w14:paraId="4C98132B" w14:textId="57E50D7C"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47</w:t>
            </w:r>
          </w:p>
        </w:tc>
      </w:tr>
    </w:tbl>
    <w:p w14:paraId="7028D4B1" w14:textId="77777777" w:rsidR="004663C3" w:rsidRPr="004A2C45" w:rsidRDefault="004663C3" w:rsidP="004663C3">
      <w:pPr>
        <w:spacing w:after="0" w:line="480" w:lineRule="auto"/>
        <w:rPr>
          <w:rFonts w:ascii="Times New Roman" w:hAnsi="Times New Roman" w:cs="Times New Roman"/>
          <w:sz w:val="18"/>
          <w:szCs w:val="24"/>
        </w:rPr>
      </w:pPr>
    </w:p>
    <w:p w14:paraId="3E920C67" w14:textId="2968387A" w:rsidR="004663C3" w:rsidRPr="004A2C45" w:rsidRDefault="004A2C45" w:rsidP="004663C3">
      <w:pPr>
        <w:spacing w:after="0" w:line="480" w:lineRule="auto"/>
        <w:rPr>
          <w:rFonts w:ascii="Times New Roman" w:hAnsi="Times New Roman" w:cs="Times New Roman"/>
          <w:b/>
          <w:sz w:val="20"/>
          <w:szCs w:val="24"/>
        </w:rPr>
      </w:pPr>
      <w:r>
        <w:rPr>
          <w:rFonts w:ascii="Times New Roman" w:hAnsi="Times New Roman" w:cs="Times New Roman"/>
          <w:b/>
          <w:sz w:val="20"/>
          <w:szCs w:val="24"/>
        </w:rPr>
        <w:t>Table 10: Dissenting</w:t>
      </w:r>
      <w:r w:rsidRPr="004A2C45">
        <w:rPr>
          <w:rFonts w:ascii="Times New Roman" w:hAnsi="Times New Roman" w:cs="Times New Roman"/>
          <w:b/>
          <w:sz w:val="20"/>
          <w:szCs w:val="24"/>
        </w:rPr>
        <w:t xml:space="preserve"> Methodologies, by Administration (Percent)</w:t>
      </w:r>
    </w:p>
    <w:tbl>
      <w:tblPr>
        <w:tblStyle w:val="TableGrid"/>
        <w:tblW w:w="0" w:type="auto"/>
        <w:tblInd w:w="113" w:type="dxa"/>
        <w:tblLook w:val="04A0" w:firstRow="1" w:lastRow="0" w:firstColumn="1" w:lastColumn="0" w:noHBand="0" w:noVBand="1"/>
      </w:tblPr>
      <w:tblGrid>
        <w:gridCol w:w="1261"/>
        <w:gridCol w:w="1269"/>
        <w:gridCol w:w="1292"/>
        <w:gridCol w:w="1583"/>
        <w:gridCol w:w="1306"/>
        <w:gridCol w:w="1244"/>
        <w:gridCol w:w="1282"/>
      </w:tblGrid>
      <w:tr w:rsidR="000B6E8B" w:rsidRPr="004A2C45" w14:paraId="02C7359F" w14:textId="77777777" w:rsidTr="000B6E8B">
        <w:tc>
          <w:tcPr>
            <w:tcW w:w="1335" w:type="dxa"/>
          </w:tcPr>
          <w:p w14:paraId="4CC43709" w14:textId="77777777" w:rsidR="000B6E8B" w:rsidRPr="004A2C45" w:rsidRDefault="000B6E8B" w:rsidP="00BC6F92">
            <w:pPr>
              <w:spacing w:after="0" w:line="240" w:lineRule="auto"/>
              <w:rPr>
                <w:rFonts w:ascii="Times New Roman" w:hAnsi="Times New Roman" w:cs="Times New Roman"/>
                <w:sz w:val="20"/>
                <w:szCs w:val="24"/>
              </w:rPr>
            </w:pPr>
          </w:p>
        </w:tc>
        <w:tc>
          <w:tcPr>
            <w:tcW w:w="1335" w:type="dxa"/>
          </w:tcPr>
          <w:p w14:paraId="1E8043C4" w14:textId="7C35CB50"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General Text</w:t>
            </w:r>
          </w:p>
        </w:tc>
        <w:tc>
          <w:tcPr>
            <w:tcW w:w="1336" w:type="dxa"/>
          </w:tcPr>
          <w:p w14:paraId="39B47478" w14:textId="36C5AE67"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Primarily Text</w:t>
            </w:r>
          </w:p>
        </w:tc>
        <w:tc>
          <w:tcPr>
            <w:tcW w:w="1336" w:type="dxa"/>
          </w:tcPr>
          <w:p w14:paraId="5AE4F742" w14:textId="58C08673"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Latin/Language Canons</w:t>
            </w:r>
          </w:p>
        </w:tc>
        <w:tc>
          <w:tcPr>
            <w:tcW w:w="1336" w:type="dxa"/>
          </w:tcPr>
          <w:p w14:paraId="1CEE8CC0" w14:textId="6CF2CC3B"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Legislative History</w:t>
            </w:r>
          </w:p>
        </w:tc>
        <w:tc>
          <w:tcPr>
            <w:tcW w:w="1336" w:type="dxa"/>
          </w:tcPr>
          <w:p w14:paraId="069A5933" w14:textId="3991E733" w:rsidR="000B6E8B" w:rsidRPr="004A2C45" w:rsidRDefault="000B6E8B" w:rsidP="00DB6A7C">
            <w:pPr>
              <w:spacing w:after="0" w:line="480" w:lineRule="auto"/>
              <w:rPr>
                <w:rFonts w:ascii="Times New Roman" w:hAnsi="Times New Roman" w:cs="Times New Roman"/>
                <w:b/>
                <w:sz w:val="20"/>
                <w:szCs w:val="24"/>
              </w:rPr>
            </w:pPr>
            <w:r w:rsidRPr="004A2C45">
              <w:rPr>
                <w:rFonts w:ascii="Times New Roman" w:hAnsi="Times New Roman" w:cs="Times New Roman"/>
                <w:b/>
                <w:sz w:val="20"/>
                <w:szCs w:val="24"/>
              </w:rPr>
              <w:t>Policy</w:t>
            </w:r>
          </w:p>
        </w:tc>
        <w:tc>
          <w:tcPr>
            <w:tcW w:w="1336" w:type="dxa"/>
          </w:tcPr>
          <w:p w14:paraId="6A5CBCE3" w14:textId="2D5F5B6E" w:rsidR="000B6E8B" w:rsidRPr="004A2C45" w:rsidRDefault="000B6E8B" w:rsidP="00DB6A7C">
            <w:pPr>
              <w:spacing w:after="0" w:line="480" w:lineRule="auto"/>
              <w:rPr>
                <w:rFonts w:ascii="Times New Roman" w:hAnsi="Times New Roman" w:cs="Times New Roman"/>
                <w:b/>
                <w:sz w:val="20"/>
                <w:szCs w:val="24"/>
              </w:rPr>
            </w:pPr>
            <w:r w:rsidRPr="004A2C45">
              <w:rPr>
                <w:rFonts w:ascii="Times New Roman" w:hAnsi="Times New Roman" w:cs="Times New Roman"/>
                <w:b/>
                <w:sz w:val="20"/>
                <w:szCs w:val="24"/>
              </w:rPr>
              <w:t>Practical</w:t>
            </w:r>
          </w:p>
        </w:tc>
      </w:tr>
      <w:tr w:rsidR="000B6E8B" w:rsidRPr="004A2C45" w14:paraId="14D64782" w14:textId="77777777" w:rsidTr="000B6E8B">
        <w:tc>
          <w:tcPr>
            <w:tcW w:w="1335" w:type="dxa"/>
          </w:tcPr>
          <w:p w14:paraId="2F60D07B" w14:textId="3E4364E0"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Clinton</w:t>
            </w:r>
          </w:p>
        </w:tc>
        <w:tc>
          <w:tcPr>
            <w:tcW w:w="1335" w:type="dxa"/>
          </w:tcPr>
          <w:p w14:paraId="302ACF9C" w14:textId="301E9803"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36</w:t>
            </w:r>
          </w:p>
        </w:tc>
        <w:tc>
          <w:tcPr>
            <w:tcW w:w="1336" w:type="dxa"/>
          </w:tcPr>
          <w:p w14:paraId="756B64BE" w14:textId="43619D1D"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7</w:t>
            </w:r>
          </w:p>
        </w:tc>
        <w:tc>
          <w:tcPr>
            <w:tcW w:w="1336" w:type="dxa"/>
          </w:tcPr>
          <w:p w14:paraId="3404BB65" w14:textId="0681EA23"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31</w:t>
            </w:r>
          </w:p>
        </w:tc>
        <w:tc>
          <w:tcPr>
            <w:tcW w:w="1336" w:type="dxa"/>
          </w:tcPr>
          <w:p w14:paraId="3495DA99" w14:textId="01E09F13"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44</w:t>
            </w:r>
          </w:p>
        </w:tc>
        <w:tc>
          <w:tcPr>
            <w:tcW w:w="1336" w:type="dxa"/>
          </w:tcPr>
          <w:p w14:paraId="73EFEF4E" w14:textId="398D70EE" w:rsidR="000B6E8B" w:rsidRPr="004A2C45" w:rsidRDefault="00992DCF"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77***</w:t>
            </w:r>
          </w:p>
        </w:tc>
        <w:tc>
          <w:tcPr>
            <w:tcW w:w="1336" w:type="dxa"/>
          </w:tcPr>
          <w:p w14:paraId="56BC675D" w14:textId="3D33D95E" w:rsidR="000B6E8B" w:rsidRPr="004A2C45" w:rsidRDefault="00992DCF"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26***</w:t>
            </w:r>
          </w:p>
        </w:tc>
      </w:tr>
      <w:tr w:rsidR="000B6E8B" w:rsidRPr="004A2C45" w14:paraId="34A15502" w14:textId="77777777" w:rsidTr="000B6E8B">
        <w:tc>
          <w:tcPr>
            <w:tcW w:w="1335" w:type="dxa"/>
          </w:tcPr>
          <w:p w14:paraId="7B820F34" w14:textId="3A81BE04"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Bush II</w:t>
            </w:r>
          </w:p>
        </w:tc>
        <w:tc>
          <w:tcPr>
            <w:tcW w:w="1335" w:type="dxa"/>
          </w:tcPr>
          <w:p w14:paraId="478E3AF2" w14:textId="20BA7D23"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56</w:t>
            </w:r>
          </w:p>
        </w:tc>
        <w:tc>
          <w:tcPr>
            <w:tcW w:w="1336" w:type="dxa"/>
          </w:tcPr>
          <w:p w14:paraId="367835E6" w14:textId="12D52F2A"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18</w:t>
            </w:r>
          </w:p>
        </w:tc>
        <w:tc>
          <w:tcPr>
            <w:tcW w:w="1336" w:type="dxa"/>
          </w:tcPr>
          <w:p w14:paraId="3CB8862E" w14:textId="40FFF3BE"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26</w:t>
            </w:r>
          </w:p>
        </w:tc>
        <w:tc>
          <w:tcPr>
            <w:tcW w:w="1336" w:type="dxa"/>
          </w:tcPr>
          <w:p w14:paraId="0E007372" w14:textId="2143536D"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34</w:t>
            </w:r>
          </w:p>
        </w:tc>
        <w:tc>
          <w:tcPr>
            <w:tcW w:w="1336" w:type="dxa"/>
          </w:tcPr>
          <w:p w14:paraId="4259A2FF" w14:textId="0232301C" w:rsidR="000B6E8B" w:rsidRPr="004A2C45" w:rsidRDefault="00992DCF"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97***</w:t>
            </w:r>
          </w:p>
        </w:tc>
        <w:tc>
          <w:tcPr>
            <w:tcW w:w="1336" w:type="dxa"/>
          </w:tcPr>
          <w:p w14:paraId="03CEEE87" w14:textId="45A745F6" w:rsidR="000B6E8B" w:rsidRPr="004A2C45" w:rsidRDefault="00992DCF"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56***</w:t>
            </w:r>
          </w:p>
        </w:tc>
      </w:tr>
      <w:tr w:rsidR="000B6E8B" w:rsidRPr="004A2C45" w14:paraId="7CC0CDCE" w14:textId="77777777" w:rsidTr="000B6E8B">
        <w:tc>
          <w:tcPr>
            <w:tcW w:w="1335" w:type="dxa"/>
          </w:tcPr>
          <w:p w14:paraId="2C470EC3" w14:textId="1E6374B9"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Obama</w:t>
            </w:r>
          </w:p>
        </w:tc>
        <w:tc>
          <w:tcPr>
            <w:tcW w:w="1335" w:type="dxa"/>
          </w:tcPr>
          <w:p w14:paraId="3D0E0AEF" w14:textId="2D5F7D96"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47</w:t>
            </w:r>
          </w:p>
        </w:tc>
        <w:tc>
          <w:tcPr>
            <w:tcW w:w="1336" w:type="dxa"/>
          </w:tcPr>
          <w:p w14:paraId="5EC64039" w14:textId="177F18A1"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6</w:t>
            </w:r>
          </w:p>
        </w:tc>
        <w:tc>
          <w:tcPr>
            <w:tcW w:w="1336" w:type="dxa"/>
          </w:tcPr>
          <w:p w14:paraId="769ABCE5" w14:textId="36368E40"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43</w:t>
            </w:r>
          </w:p>
        </w:tc>
        <w:tc>
          <w:tcPr>
            <w:tcW w:w="1336" w:type="dxa"/>
          </w:tcPr>
          <w:p w14:paraId="294D9681" w14:textId="2EE446EE"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51</w:t>
            </w:r>
          </w:p>
        </w:tc>
        <w:tc>
          <w:tcPr>
            <w:tcW w:w="1336" w:type="dxa"/>
          </w:tcPr>
          <w:p w14:paraId="20938957" w14:textId="5A6C46E3" w:rsidR="000B6E8B" w:rsidRPr="004A2C45" w:rsidRDefault="00992DCF"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97***</w:t>
            </w:r>
          </w:p>
        </w:tc>
        <w:tc>
          <w:tcPr>
            <w:tcW w:w="1336" w:type="dxa"/>
          </w:tcPr>
          <w:p w14:paraId="5708841A" w14:textId="16BF5832" w:rsidR="000B6E8B" w:rsidRPr="004A2C45" w:rsidRDefault="00992DCF"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69***</w:t>
            </w:r>
          </w:p>
        </w:tc>
      </w:tr>
    </w:tbl>
    <w:p w14:paraId="03E50410" w14:textId="77777777" w:rsidR="00AA09A7" w:rsidRPr="004A2C45" w:rsidRDefault="00AA09A7" w:rsidP="00F6412D">
      <w:pPr>
        <w:spacing w:after="0" w:line="480" w:lineRule="auto"/>
        <w:rPr>
          <w:rFonts w:ascii="Times New Roman" w:hAnsi="Times New Roman" w:cs="Times New Roman"/>
          <w:sz w:val="20"/>
          <w:szCs w:val="24"/>
        </w:rPr>
      </w:pPr>
    </w:p>
    <w:p w14:paraId="1079F56E" w14:textId="5FFC13E7" w:rsidR="000B6E8B" w:rsidRDefault="004A2C45" w:rsidP="00AA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11</w:t>
      </w:r>
      <w:r w:rsidR="00204F85">
        <w:rPr>
          <w:rFonts w:ascii="Times New Roman" w:hAnsi="Times New Roman" w:cs="Times New Roman"/>
          <w:sz w:val="24"/>
          <w:szCs w:val="24"/>
        </w:rPr>
        <w:t xml:space="preserve"> and Figure 9</w:t>
      </w:r>
      <w:r w:rsidR="00F6412D">
        <w:rPr>
          <w:rFonts w:ascii="Times New Roman" w:hAnsi="Times New Roman" w:cs="Times New Roman"/>
          <w:sz w:val="24"/>
          <w:szCs w:val="24"/>
        </w:rPr>
        <w:t xml:space="preserve"> shows the data interacting both the party of the dissent as well as th</w:t>
      </w:r>
      <w:r w:rsidR="00BC6F92">
        <w:rPr>
          <w:rFonts w:ascii="Times New Roman" w:hAnsi="Times New Roman" w:cs="Times New Roman"/>
          <w:sz w:val="24"/>
          <w:szCs w:val="24"/>
        </w:rPr>
        <w:t xml:space="preserve">e presidential administration. </w:t>
      </w:r>
      <w:r w:rsidR="00F6412D">
        <w:rPr>
          <w:rFonts w:ascii="Times New Roman" w:hAnsi="Times New Roman" w:cs="Times New Roman"/>
          <w:sz w:val="24"/>
          <w:szCs w:val="24"/>
        </w:rPr>
        <w:t xml:space="preserve">Although </w:t>
      </w:r>
      <w:r w:rsidR="008A50FA">
        <w:rPr>
          <w:rFonts w:ascii="Times New Roman" w:hAnsi="Times New Roman" w:cs="Times New Roman"/>
          <w:sz w:val="24"/>
          <w:szCs w:val="24"/>
        </w:rPr>
        <w:t>textualism seems to have increased during the Bush II administration, the differences between panel types and administration is not statistically significant. There are, however, a great deal of variation between dissents and administrations on the last three factors: legislative history, policy and practical reasoning. Democrats in dissenting opinions tend to use legislative history more than Republicans, but Republicans have increased in more recent years to using</w:t>
      </w:r>
      <w:r w:rsidR="00AA09A7">
        <w:rPr>
          <w:rFonts w:ascii="Times New Roman" w:hAnsi="Times New Roman" w:cs="Times New Roman"/>
          <w:sz w:val="24"/>
          <w:szCs w:val="24"/>
        </w:rPr>
        <w:t xml:space="preserve"> legislative</w:t>
      </w:r>
      <w:r w:rsidR="005F554A">
        <w:rPr>
          <w:rFonts w:ascii="Times New Roman" w:hAnsi="Times New Roman" w:cs="Times New Roman"/>
          <w:sz w:val="24"/>
          <w:szCs w:val="24"/>
        </w:rPr>
        <w:t xml:space="preserve"> history</w:t>
      </w:r>
      <w:r w:rsidR="00AA09A7">
        <w:rPr>
          <w:rFonts w:ascii="Times New Roman" w:hAnsi="Times New Roman" w:cs="Times New Roman"/>
          <w:sz w:val="24"/>
          <w:szCs w:val="24"/>
        </w:rPr>
        <w:t xml:space="preserve"> more in dissents. </w:t>
      </w:r>
      <w:r w:rsidR="008A50FA">
        <w:rPr>
          <w:rFonts w:ascii="Times New Roman" w:hAnsi="Times New Roman" w:cs="Times New Roman"/>
          <w:sz w:val="24"/>
          <w:szCs w:val="24"/>
        </w:rPr>
        <w:t xml:space="preserve">Use of legislative history, </w:t>
      </w:r>
      <w:r w:rsidR="008A50FA">
        <w:rPr>
          <w:rFonts w:ascii="Times New Roman" w:hAnsi="Times New Roman" w:cs="Times New Roman"/>
          <w:sz w:val="24"/>
          <w:szCs w:val="24"/>
        </w:rPr>
        <w:lastRenderedPageBreak/>
        <w:t xml:space="preserve">however, during the Obama administration may be due, however, to the personal proclivities of Board member Miscimarra and Johnson to use a “all hands on deck” approach to writing dissents, where they analyze the text, legislative history, </w:t>
      </w:r>
      <w:r w:rsidR="00824049">
        <w:rPr>
          <w:rFonts w:ascii="Times New Roman" w:hAnsi="Times New Roman" w:cs="Times New Roman"/>
          <w:sz w:val="24"/>
          <w:szCs w:val="24"/>
        </w:rPr>
        <w:t>policy and practical reasoning.</w:t>
      </w:r>
      <w:r w:rsidR="008A50FA">
        <w:rPr>
          <w:rFonts w:ascii="Times New Roman" w:hAnsi="Times New Roman" w:cs="Times New Roman"/>
          <w:sz w:val="24"/>
          <w:szCs w:val="24"/>
        </w:rPr>
        <w:t xml:space="preserve"> Thus, it is not a surp</w:t>
      </w:r>
      <w:r w:rsidR="00824049">
        <w:rPr>
          <w:rFonts w:ascii="Times New Roman" w:hAnsi="Times New Roman" w:cs="Times New Roman"/>
          <w:sz w:val="24"/>
          <w:szCs w:val="24"/>
        </w:rPr>
        <w:t>r</w:t>
      </w:r>
      <w:r w:rsidR="008A50FA">
        <w:rPr>
          <w:rFonts w:ascii="Times New Roman" w:hAnsi="Times New Roman" w:cs="Times New Roman"/>
          <w:sz w:val="24"/>
          <w:szCs w:val="24"/>
        </w:rPr>
        <w:t>ise that we see an increase in the use of these methods over time, especially by Republican dissents. In all, as with Board majority opinions, we see an increase over time in the use of policy and practical considerations in guiding decision making at the Board.</w:t>
      </w:r>
    </w:p>
    <w:p w14:paraId="6DF118CA" w14:textId="6ADB3186" w:rsidR="004663C3" w:rsidRPr="004A2C45" w:rsidRDefault="004A2C45" w:rsidP="004663C3">
      <w:pPr>
        <w:spacing w:after="0" w:line="480" w:lineRule="auto"/>
        <w:rPr>
          <w:rFonts w:ascii="Times New Roman" w:hAnsi="Times New Roman" w:cs="Times New Roman"/>
          <w:b/>
          <w:sz w:val="20"/>
          <w:szCs w:val="24"/>
        </w:rPr>
      </w:pPr>
      <w:r w:rsidRPr="004A2C45">
        <w:rPr>
          <w:rFonts w:ascii="Times New Roman" w:hAnsi="Times New Roman" w:cs="Times New Roman"/>
          <w:b/>
          <w:sz w:val="20"/>
          <w:szCs w:val="24"/>
        </w:rPr>
        <w:t>Table 11: Dissenting Methodologies, by Party and Administration (Percent)</w:t>
      </w:r>
    </w:p>
    <w:tbl>
      <w:tblPr>
        <w:tblStyle w:val="TableGrid"/>
        <w:tblW w:w="0" w:type="auto"/>
        <w:tblInd w:w="226" w:type="dxa"/>
        <w:tblLook w:val="04A0" w:firstRow="1" w:lastRow="0" w:firstColumn="1" w:lastColumn="0" w:noHBand="0" w:noVBand="1"/>
      </w:tblPr>
      <w:tblGrid>
        <w:gridCol w:w="1366"/>
        <w:gridCol w:w="1186"/>
        <w:gridCol w:w="1241"/>
        <w:gridCol w:w="1703"/>
        <w:gridCol w:w="1285"/>
        <w:gridCol w:w="1127"/>
        <w:gridCol w:w="1216"/>
      </w:tblGrid>
      <w:tr w:rsidR="000B6E8B" w:rsidRPr="004A2C45" w14:paraId="6EAFC980" w14:textId="77777777" w:rsidTr="002A76F9">
        <w:tc>
          <w:tcPr>
            <w:tcW w:w="1109" w:type="dxa"/>
          </w:tcPr>
          <w:p w14:paraId="65C4D97B" w14:textId="77777777" w:rsidR="000B6E8B" w:rsidRPr="004A2C45" w:rsidRDefault="000B6E8B" w:rsidP="00BC6F92">
            <w:pPr>
              <w:spacing w:after="0" w:line="240" w:lineRule="auto"/>
              <w:rPr>
                <w:rFonts w:ascii="Times New Roman" w:hAnsi="Times New Roman" w:cs="Times New Roman"/>
                <w:sz w:val="20"/>
                <w:szCs w:val="24"/>
              </w:rPr>
            </w:pPr>
          </w:p>
        </w:tc>
        <w:tc>
          <w:tcPr>
            <w:tcW w:w="1262" w:type="dxa"/>
          </w:tcPr>
          <w:p w14:paraId="4BD83C2B" w14:textId="34CB78DD"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General Text</w:t>
            </w:r>
          </w:p>
        </w:tc>
        <w:tc>
          <w:tcPr>
            <w:tcW w:w="1293" w:type="dxa"/>
          </w:tcPr>
          <w:p w14:paraId="41891A75" w14:textId="7CE88ABA"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Primarily Text</w:t>
            </w:r>
          </w:p>
        </w:tc>
        <w:tc>
          <w:tcPr>
            <w:tcW w:w="1736" w:type="dxa"/>
          </w:tcPr>
          <w:p w14:paraId="43C8D65E" w14:textId="001EF69D" w:rsidR="000B6E8B" w:rsidRPr="004A2C45" w:rsidRDefault="000B6E8B" w:rsidP="00BC6F92">
            <w:pPr>
              <w:spacing w:after="0" w:line="240" w:lineRule="auto"/>
              <w:rPr>
                <w:rFonts w:ascii="Times New Roman" w:hAnsi="Times New Roman" w:cs="Times New Roman"/>
                <w:b/>
                <w:sz w:val="20"/>
                <w:szCs w:val="24"/>
              </w:rPr>
            </w:pPr>
            <w:r w:rsidRPr="004A2C45">
              <w:rPr>
                <w:rFonts w:ascii="Times New Roman" w:hAnsi="Times New Roman" w:cs="Times New Roman"/>
                <w:b/>
                <w:sz w:val="20"/>
                <w:szCs w:val="24"/>
              </w:rPr>
              <w:t>Latin/Language Canons</w:t>
            </w:r>
          </w:p>
        </w:tc>
        <w:tc>
          <w:tcPr>
            <w:tcW w:w="1325" w:type="dxa"/>
          </w:tcPr>
          <w:p w14:paraId="0AD4A227" w14:textId="3EE78E05" w:rsidR="000B6E8B" w:rsidRPr="004A2C45" w:rsidRDefault="000B6E8B" w:rsidP="00DB6A7C">
            <w:pPr>
              <w:spacing w:after="0" w:line="480" w:lineRule="auto"/>
              <w:rPr>
                <w:rFonts w:ascii="Times New Roman" w:hAnsi="Times New Roman" w:cs="Times New Roman"/>
                <w:b/>
                <w:sz w:val="20"/>
                <w:szCs w:val="24"/>
              </w:rPr>
            </w:pPr>
            <w:r w:rsidRPr="004A2C45">
              <w:rPr>
                <w:rFonts w:ascii="Times New Roman" w:hAnsi="Times New Roman" w:cs="Times New Roman"/>
                <w:b/>
                <w:sz w:val="20"/>
                <w:szCs w:val="24"/>
              </w:rPr>
              <w:t>Legislative History</w:t>
            </w:r>
          </w:p>
        </w:tc>
        <w:tc>
          <w:tcPr>
            <w:tcW w:w="1233" w:type="dxa"/>
          </w:tcPr>
          <w:p w14:paraId="1A5D6905" w14:textId="54403D5E" w:rsidR="000B6E8B" w:rsidRPr="004A2C45" w:rsidRDefault="000B6E8B" w:rsidP="00DB6A7C">
            <w:pPr>
              <w:spacing w:after="0" w:line="480" w:lineRule="auto"/>
              <w:rPr>
                <w:rFonts w:ascii="Times New Roman" w:hAnsi="Times New Roman" w:cs="Times New Roman"/>
                <w:b/>
                <w:sz w:val="20"/>
                <w:szCs w:val="24"/>
              </w:rPr>
            </w:pPr>
            <w:r w:rsidRPr="004A2C45">
              <w:rPr>
                <w:rFonts w:ascii="Times New Roman" w:hAnsi="Times New Roman" w:cs="Times New Roman"/>
                <w:b/>
                <w:sz w:val="20"/>
                <w:szCs w:val="24"/>
              </w:rPr>
              <w:t>Policy</w:t>
            </w:r>
          </w:p>
        </w:tc>
        <w:tc>
          <w:tcPr>
            <w:tcW w:w="1279" w:type="dxa"/>
          </w:tcPr>
          <w:p w14:paraId="0C9296CC" w14:textId="3F7F286C" w:rsidR="000B6E8B" w:rsidRPr="004A2C45" w:rsidRDefault="000B6E8B" w:rsidP="00DB6A7C">
            <w:pPr>
              <w:spacing w:after="0" w:line="480" w:lineRule="auto"/>
              <w:rPr>
                <w:rFonts w:ascii="Times New Roman" w:hAnsi="Times New Roman" w:cs="Times New Roman"/>
                <w:b/>
                <w:sz w:val="20"/>
                <w:szCs w:val="24"/>
              </w:rPr>
            </w:pPr>
            <w:r w:rsidRPr="004A2C45">
              <w:rPr>
                <w:rFonts w:ascii="Times New Roman" w:hAnsi="Times New Roman" w:cs="Times New Roman"/>
                <w:b/>
                <w:sz w:val="20"/>
                <w:szCs w:val="24"/>
              </w:rPr>
              <w:t>Practical</w:t>
            </w:r>
          </w:p>
        </w:tc>
      </w:tr>
      <w:tr w:rsidR="000B6E8B" w:rsidRPr="004A2C45" w14:paraId="5D0DD3DF" w14:textId="77777777" w:rsidTr="002A76F9">
        <w:tc>
          <w:tcPr>
            <w:tcW w:w="1109" w:type="dxa"/>
          </w:tcPr>
          <w:p w14:paraId="68D238F2" w14:textId="113E3198" w:rsidR="000B6E8B" w:rsidRPr="004A2C45" w:rsidRDefault="005764D7"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Dem./Clinton</w:t>
            </w:r>
          </w:p>
        </w:tc>
        <w:tc>
          <w:tcPr>
            <w:tcW w:w="1262" w:type="dxa"/>
          </w:tcPr>
          <w:p w14:paraId="63DF8915" w14:textId="57333F1E"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67</w:t>
            </w:r>
          </w:p>
        </w:tc>
        <w:tc>
          <w:tcPr>
            <w:tcW w:w="1293" w:type="dxa"/>
          </w:tcPr>
          <w:p w14:paraId="119ADD6C" w14:textId="257B2673" w:rsidR="000B6E8B" w:rsidRPr="004A2C45" w:rsidRDefault="00F96A5C"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8</w:t>
            </w:r>
          </w:p>
        </w:tc>
        <w:tc>
          <w:tcPr>
            <w:tcW w:w="1736" w:type="dxa"/>
          </w:tcPr>
          <w:p w14:paraId="7D2D3632" w14:textId="2A2E7E03" w:rsidR="000B6E8B" w:rsidRPr="004A2C45" w:rsidRDefault="002A76F9"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42</w:t>
            </w:r>
          </w:p>
        </w:tc>
        <w:tc>
          <w:tcPr>
            <w:tcW w:w="1325" w:type="dxa"/>
          </w:tcPr>
          <w:p w14:paraId="4A8524AF" w14:textId="64A7F3F1"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75**</w:t>
            </w:r>
          </w:p>
        </w:tc>
        <w:tc>
          <w:tcPr>
            <w:tcW w:w="1233" w:type="dxa"/>
          </w:tcPr>
          <w:p w14:paraId="70DD259D" w14:textId="36D7E149"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92</w:t>
            </w:r>
          </w:p>
        </w:tc>
        <w:tc>
          <w:tcPr>
            <w:tcW w:w="1279" w:type="dxa"/>
          </w:tcPr>
          <w:p w14:paraId="6EF8E248" w14:textId="7184894F"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17***</w:t>
            </w:r>
          </w:p>
        </w:tc>
      </w:tr>
      <w:tr w:rsidR="000B6E8B" w:rsidRPr="004A2C45" w14:paraId="2077B980" w14:textId="77777777" w:rsidTr="002A76F9">
        <w:tc>
          <w:tcPr>
            <w:tcW w:w="1109" w:type="dxa"/>
          </w:tcPr>
          <w:p w14:paraId="76860B9E" w14:textId="360ABE5B" w:rsidR="000B6E8B" w:rsidRPr="004A2C45" w:rsidRDefault="005764D7"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Rep./Clinton</w:t>
            </w:r>
          </w:p>
        </w:tc>
        <w:tc>
          <w:tcPr>
            <w:tcW w:w="1262" w:type="dxa"/>
          </w:tcPr>
          <w:p w14:paraId="0F78A509" w14:textId="6409384A"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43</w:t>
            </w:r>
          </w:p>
        </w:tc>
        <w:tc>
          <w:tcPr>
            <w:tcW w:w="1293" w:type="dxa"/>
          </w:tcPr>
          <w:p w14:paraId="22600ED5" w14:textId="007ECC9E" w:rsidR="000B6E8B" w:rsidRPr="004A2C45" w:rsidRDefault="00F96A5C"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7</w:t>
            </w:r>
          </w:p>
        </w:tc>
        <w:tc>
          <w:tcPr>
            <w:tcW w:w="1736" w:type="dxa"/>
          </w:tcPr>
          <w:p w14:paraId="5A25BC92" w14:textId="54A50A3C" w:rsidR="000B6E8B" w:rsidRPr="004A2C45" w:rsidRDefault="002A76F9"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23</w:t>
            </w:r>
          </w:p>
        </w:tc>
        <w:tc>
          <w:tcPr>
            <w:tcW w:w="1325" w:type="dxa"/>
          </w:tcPr>
          <w:p w14:paraId="74C019E8" w14:textId="1A465851"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33**</w:t>
            </w:r>
          </w:p>
        </w:tc>
        <w:tc>
          <w:tcPr>
            <w:tcW w:w="1233" w:type="dxa"/>
          </w:tcPr>
          <w:p w14:paraId="08AED691" w14:textId="5A1AF1E3"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73***</w:t>
            </w:r>
          </w:p>
        </w:tc>
        <w:tc>
          <w:tcPr>
            <w:tcW w:w="1279" w:type="dxa"/>
          </w:tcPr>
          <w:p w14:paraId="366A20C3" w14:textId="0494A054"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30***</w:t>
            </w:r>
          </w:p>
        </w:tc>
      </w:tr>
      <w:tr w:rsidR="000B6E8B" w:rsidRPr="004A2C45" w14:paraId="3198A375" w14:textId="77777777" w:rsidTr="002A76F9">
        <w:tc>
          <w:tcPr>
            <w:tcW w:w="1109" w:type="dxa"/>
          </w:tcPr>
          <w:p w14:paraId="2C14231E" w14:textId="50BFBE52" w:rsidR="000B6E8B" w:rsidRPr="004A2C45" w:rsidRDefault="005764D7"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Dem./Bush II</w:t>
            </w:r>
          </w:p>
        </w:tc>
        <w:tc>
          <w:tcPr>
            <w:tcW w:w="1262" w:type="dxa"/>
          </w:tcPr>
          <w:p w14:paraId="1B93F18B" w14:textId="50C15948"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67</w:t>
            </w:r>
          </w:p>
        </w:tc>
        <w:tc>
          <w:tcPr>
            <w:tcW w:w="1293" w:type="dxa"/>
          </w:tcPr>
          <w:p w14:paraId="15A62B74" w14:textId="7B4892A3" w:rsidR="000B6E8B" w:rsidRPr="004A2C45" w:rsidRDefault="002A76F9"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14</w:t>
            </w:r>
          </w:p>
        </w:tc>
        <w:tc>
          <w:tcPr>
            <w:tcW w:w="1736" w:type="dxa"/>
          </w:tcPr>
          <w:p w14:paraId="22DDBF55" w14:textId="7814246C" w:rsidR="000B6E8B" w:rsidRPr="004A2C45" w:rsidRDefault="002A76F9"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29</w:t>
            </w:r>
          </w:p>
        </w:tc>
        <w:tc>
          <w:tcPr>
            <w:tcW w:w="1325" w:type="dxa"/>
          </w:tcPr>
          <w:p w14:paraId="3001F094" w14:textId="17B6E742"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47**</w:t>
            </w:r>
          </w:p>
        </w:tc>
        <w:tc>
          <w:tcPr>
            <w:tcW w:w="1233" w:type="dxa"/>
          </w:tcPr>
          <w:p w14:paraId="5577294B" w14:textId="5823DF14"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100</w:t>
            </w:r>
          </w:p>
        </w:tc>
        <w:tc>
          <w:tcPr>
            <w:tcW w:w="1279" w:type="dxa"/>
          </w:tcPr>
          <w:p w14:paraId="5777FFAE" w14:textId="54D7571C"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67***</w:t>
            </w:r>
          </w:p>
        </w:tc>
      </w:tr>
      <w:tr w:rsidR="000B6E8B" w:rsidRPr="004A2C45" w14:paraId="14503C22" w14:textId="77777777" w:rsidTr="002A76F9">
        <w:tc>
          <w:tcPr>
            <w:tcW w:w="1109" w:type="dxa"/>
          </w:tcPr>
          <w:p w14:paraId="47C392E6" w14:textId="028F09AB" w:rsidR="000B6E8B" w:rsidRPr="004A2C45" w:rsidRDefault="005764D7"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Rep./Bush II</w:t>
            </w:r>
          </w:p>
        </w:tc>
        <w:tc>
          <w:tcPr>
            <w:tcW w:w="1262" w:type="dxa"/>
          </w:tcPr>
          <w:p w14:paraId="34E761C3" w14:textId="248AF64D"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62</w:t>
            </w:r>
          </w:p>
        </w:tc>
        <w:tc>
          <w:tcPr>
            <w:tcW w:w="1293" w:type="dxa"/>
          </w:tcPr>
          <w:p w14:paraId="2B9E585F" w14:textId="1B7C7DC7" w:rsidR="000B6E8B" w:rsidRPr="004A2C45" w:rsidRDefault="00F96A5C"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23</w:t>
            </w:r>
          </w:p>
        </w:tc>
        <w:tc>
          <w:tcPr>
            <w:tcW w:w="1736" w:type="dxa"/>
          </w:tcPr>
          <w:p w14:paraId="74B108E1" w14:textId="5A869522" w:rsidR="000B6E8B" w:rsidRPr="004A2C45" w:rsidRDefault="002A76F9"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23</w:t>
            </w:r>
          </w:p>
        </w:tc>
        <w:tc>
          <w:tcPr>
            <w:tcW w:w="1325" w:type="dxa"/>
          </w:tcPr>
          <w:p w14:paraId="46AE8DCF" w14:textId="5ED27B8F"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15**</w:t>
            </w:r>
          </w:p>
        </w:tc>
        <w:tc>
          <w:tcPr>
            <w:tcW w:w="1233" w:type="dxa"/>
          </w:tcPr>
          <w:p w14:paraId="31831198" w14:textId="12EA8437"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92***</w:t>
            </w:r>
          </w:p>
        </w:tc>
        <w:tc>
          <w:tcPr>
            <w:tcW w:w="1279" w:type="dxa"/>
          </w:tcPr>
          <w:p w14:paraId="0C46D46E" w14:textId="6435A789"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38***</w:t>
            </w:r>
          </w:p>
        </w:tc>
      </w:tr>
      <w:tr w:rsidR="000B6E8B" w:rsidRPr="004A2C45" w14:paraId="5BE9BE69" w14:textId="77777777" w:rsidTr="002A76F9">
        <w:tc>
          <w:tcPr>
            <w:tcW w:w="1109" w:type="dxa"/>
          </w:tcPr>
          <w:p w14:paraId="651F925B" w14:textId="43D59A69" w:rsidR="000B6E8B" w:rsidRPr="004A2C45" w:rsidRDefault="005764D7"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 xml:space="preserve">Rep./Obama </w:t>
            </w:r>
          </w:p>
        </w:tc>
        <w:tc>
          <w:tcPr>
            <w:tcW w:w="1262" w:type="dxa"/>
          </w:tcPr>
          <w:p w14:paraId="073E9B22" w14:textId="0217A4F8" w:rsidR="000B6E8B" w:rsidRPr="004A2C45" w:rsidRDefault="00992DCF"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54</w:t>
            </w:r>
          </w:p>
        </w:tc>
        <w:tc>
          <w:tcPr>
            <w:tcW w:w="1293" w:type="dxa"/>
          </w:tcPr>
          <w:p w14:paraId="07D21450" w14:textId="4994EE33" w:rsidR="000B6E8B" w:rsidRPr="004A2C45" w:rsidRDefault="002A76F9"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6</w:t>
            </w:r>
          </w:p>
        </w:tc>
        <w:tc>
          <w:tcPr>
            <w:tcW w:w="1736" w:type="dxa"/>
          </w:tcPr>
          <w:p w14:paraId="2161F3F1" w14:textId="37C632BA" w:rsidR="000B6E8B" w:rsidRPr="004A2C45" w:rsidRDefault="002A76F9" w:rsidP="00BC6F92">
            <w:pPr>
              <w:spacing w:after="0" w:line="240" w:lineRule="auto"/>
              <w:rPr>
                <w:rFonts w:ascii="Times New Roman" w:hAnsi="Times New Roman" w:cs="Times New Roman"/>
                <w:sz w:val="20"/>
                <w:szCs w:val="24"/>
              </w:rPr>
            </w:pPr>
            <w:r w:rsidRPr="004A2C45">
              <w:rPr>
                <w:rFonts w:ascii="Times New Roman" w:hAnsi="Times New Roman" w:cs="Times New Roman"/>
                <w:sz w:val="20"/>
                <w:szCs w:val="24"/>
              </w:rPr>
              <w:t>43</w:t>
            </w:r>
          </w:p>
        </w:tc>
        <w:tc>
          <w:tcPr>
            <w:tcW w:w="1325" w:type="dxa"/>
          </w:tcPr>
          <w:p w14:paraId="45D824D7" w14:textId="4BDAF9B6"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51**</w:t>
            </w:r>
          </w:p>
        </w:tc>
        <w:tc>
          <w:tcPr>
            <w:tcW w:w="1233" w:type="dxa"/>
          </w:tcPr>
          <w:p w14:paraId="100A201A" w14:textId="49DEEB86"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97***</w:t>
            </w:r>
          </w:p>
        </w:tc>
        <w:tc>
          <w:tcPr>
            <w:tcW w:w="1279" w:type="dxa"/>
          </w:tcPr>
          <w:p w14:paraId="6F7E50AC" w14:textId="79690EDA" w:rsidR="000B6E8B" w:rsidRPr="004A2C45" w:rsidRDefault="002A76F9" w:rsidP="00DB6A7C">
            <w:pPr>
              <w:spacing w:after="0" w:line="480" w:lineRule="auto"/>
              <w:rPr>
                <w:rFonts w:ascii="Times New Roman" w:hAnsi="Times New Roman" w:cs="Times New Roman"/>
                <w:sz w:val="20"/>
                <w:szCs w:val="24"/>
              </w:rPr>
            </w:pPr>
            <w:r w:rsidRPr="004A2C45">
              <w:rPr>
                <w:rFonts w:ascii="Times New Roman" w:hAnsi="Times New Roman" w:cs="Times New Roman"/>
                <w:sz w:val="20"/>
                <w:szCs w:val="24"/>
              </w:rPr>
              <w:t>66***</w:t>
            </w:r>
          </w:p>
        </w:tc>
      </w:tr>
    </w:tbl>
    <w:p w14:paraId="574C228D" w14:textId="77777777" w:rsidR="005E768D" w:rsidRDefault="005E768D" w:rsidP="004663C3">
      <w:pPr>
        <w:spacing w:after="0" w:line="480" w:lineRule="auto"/>
        <w:rPr>
          <w:rFonts w:ascii="Times New Roman" w:hAnsi="Times New Roman" w:cs="Times New Roman"/>
          <w:b/>
          <w:sz w:val="24"/>
          <w:szCs w:val="24"/>
        </w:rPr>
      </w:pPr>
    </w:p>
    <w:p w14:paraId="7FDE4793" w14:textId="77777777" w:rsidR="005E768D" w:rsidRDefault="005E768D" w:rsidP="004663C3">
      <w:pPr>
        <w:spacing w:after="0" w:line="480" w:lineRule="auto"/>
        <w:rPr>
          <w:rFonts w:ascii="Times New Roman" w:hAnsi="Times New Roman" w:cs="Times New Roman"/>
          <w:b/>
          <w:sz w:val="24"/>
          <w:szCs w:val="24"/>
        </w:rPr>
      </w:pPr>
    </w:p>
    <w:p w14:paraId="648092DB" w14:textId="77777777" w:rsidR="005E768D" w:rsidRDefault="005E768D" w:rsidP="004663C3">
      <w:pPr>
        <w:spacing w:after="0" w:line="480" w:lineRule="auto"/>
        <w:rPr>
          <w:rFonts w:ascii="Times New Roman" w:hAnsi="Times New Roman" w:cs="Times New Roman"/>
          <w:b/>
          <w:sz w:val="24"/>
          <w:szCs w:val="24"/>
        </w:rPr>
      </w:pPr>
    </w:p>
    <w:p w14:paraId="0D4C4BAA" w14:textId="77777777" w:rsidR="005E768D" w:rsidRDefault="005E768D" w:rsidP="004663C3">
      <w:pPr>
        <w:spacing w:after="0" w:line="480" w:lineRule="auto"/>
        <w:rPr>
          <w:rFonts w:ascii="Times New Roman" w:hAnsi="Times New Roman" w:cs="Times New Roman"/>
          <w:b/>
          <w:sz w:val="24"/>
          <w:szCs w:val="24"/>
        </w:rPr>
      </w:pPr>
    </w:p>
    <w:p w14:paraId="52F927F5" w14:textId="77777777" w:rsidR="005E768D" w:rsidRDefault="005E768D" w:rsidP="004663C3">
      <w:pPr>
        <w:spacing w:after="0" w:line="480" w:lineRule="auto"/>
        <w:rPr>
          <w:rFonts w:ascii="Times New Roman" w:hAnsi="Times New Roman" w:cs="Times New Roman"/>
          <w:b/>
          <w:sz w:val="24"/>
          <w:szCs w:val="24"/>
        </w:rPr>
      </w:pPr>
    </w:p>
    <w:p w14:paraId="41E28381" w14:textId="77777777" w:rsidR="005E768D" w:rsidRDefault="005E768D" w:rsidP="004663C3">
      <w:pPr>
        <w:spacing w:after="0" w:line="480" w:lineRule="auto"/>
        <w:rPr>
          <w:rFonts w:ascii="Times New Roman" w:hAnsi="Times New Roman" w:cs="Times New Roman"/>
          <w:b/>
          <w:sz w:val="24"/>
          <w:szCs w:val="24"/>
        </w:rPr>
      </w:pPr>
    </w:p>
    <w:p w14:paraId="6EE7BC1D" w14:textId="77777777" w:rsidR="005E768D" w:rsidRDefault="005E768D" w:rsidP="004663C3">
      <w:pPr>
        <w:spacing w:after="0" w:line="480" w:lineRule="auto"/>
        <w:rPr>
          <w:rFonts w:ascii="Times New Roman" w:hAnsi="Times New Roman" w:cs="Times New Roman"/>
          <w:b/>
          <w:sz w:val="24"/>
          <w:szCs w:val="24"/>
        </w:rPr>
      </w:pPr>
    </w:p>
    <w:p w14:paraId="3B4370C2" w14:textId="77777777" w:rsidR="005E768D" w:rsidRDefault="005E768D" w:rsidP="004663C3">
      <w:pPr>
        <w:spacing w:after="0" w:line="480" w:lineRule="auto"/>
        <w:rPr>
          <w:rFonts w:ascii="Times New Roman" w:hAnsi="Times New Roman" w:cs="Times New Roman"/>
          <w:b/>
          <w:sz w:val="24"/>
          <w:szCs w:val="24"/>
        </w:rPr>
      </w:pPr>
    </w:p>
    <w:p w14:paraId="60A47D1F" w14:textId="77777777" w:rsidR="005E768D" w:rsidRDefault="005E768D" w:rsidP="004663C3">
      <w:pPr>
        <w:spacing w:after="0" w:line="480" w:lineRule="auto"/>
        <w:rPr>
          <w:rFonts w:ascii="Times New Roman" w:hAnsi="Times New Roman" w:cs="Times New Roman"/>
          <w:b/>
          <w:sz w:val="24"/>
          <w:szCs w:val="24"/>
        </w:rPr>
      </w:pPr>
    </w:p>
    <w:p w14:paraId="4B6DE778" w14:textId="77777777" w:rsidR="005E768D" w:rsidRDefault="005E768D" w:rsidP="004663C3">
      <w:pPr>
        <w:spacing w:after="0" w:line="480" w:lineRule="auto"/>
        <w:rPr>
          <w:rFonts w:ascii="Times New Roman" w:hAnsi="Times New Roman" w:cs="Times New Roman"/>
          <w:b/>
          <w:sz w:val="24"/>
          <w:szCs w:val="24"/>
        </w:rPr>
      </w:pPr>
    </w:p>
    <w:p w14:paraId="4FE68623" w14:textId="77777777" w:rsidR="005E768D" w:rsidRDefault="005E768D" w:rsidP="004663C3">
      <w:pPr>
        <w:spacing w:after="0" w:line="480" w:lineRule="auto"/>
        <w:rPr>
          <w:rFonts w:ascii="Times New Roman" w:hAnsi="Times New Roman" w:cs="Times New Roman"/>
          <w:b/>
          <w:sz w:val="24"/>
          <w:szCs w:val="24"/>
        </w:rPr>
      </w:pPr>
    </w:p>
    <w:p w14:paraId="618F2345" w14:textId="4B9C8D53" w:rsidR="004663C3" w:rsidRPr="004663C3" w:rsidRDefault="004663C3" w:rsidP="004663C3">
      <w:pPr>
        <w:spacing w:after="0" w:line="480" w:lineRule="auto"/>
        <w:rPr>
          <w:rFonts w:ascii="Times New Roman" w:hAnsi="Times New Roman" w:cs="Times New Roman"/>
          <w:b/>
          <w:sz w:val="24"/>
          <w:szCs w:val="24"/>
        </w:rPr>
      </w:pPr>
      <w:r w:rsidRPr="004663C3">
        <w:rPr>
          <w:rFonts w:ascii="Times New Roman" w:hAnsi="Times New Roman" w:cs="Times New Roman"/>
          <w:b/>
          <w:sz w:val="24"/>
          <w:szCs w:val="24"/>
        </w:rPr>
        <w:lastRenderedPageBreak/>
        <w:t>Figure 10</w:t>
      </w:r>
    </w:p>
    <w:p w14:paraId="6187C386" w14:textId="3064D03C" w:rsidR="00075E60" w:rsidRPr="00FC6F7D" w:rsidRDefault="00075E60" w:rsidP="00DB6A7C">
      <w:pPr>
        <w:spacing w:after="0" w:line="480" w:lineRule="auto"/>
        <w:ind w:firstLine="720"/>
        <w:rPr>
          <w:rFonts w:ascii="Times New Roman" w:hAnsi="Times New Roman" w:cs="Times New Roman"/>
          <w:sz w:val="24"/>
          <w:szCs w:val="24"/>
        </w:rPr>
      </w:pPr>
      <w:r w:rsidRPr="00AE3A32">
        <w:rPr>
          <w:noProof/>
        </w:rPr>
        <w:drawing>
          <wp:inline distT="0" distB="0" distL="0" distR="0" wp14:anchorId="26955E7F" wp14:editId="4B56F9AA">
            <wp:extent cx="5118100" cy="3746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7A774248" w14:textId="5D5DEE40" w:rsidR="00F508F4" w:rsidRDefault="00626E46" w:rsidP="00F508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did with the Board majority opinions, </w:t>
      </w:r>
      <w:r w:rsidR="00097AD0">
        <w:rPr>
          <w:rFonts w:ascii="Times New Roman" w:hAnsi="Times New Roman" w:cs="Times New Roman"/>
          <w:sz w:val="24"/>
          <w:szCs w:val="24"/>
        </w:rPr>
        <w:t>Table 12</w:t>
      </w:r>
      <w:r w:rsidR="004663C3">
        <w:rPr>
          <w:rFonts w:ascii="Times New Roman" w:hAnsi="Times New Roman" w:cs="Times New Roman"/>
          <w:sz w:val="24"/>
          <w:szCs w:val="24"/>
        </w:rPr>
        <w:t xml:space="preserve"> </w:t>
      </w:r>
      <w:r w:rsidR="00E03636">
        <w:rPr>
          <w:rFonts w:ascii="Times New Roman" w:hAnsi="Times New Roman" w:cs="Times New Roman"/>
          <w:sz w:val="24"/>
          <w:szCs w:val="24"/>
        </w:rPr>
        <w:t>and Figure</w:t>
      </w:r>
      <w:r w:rsidR="00097AD0">
        <w:rPr>
          <w:rFonts w:ascii="Times New Roman" w:hAnsi="Times New Roman" w:cs="Times New Roman"/>
          <w:sz w:val="24"/>
          <w:szCs w:val="24"/>
        </w:rPr>
        <w:t xml:space="preserve"> 11</w:t>
      </w:r>
      <w:r w:rsidR="00416869">
        <w:rPr>
          <w:rFonts w:ascii="Times New Roman" w:hAnsi="Times New Roman" w:cs="Times New Roman"/>
          <w:sz w:val="24"/>
          <w:szCs w:val="24"/>
        </w:rPr>
        <w:t xml:space="preserve"> display the </w:t>
      </w:r>
      <w:r w:rsidR="00416869" w:rsidRPr="00416869">
        <w:rPr>
          <w:rFonts w:ascii="Times New Roman" w:hAnsi="Times New Roman" w:cs="Times New Roman"/>
          <w:i/>
          <w:sz w:val="24"/>
          <w:szCs w:val="24"/>
        </w:rPr>
        <w:t xml:space="preserve">primary </w:t>
      </w:r>
      <w:r w:rsidR="00E03636">
        <w:rPr>
          <w:rFonts w:ascii="Times New Roman" w:hAnsi="Times New Roman" w:cs="Times New Roman"/>
          <w:sz w:val="24"/>
          <w:szCs w:val="24"/>
        </w:rPr>
        <w:t xml:space="preserve">interpretive method used by </w:t>
      </w:r>
      <w:r w:rsidR="00824049">
        <w:rPr>
          <w:rFonts w:ascii="Times New Roman" w:hAnsi="Times New Roman" w:cs="Times New Roman"/>
          <w:sz w:val="24"/>
          <w:szCs w:val="24"/>
        </w:rPr>
        <w:t xml:space="preserve">dissenting opinions. </w:t>
      </w:r>
      <w:r w:rsidR="00BE3DB4">
        <w:rPr>
          <w:rFonts w:ascii="Times New Roman" w:hAnsi="Times New Roman" w:cs="Times New Roman"/>
          <w:sz w:val="24"/>
          <w:szCs w:val="24"/>
        </w:rPr>
        <w:t>The results mirror majority opinions almost exactly, with 52% of dissenting opinions relying primarily on a policy/caselaw approach, and 22% and 26% of dissenting opinions using either a primarily textualist or text/legislative history plus approach, respectively.</w:t>
      </w:r>
      <w:r w:rsidR="00824049">
        <w:rPr>
          <w:rFonts w:ascii="Times New Roman" w:hAnsi="Times New Roman" w:cs="Times New Roman"/>
          <w:sz w:val="24"/>
          <w:szCs w:val="24"/>
        </w:rPr>
        <w:t xml:space="preserve"> </w:t>
      </w:r>
      <w:r w:rsidR="00097AD0">
        <w:rPr>
          <w:rFonts w:ascii="Times New Roman" w:hAnsi="Times New Roman" w:cs="Times New Roman"/>
          <w:sz w:val="24"/>
          <w:szCs w:val="24"/>
        </w:rPr>
        <w:t>Figure 12</w:t>
      </w:r>
      <w:r w:rsidR="009A4E12">
        <w:rPr>
          <w:rFonts w:ascii="Times New Roman" w:hAnsi="Times New Roman" w:cs="Times New Roman"/>
          <w:sz w:val="24"/>
          <w:szCs w:val="24"/>
        </w:rPr>
        <w:t xml:space="preserve"> display the results broken down by presidential administration and </w:t>
      </w:r>
      <w:r w:rsidR="00847896">
        <w:rPr>
          <w:rFonts w:ascii="Times New Roman" w:hAnsi="Times New Roman" w:cs="Times New Roman"/>
          <w:sz w:val="24"/>
          <w:szCs w:val="24"/>
        </w:rPr>
        <w:t>party of the dissent. Among par</w:t>
      </w:r>
      <w:r w:rsidR="00AA09A7">
        <w:rPr>
          <w:rFonts w:ascii="Times New Roman" w:hAnsi="Times New Roman" w:cs="Times New Roman"/>
          <w:sz w:val="24"/>
          <w:szCs w:val="24"/>
        </w:rPr>
        <w:t>ties that are out of power, Board members</w:t>
      </w:r>
      <w:r w:rsidR="00847896">
        <w:rPr>
          <w:rFonts w:ascii="Times New Roman" w:hAnsi="Times New Roman" w:cs="Times New Roman"/>
          <w:sz w:val="24"/>
          <w:szCs w:val="24"/>
        </w:rPr>
        <w:t xml:space="preserve"> employ a primarily textualist methodology about a quarter of the time in their dissents. Moreover, the use of the text/legislative history plus method decreased during the Bu</w:t>
      </w:r>
      <w:r w:rsidR="00BC6F92">
        <w:rPr>
          <w:rFonts w:ascii="Times New Roman" w:hAnsi="Times New Roman" w:cs="Times New Roman"/>
          <w:sz w:val="24"/>
          <w:szCs w:val="24"/>
        </w:rPr>
        <w:t>sh II administr</w:t>
      </w:r>
      <w:r w:rsidR="00870A89">
        <w:rPr>
          <w:rFonts w:ascii="Times New Roman" w:hAnsi="Times New Roman" w:cs="Times New Roman"/>
          <w:sz w:val="24"/>
          <w:szCs w:val="24"/>
        </w:rPr>
        <w:t>ation, whereas a pure textual or</w:t>
      </w:r>
      <w:r w:rsidR="00847896">
        <w:rPr>
          <w:rFonts w:ascii="Times New Roman" w:hAnsi="Times New Roman" w:cs="Times New Roman"/>
          <w:sz w:val="24"/>
          <w:szCs w:val="24"/>
        </w:rPr>
        <w:t xml:space="preserve"> policy-based approach </w:t>
      </w:r>
      <w:r w:rsidR="00AA09A7">
        <w:rPr>
          <w:rFonts w:ascii="Times New Roman" w:hAnsi="Times New Roman" w:cs="Times New Roman"/>
          <w:sz w:val="24"/>
          <w:szCs w:val="24"/>
        </w:rPr>
        <w:t xml:space="preserve">to the dissent increased particularly </w:t>
      </w:r>
      <w:r w:rsidR="00BC6F92">
        <w:rPr>
          <w:rFonts w:ascii="Times New Roman" w:hAnsi="Times New Roman" w:cs="Times New Roman"/>
          <w:sz w:val="24"/>
          <w:szCs w:val="24"/>
        </w:rPr>
        <w:t>in</w:t>
      </w:r>
      <w:r w:rsidR="00AA09A7">
        <w:rPr>
          <w:rFonts w:ascii="Times New Roman" w:hAnsi="Times New Roman" w:cs="Times New Roman"/>
          <w:sz w:val="24"/>
          <w:szCs w:val="24"/>
        </w:rPr>
        <w:t xml:space="preserve"> </w:t>
      </w:r>
      <w:r w:rsidR="00847896">
        <w:rPr>
          <w:rFonts w:ascii="Times New Roman" w:hAnsi="Times New Roman" w:cs="Times New Roman"/>
          <w:sz w:val="24"/>
          <w:szCs w:val="24"/>
        </w:rPr>
        <w:t>the Bush II years. This is of course of no surprise because during the Bush II years, Board members Liebman and Walsh or Liebman and Fox often wrote scathing</w:t>
      </w:r>
      <w:r w:rsidR="00BC6F92">
        <w:rPr>
          <w:rFonts w:ascii="Times New Roman" w:hAnsi="Times New Roman" w:cs="Times New Roman"/>
          <w:sz w:val="24"/>
          <w:szCs w:val="24"/>
        </w:rPr>
        <w:t xml:space="preserve"> based </w:t>
      </w:r>
      <w:r w:rsidR="00BC6F92">
        <w:rPr>
          <w:rFonts w:ascii="Times New Roman" w:hAnsi="Times New Roman" w:cs="Times New Roman"/>
          <w:sz w:val="24"/>
          <w:szCs w:val="24"/>
        </w:rPr>
        <w:lastRenderedPageBreak/>
        <w:t>either on a text analysis or a policy-based approach. Liebman and Walsh’s chosen method depended on wh</w:t>
      </w:r>
      <w:r w:rsidR="00DB5385">
        <w:rPr>
          <w:rFonts w:ascii="Times New Roman" w:hAnsi="Times New Roman" w:cs="Times New Roman"/>
          <w:sz w:val="24"/>
          <w:szCs w:val="24"/>
        </w:rPr>
        <w:t xml:space="preserve">at the Republican majority did. </w:t>
      </w:r>
      <w:r w:rsidR="00847896">
        <w:rPr>
          <w:rFonts w:ascii="Times New Roman" w:hAnsi="Times New Roman" w:cs="Times New Roman"/>
          <w:sz w:val="24"/>
          <w:szCs w:val="24"/>
        </w:rPr>
        <w:t xml:space="preserve">The use of </w:t>
      </w:r>
      <w:r w:rsidR="006F07ED">
        <w:rPr>
          <w:rFonts w:ascii="Times New Roman" w:hAnsi="Times New Roman" w:cs="Times New Roman"/>
          <w:sz w:val="24"/>
          <w:szCs w:val="24"/>
        </w:rPr>
        <w:t xml:space="preserve">an </w:t>
      </w:r>
      <w:r w:rsidR="00BC6F92">
        <w:rPr>
          <w:rFonts w:ascii="Times New Roman" w:hAnsi="Times New Roman" w:cs="Times New Roman"/>
          <w:sz w:val="24"/>
          <w:szCs w:val="24"/>
        </w:rPr>
        <w:t xml:space="preserve">exclusively </w:t>
      </w:r>
      <w:r w:rsidR="00847896">
        <w:rPr>
          <w:rFonts w:ascii="Times New Roman" w:hAnsi="Times New Roman" w:cs="Times New Roman"/>
          <w:sz w:val="24"/>
          <w:szCs w:val="24"/>
        </w:rPr>
        <w:t>pol</w:t>
      </w:r>
      <w:r w:rsidR="00BC6F92">
        <w:rPr>
          <w:rFonts w:ascii="Times New Roman" w:hAnsi="Times New Roman" w:cs="Times New Roman"/>
          <w:sz w:val="24"/>
          <w:szCs w:val="24"/>
        </w:rPr>
        <w:t xml:space="preserve">icy-based </w:t>
      </w:r>
      <w:r w:rsidR="00847896">
        <w:rPr>
          <w:rFonts w:ascii="Times New Roman" w:hAnsi="Times New Roman" w:cs="Times New Roman"/>
          <w:sz w:val="24"/>
          <w:szCs w:val="24"/>
        </w:rPr>
        <w:t>in dissents decreased again during the Obama years as Board members Miscimarra and Johnson tend to adopt a “all hands on deck” approach to their dissents, which is reflected in the increase of the Text/Legislative plus method during the Obama years and the decline in the policy/caselaw based approach from the Bush II years.</w:t>
      </w:r>
    </w:p>
    <w:p w14:paraId="1A5EBF45" w14:textId="0456AD61" w:rsidR="00DB5385" w:rsidRPr="00097AD0" w:rsidRDefault="00097AD0" w:rsidP="00DB5385">
      <w:pPr>
        <w:spacing w:after="0" w:line="480" w:lineRule="auto"/>
        <w:rPr>
          <w:rFonts w:ascii="Times New Roman" w:hAnsi="Times New Roman" w:cs="Times New Roman"/>
          <w:b/>
          <w:sz w:val="20"/>
          <w:szCs w:val="24"/>
        </w:rPr>
      </w:pPr>
      <w:r w:rsidRPr="00097AD0">
        <w:rPr>
          <w:rFonts w:ascii="Times New Roman" w:hAnsi="Times New Roman" w:cs="Times New Roman"/>
          <w:b/>
          <w:sz w:val="20"/>
          <w:szCs w:val="24"/>
        </w:rPr>
        <w:t>Table 12: Primary Dissenting Interpretation, by Dissenting Party and Administration (Percent)</w:t>
      </w:r>
    </w:p>
    <w:tbl>
      <w:tblPr>
        <w:tblStyle w:val="TableGrid"/>
        <w:tblW w:w="0" w:type="auto"/>
        <w:tblLook w:val="04A0" w:firstRow="1" w:lastRow="0" w:firstColumn="1" w:lastColumn="0" w:noHBand="0" w:noVBand="1"/>
      </w:tblPr>
      <w:tblGrid>
        <w:gridCol w:w="2337"/>
        <w:gridCol w:w="2337"/>
        <w:gridCol w:w="2338"/>
        <w:gridCol w:w="2338"/>
      </w:tblGrid>
      <w:tr w:rsidR="008E2986" w:rsidRPr="00097AD0" w14:paraId="5BD8D353" w14:textId="77777777" w:rsidTr="008E2986">
        <w:tc>
          <w:tcPr>
            <w:tcW w:w="2337" w:type="dxa"/>
          </w:tcPr>
          <w:p w14:paraId="2A07B7E9" w14:textId="77777777" w:rsidR="008E2986" w:rsidRPr="00097AD0" w:rsidRDefault="008E2986" w:rsidP="00BC6F92">
            <w:pPr>
              <w:spacing w:after="0" w:line="240" w:lineRule="auto"/>
              <w:rPr>
                <w:rFonts w:ascii="Times New Roman" w:hAnsi="Times New Roman" w:cs="Times New Roman"/>
                <w:sz w:val="20"/>
                <w:szCs w:val="24"/>
              </w:rPr>
            </w:pPr>
          </w:p>
        </w:tc>
        <w:tc>
          <w:tcPr>
            <w:tcW w:w="2337" w:type="dxa"/>
          </w:tcPr>
          <w:p w14:paraId="05273778" w14:textId="1B12DD36" w:rsidR="008E2986" w:rsidRPr="00097AD0" w:rsidRDefault="008E2986" w:rsidP="00BC6F92">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Primarily Textual</w:t>
            </w:r>
          </w:p>
        </w:tc>
        <w:tc>
          <w:tcPr>
            <w:tcW w:w="2338" w:type="dxa"/>
          </w:tcPr>
          <w:p w14:paraId="4C87B78E" w14:textId="3DBD2A32" w:rsidR="008E2986" w:rsidRPr="00097AD0" w:rsidRDefault="008E2986" w:rsidP="00BC6F92">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Text/Legislative History+</w:t>
            </w:r>
          </w:p>
        </w:tc>
        <w:tc>
          <w:tcPr>
            <w:tcW w:w="2338" w:type="dxa"/>
          </w:tcPr>
          <w:p w14:paraId="0D99AEF0" w14:textId="1D08A83E" w:rsidR="008E2986" w:rsidRPr="00097AD0" w:rsidRDefault="008E2986" w:rsidP="00BC6F92">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Policy/Caselaw</w:t>
            </w:r>
          </w:p>
        </w:tc>
      </w:tr>
      <w:tr w:rsidR="008E2986" w:rsidRPr="00097AD0" w14:paraId="3092450B" w14:textId="77777777" w:rsidTr="008E2986">
        <w:tc>
          <w:tcPr>
            <w:tcW w:w="2337" w:type="dxa"/>
          </w:tcPr>
          <w:p w14:paraId="28300274" w14:textId="432DC59C" w:rsidR="008E2986" w:rsidRPr="00097AD0" w:rsidRDefault="007A219C"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Dem./Clinton</w:t>
            </w:r>
          </w:p>
        </w:tc>
        <w:tc>
          <w:tcPr>
            <w:tcW w:w="2337" w:type="dxa"/>
          </w:tcPr>
          <w:p w14:paraId="54DAD3D0" w14:textId="2CCA9562"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50</w:t>
            </w:r>
          </w:p>
        </w:tc>
        <w:tc>
          <w:tcPr>
            <w:tcW w:w="2338" w:type="dxa"/>
          </w:tcPr>
          <w:p w14:paraId="69FCAAD3" w14:textId="70D87ED8"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50*</w:t>
            </w:r>
          </w:p>
        </w:tc>
        <w:tc>
          <w:tcPr>
            <w:tcW w:w="2338" w:type="dxa"/>
          </w:tcPr>
          <w:p w14:paraId="1D325FCF" w14:textId="7D9BF48B"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50*</w:t>
            </w:r>
          </w:p>
        </w:tc>
      </w:tr>
      <w:tr w:rsidR="008E2986" w:rsidRPr="00097AD0" w14:paraId="6BA1BF66" w14:textId="77777777" w:rsidTr="008E2986">
        <w:tc>
          <w:tcPr>
            <w:tcW w:w="2337" w:type="dxa"/>
          </w:tcPr>
          <w:p w14:paraId="766F7D5A" w14:textId="1FB809E4" w:rsidR="008E2986" w:rsidRPr="00097AD0" w:rsidRDefault="007A219C"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Rep./Clinton</w:t>
            </w:r>
          </w:p>
        </w:tc>
        <w:tc>
          <w:tcPr>
            <w:tcW w:w="2337" w:type="dxa"/>
          </w:tcPr>
          <w:p w14:paraId="2E28D50A" w14:textId="1E95FC63"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25</w:t>
            </w:r>
          </w:p>
        </w:tc>
        <w:tc>
          <w:tcPr>
            <w:tcW w:w="2338" w:type="dxa"/>
          </w:tcPr>
          <w:p w14:paraId="6F81B779" w14:textId="53EAC487"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25</w:t>
            </w:r>
          </w:p>
        </w:tc>
        <w:tc>
          <w:tcPr>
            <w:tcW w:w="2338" w:type="dxa"/>
          </w:tcPr>
          <w:p w14:paraId="5E688ACD" w14:textId="004EF596"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75</w:t>
            </w:r>
          </w:p>
        </w:tc>
      </w:tr>
      <w:tr w:rsidR="008E2986" w:rsidRPr="00097AD0" w14:paraId="0291F1A1" w14:textId="77777777" w:rsidTr="008E2986">
        <w:tc>
          <w:tcPr>
            <w:tcW w:w="2337" w:type="dxa"/>
          </w:tcPr>
          <w:p w14:paraId="37389F98" w14:textId="7E5EC704" w:rsidR="008E2986" w:rsidRPr="00097AD0" w:rsidRDefault="007A219C"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Dem./Bush II</w:t>
            </w:r>
          </w:p>
        </w:tc>
        <w:tc>
          <w:tcPr>
            <w:tcW w:w="2337" w:type="dxa"/>
          </w:tcPr>
          <w:p w14:paraId="124F67A8" w14:textId="4DAC648A"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23</w:t>
            </w:r>
          </w:p>
        </w:tc>
        <w:tc>
          <w:tcPr>
            <w:tcW w:w="2338" w:type="dxa"/>
          </w:tcPr>
          <w:p w14:paraId="0B485EEB" w14:textId="3C871FCD"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19*</w:t>
            </w:r>
          </w:p>
        </w:tc>
        <w:tc>
          <w:tcPr>
            <w:tcW w:w="2338" w:type="dxa"/>
          </w:tcPr>
          <w:p w14:paraId="726E0A66" w14:textId="63016105"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81*</w:t>
            </w:r>
          </w:p>
        </w:tc>
      </w:tr>
      <w:tr w:rsidR="008E2986" w:rsidRPr="00097AD0" w14:paraId="58788397" w14:textId="77777777" w:rsidTr="008E2986">
        <w:tc>
          <w:tcPr>
            <w:tcW w:w="2337" w:type="dxa"/>
          </w:tcPr>
          <w:p w14:paraId="33EF69A8" w14:textId="725A1152" w:rsidR="008E2986" w:rsidRPr="00097AD0" w:rsidRDefault="007A219C"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Rep./Bush II</w:t>
            </w:r>
          </w:p>
        </w:tc>
        <w:tc>
          <w:tcPr>
            <w:tcW w:w="2337" w:type="dxa"/>
          </w:tcPr>
          <w:p w14:paraId="02B52668" w14:textId="5A7C30C5"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33</w:t>
            </w:r>
          </w:p>
        </w:tc>
        <w:tc>
          <w:tcPr>
            <w:tcW w:w="2338" w:type="dxa"/>
          </w:tcPr>
          <w:p w14:paraId="7A8F1C20" w14:textId="554EE870"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8</w:t>
            </w:r>
          </w:p>
        </w:tc>
        <w:tc>
          <w:tcPr>
            <w:tcW w:w="2338" w:type="dxa"/>
          </w:tcPr>
          <w:p w14:paraId="5F36E83E" w14:textId="70303D5A"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92</w:t>
            </w:r>
          </w:p>
        </w:tc>
      </w:tr>
      <w:tr w:rsidR="008E2986" w:rsidRPr="00097AD0" w14:paraId="2477981A" w14:textId="77777777" w:rsidTr="008E2986">
        <w:tc>
          <w:tcPr>
            <w:tcW w:w="2337" w:type="dxa"/>
          </w:tcPr>
          <w:p w14:paraId="225D155E" w14:textId="7C8E8000" w:rsidR="008E2986" w:rsidRPr="00097AD0" w:rsidRDefault="007A219C" w:rsidP="00BC6F92">
            <w:pPr>
              <w:spacing w:after="0" w:line="240" w:lineRule="auto"/>
              <w:rPr>
                <w:rFonts w:ascii="Times New Roman" w:hAnsi="Times New Roman" w:cs="Times New Roman"/>
                <w:b/>
                <w:sz w:val="20"/>
                <w:szCs w:val="24"/>
              </w:rPr>
            </w:pPr>
            <w:r>
              <w:rPr>
                <w:rFonts w:ascii="Times New Roman" w:hAnsi="Times New Roman" w:cs="Times New Roman"/>
                <w:b/>
                <w:sz w:val="20"/>
                <w:szCs w:val="24"/>
              </w:rPr>
              <w:t>Rep./Obama</w:t>
            </w:r>
          </w:p>
        </w:tc>
        <w:tc>
          <w:tcPr>
            <w:tcW w:w="2337" w:type="dxa"/>
          </w:tcPr>
          <w:p w14:paraId="680984FF" w14:textId="50B518D1" w:rsidR="008E2986" w:rsidRPr="00097AD0" w:rsidRDefault="008E2986" w:rsidP="00BC6F92">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23</w:t>
            </w:r>
          </w:p>
        </w:tc>
        <w:tc>
          <w:tcPr>
            <w:tcW w:w="2338" w:type="dxa"/>
          </w:tcPr>
          <w:p w14:paraId="50402046" w14:textId="214F0DFE" w:rsidR="008E2986" w:rsidRPr="00097AD0" w:rsidRDefault="008E2986" w:rsidP="00F508F4">
            <w:pPr>
              <w:spacing w:after="0" w:line="480" w:lineRule="auto"/>
              <w:rPr>
                <w:rFonts w:ascii="Times New Roman" w:hAnsi="Times New Roman" w:cs="Times New Roman"/>
                <w:sz w:val="20"/>
                <w:szCs w:val="24"/>
              </w:rPr>
            </w:pPr>
            <w:r w:rsidRPr="00097AD0">
              <w:rPr>
                <w:rFonts w:ascii="Times New Roman" w:hAnsi="Times New Roman" w:cs="Times New Roman"/>
                <w:sz w:val="20"/>
                <w:szCs w:val="24"/>
              </w:rPr>
              <w:t>31</w:t>
            </w:r>
          </w:p>
        </w:tc>
        <w:tc>
          <w:tcPr>
            <w:tcW w:w="2338" w:type="dxa"/>
          </w:tcPr>
          <w:p w14:paraId="4722FE03" w14:textId="162DFEFD" w:rsidR="008E2986" w:rsidRPr="00097AD0" w:rsidRDefault="008E2986" w:rsidP="00F508F4">
            <w:pPr>
              <w:spacing w:after="0" w:line="480" w:lineRule="auto"/>
              <w:rPr>
                <w:rFonts w:ascii="Times New Roman" w:hAnsi="Times New Roman" w:cs="Times New Roman"/>
                <w:sz w:val="20"/>
                <w:szCs w:val="24"/>
              </w:rPr>
            </w:pPr>
            <w:r w:rsidRPr="00097AD0">
              <w:rPr>
                <w:rFonts w:ascii="Times New Roman" w:hAnsi="Times New Roman" w:cs="Times New Roman"/>
                <w:sz w:val="20"/>
                <w:szCs w:val="24"/>
              </w:rPr>
              <w:t>69</w:t>
            </w:r>
          </w:p>
        </w:tc>
      </w:tr>
    </w:tbl>
    <w:p w14:paraId="5E073A0D" w14:textId="464CE4E1" w:rsidR="007A219C" w:rsidRDefault="007A219C" w:rsidP="00755C5E">
      <w:pPr>
        <w:spacing w:after="0" w:line="480" w:lineRule="auto"/>
        <w:rPr>
          <w:rFonts w:ascii="Times New Roman" w:hAnsi="Times New Roman" w:cs="Times New Roman"/>
          <w:sz w:val="20"/>
          <w:szCs w:val="24"/>
        </w:rPr>
      </w:pPr>
    </w:p>
    <w:p w14:paraId="3E93FF31" w14:textId="6D885FCD" w:rsidR="00755C5E" w:rsidRPr="00755C5E" w:rsidRDefault="00097AD0" w:rsidP="00755C5E">
      <w:pPr>
        <w:spacing w:after="0" w:line="480" w:lineRule="auto"/>
        <w:rPr>
          <w:rFonts w:ascii="Times New Roman" w:hAnsi="Times New Roman" w:cs="Times New Roman"/>
          <w:b/>
          <w:sz w:val="24"/>
          <w:szCs w:val="24"/>
        </w:rPr>
      </w:pPr>
      <w:r>
        <w:rPr>
          <w:rFonts w:ascii="Times New Roman" w:hAnsi="Times New Roman" w:cs="Times New Roman"/>
          <w:b/>
          <w:sz w:val="24"/>
          <w:szCs w:val="24"/>
        </w:rPr>
        <w:t>Figure 11</w:t>
      </w:r>
    </w:p>
    <w:p w14:paraId="3ECEFA15" w14:textId="77777777" w:rsidR="0048169C" w:rsidRDefault="00755C5E" w:rsidP="00755C5E">
      <w:pPr>
        <w:spacing w:after="0" w:line="480" w:lineRule="auto"/>
        <w:rPr>
          <w:rFonts w:ascii="Times New Roman" w:hAnsi="Times New Roman" w:cs="Times New Roman"/>
          <w:sz w:val="24"/>
          <w:szCs w:val="24"/>
        </w:rPr>
      </w:pPr>
      <w:r w:rsidRPr="00AE3A32">
        <w:rPr>
          <w:noProof/>
        </w:rPr>
        <w:drawing>
          <wp:inline distT="0" distB="0" distL="0" distR="0" wp14:anchorId="32C4CC74" wp14:editId="42E43FEE">
            <wp:extent cx="5118100" cy="3746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3368E86B" w14:textId="255CD331" w:rsidR="00755C5E" w:rsidRPr="0048169C" w:rsidRDefault="00097AD0" w:rsidP="00755C5E">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Figure 12</w:t>
      </w:r>
    </w:p>
    <w:p w14:paraId="67106133" w14:textId="04AB445C" w:rsidR="00755C5E" w:rsidRPr="00755C5E" w:rsidRDefault="00755C5E" w:rsidP="00755C5E">
      <w:pPr>
        <w:spacing w:after="0" w:line="480" w:lineRule="auto"/>
        <w:rPr>
          <w:rFonts w:ascii="Times New Roman" w:hAnsi="Times New Roman" w:cs="Times New Roman"/>
          <w:b/>
          <w:sz w:val="24"/>
          <w:szCs w:val="24"/>
        </w:rPr>
      </w:pPr>
      <w:r w:rsidRPr="002F7D92">
        <w:rPr>
          <w:noProof/>
        </w:rPr>
        <w:drawing>
          <wp:inline distT="0" distB="0" distL="0" distR="0" wp14:anchorId="0B494B4F" wp14:editId="15DAC459">
            <wp:extent cx="5118100" cy="3746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0D2C91C2" w14:textId="2073FBF7" w:rsidR="00391CB2" w:rsidRPr="00DB5385" w:rsidRDefault="00391CB2" w:rsidP="00DB5385">
      <w:pPr>
        <w:pStyle w:val="ListParagraph"/>
        <w:numPr>
          <w:ilvl w:val="0"/>
          <w:numId w:val="18"/>
        </w:numPr>
        <w:spacing w:after="0" w:line="480" w:lineRule="auto"/>
        <w:rPr>
          <w:rFonts w:ascii="Times New Roman" w:hAnsi="Times New Roman" w:cs="Times New Roman"/>
          <w:b/>
          <w:sz w:val="24"/>
          <w:szCs w:val="24"/>
        </w:rPr>
      </w:pPr>
      <w:r w:rsidRPr="00DB5385">
        <w:rPr>
          <w:rFonts w:ascii="Times New Roman" w:hAnsi="Times New Roman" w:cs="Times New Roman"/>
          <w:b/>
          <w:sz w:val="24"/>
          <w:szCs w:val="24"/>
        </w:rPr>
        <w:t>Dueling Interpretations</w:t>
      </w:r>
    </w:p>
    <w:p w14:paraId="2CF55E8A" w14:textId="0B589E0D" w:rsidR="009573EA" w:rsidRDefault="00847896" w:rsidP="00957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next part, we turn now to look at how dissenting opinions actually differed in the statutory methodologies employed.</w:t>
      </w:r>
      <w:r w:rsidR="00391CB2">
        <w:rPr>
          <w:rFonts w:ascii="Times New Roman" w:hAnsi="Times New Roman" w:cs="Times New Roman"/>
          <w:sz w:val="24"/>
          <w:szCs w:val="24"/>
        </w:rPr>
        <w:t xml:space="preserve"> I coded cases according to one of six “dueling” possibilities: </w:t>
      </w:r>
      <w:r w:rsidR="00BC6F92">
        <w:rPr>
          <w:rFonts w:ascii="Times New Roman" w:hAnsi="Times New Roman" w:cs="Times New Roman"/>
          <w:sz w:val="24"/>
          <w:szCs w:val="24"/>
        </w:rPr>
        <w:t xml:space="preserve">1) </w:t>
      </w:r>
      <w:r w:rsidR="00391CB2">
        <w:rPr>
          <w:rFonts w:ascii="Times New Roman" w:hAnsi="Times New Roman" w:cs="Times New Roman"/>
          <w:sz w:val="24"/>
          <w:szCs w:val="24"/>
        </w:rPr>
        <w:t xml:space="preserve">textual to purposive (that is, the majority opinion is primarily textual, but the dissenting opinion is more purposive); 2) purposive to textual; 3) policy/caselaw, indicating that </w:t>
      </w:r>
      <w:r w:rsidR="007549E7">
        <w:rPr>
          <w:rFonts w:ascii="Times New Roman" w:hAnsi="Times New Roman" w:cs="Times New Roman"/>
          <w:sz w:val="24"/>
          <w:szCs w:val="24"/>
        </w:rPr>
        <w:t>the major</w:t>
      </w:r>
      <w:r w:rsidR="00BC6F92">
        <w:rPr>
          <w:rFonts w:ascii="Times New Roman" w:hAnsi="Times New Roman" w:cs="Times New Roman"/>
          <w:sz w:val="24"/>
          <w:szCs w:val="24"/>
        </w:rPr>
        <w:t>i</w:t>
      </w:r>
      <w:r w:rsidR="007549E7">
        <w:rPr>
          <w:rFonts w:ascii="Times New Roman" w:hAnsi="Times New Roman" w:cs="Times New Roman"/>
          <w:sz w:val="24"/>
          <w:szCs w:val="24"/>
        </w:rPr>
        <w:t xml:space="preserve">ty and dissenting “dueled” primarily over caselaw and/or policy; 4) textual to textual, meaning that the majority and dissenting party both adopted a textual interpretation, but they differed as to what exactly the text meant; 5) purposive to purposive, meaning that the majority and dissenting opinions differed in the use of different purposive methodologies; for instance, the majority opinion could rely more on legislative history while the dissent relied more on policy; or 6) disputes about application of </w:t>
      </w:r>
      <w:r w:rsidR="00AA09A7">
        <w:rPr>
          <w:rFonts w:ascii="Times New Roman" w:hAnsi="Times New Roman" w:cs="Times New Roman"/>
          <w:sz w:val="24"/>
          <w:szCs w:val="24"/>
        </w:rPr>
        <w:t xml:space="preserve">which statute to apply.  </w:t>
      </w:r>
    </w:p>
    <w:p w14:paraId="0767FD7A" w14:textId="7F4D0B53" w:rsidR="0099083C" w:rsidRDefault="00097AD0" w:rsidP="009908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13 and Figure 13 </w:t>
      </w:r>
      <w:r w:rsidR="00FC64F3">
        <w:rPr>
          <w:rFonts w:ascii="Times New Roman" w:hAnsi="Times New Roman" w:cs="Times New Roman"/>
          <w:sz w:val="24"/>
          <w:szCs w:val="24"/>
        </w:rPr>
        <w:t xml:space="preserve">lists the percentages </w:t>
      </w:r>
      <w:r w:rsidR="00BC6F92">
        <w:rPr>
          <w:rFonts w:ascii="Times New Roman" w:hAnsi="Times New Roman" w:cs="Times New Roman"/>
          <w:sz w:val="24"/>
          <w:szCs w:val="24"/>
        </w:rPr>
        <w:t xml:space="preserve">broken down by type of “duel.” </w:t>
      </w:r>
      <w:r w:rsidR="00FC64F3">
        <w:rPr>
          <w:rFonts w:ascii="Times New Roman" w:hAnsi="Times New Roman" w:cs="Times New Roman"/>
          <w:sz w:val="24"/>
          <w:szCs w:val="24"/>
        </w:rPr>
        <w:t xml:space="preserve">The most frequent type of “duel” concerned disputes between the majority and dissent based on policy, encompassing almost half of the </w:t>
      </w:r>
      <w:r w:rsidR="00824049">
        <w:rPr>
          <w:rFonts w:ascii="Times New Roman" w:hAnsi="Times New Roman" w:cs="Times New Roman"/>
          <w:sz w:val="24"/>
          <w:szCs w:val="24"/>
        </w:rPr>
        <w:t xml:space="preserve">majority/dissent combinations. </w:t>
      </w:r>
      <w:r w:rsidR="00FC64F3">
        <w:rPr>
          <w:rFonts w:ascii="Times New Roman" w:hAnsi="Times New Roman" w:cs="Times New Roman"/>
          <w:sz w:val="24"/>
          <w:szCs w:val="24"/>
        </w:rPr>
        <w:t>Given that the Board is at its heart a policymaking agency, this of course is not a surprise.</w:t>
      </w:r>
      <w:r w:rsidR="006E1FCF">
        <w:rPr>
          <w:rFonts w:ascii="Times New Roman" w:hAnsi="Times New Roman" w:cs="Times New Roman"/>
          <w:sz w:val="24"/>
          <w:szCs w:val="24"/>
        </w:rPr>
        <w:t xml:space="preserve"> In the remaining cases, the Board used a mixture of switching</w:t>
      </w:r>
      <w:r w:rsidR="00BC6F92">
        <w:rPr>
          <w:rFonts w:ascii="Times New Roman" w:hAnsi="Times New Roman" w:cs="Times New Roman"/>
          <w:sz w:val="24"/>
          <w:szCs w:val="24"/>
        </w:rPr>
        <w:t xml:space="preserve"> techniques</w:t>
      </w:r>
      <w:r w:rsidR="006E1FCF">
        <w:rPr>
          <w:rFonts w:ascii="Times New Roman" w:hAnsi="Times New Roman" w:cs="Times New Roman"/>
          <w:sz w:val="24"/>
          <w:szCs w:val="24"/>
        </w:rPr>
        <w:t xml:space="preserve"> from a textualist method to a purposive one (13%), a purposive one to a textualist (13%), a text to a text dispute (9%) or a primarily legislative history to policy dispute or a policy to legislative history dispute (2%). Moreover, in about 2% of all cases, the majority and dissent quarreled over which statute to apply. These cases primarily concerned whether the Board should or should not apply the Railway Act to assist in interpreting the unfair labor dispute claims.</w:t>
      </w:r>
      <w:r w:rsidR="006E1FCF">
        <w:rPr>
          <w:rStyle w:val="FootnoteReference"/>
          <w:rFonts w:ascii="Times New Roman" w:hAnsi="Times New Roman" w:cs="Times New Roman"/>
          <w:sz w:val="24"/>
          <w:szCs w:val="24"/>
        </w:rPr>
        <w:footnoteReference w:id="236"/>
      </w:r>
      <w:r w:rsidR="00AA09A7">
        <w:rPr>
          <w:rFonts w:ascii="Times New Roman" w:hAnsi="Times New Roman" w:cs="Times New Roman"/>
          <w:sz w:val="24"/>
          <w:szCs w:val="24"/>
        </w:rPr>
        <w:t xml:space="preserve"> </w:t>
      </w:r>
      <w:r w:rsidR="0099083C">
        <w:rPr>
          <w:rFonts w:ascii="Times New Roman" w:hAnsi="Times New Roman" w:cs="Times New Roman"/>
          <w:sz w:val="24"/>
          <w:szCs w:val="24"/>
        </w:rPr>
        <w:t xml:space="preserve">These numbers are similar when broken down by case type, with some interesting differences. </w:t>
      </w:r>
      <w:r w:rsidR="006F07ED">
        <w:rPr>
          <w:rFonts w:ascii="Times New Roman" w:hAnsi="Times New Roman" w:cs="Times New Roman"/>
          <w:sz w:val="24"/>
          <w:szCs w:val="24"/>
        </w:rPr>
        <w:t xml:space="preserve">We see that policy duels are most apparent in unfair labor dispute cases against employers. These cases are by far the most frequent, so the Board already has a great deal of precedent in which to rely on. As such, the Board does not often need to engage in much textual interpretation in these cases. Moreover, there is not much legislative history to review concerning unfair labor practices against employers as they are covered by the Wagner Act, not the newer Taft-Hartley Act. </w:t>
      </w:r>
      <w:r w:rsidR="0099083C">
        <w:rPr>
          <w:rFonts w:ascii="Times New Roman" w:hAnsi="Times New Roman" w:cs="Times New Roman"/>
          <w:sz w:val="24"/>
          <w:szCs w:val="24"/>
        </w:rPr>
        <w:t>Moreover, in about half of election representation or bargaining unit cases, the Board has some sort of duel over the text, whether it be a text to purposive duel, a purposive to text duel or a text to text duel. In unfair labor disputes against unions, the Board often “duels” with the dissent over whether the Railway Act should guide its determinations.</w:t>
      </w:r>
      <w:r w:rsidR="00A36AC0">
        <w:rPr>
          <w:rFonts w:ascii="Times New Roman" w:hAnsi="Times New Roman" w:cs="Times New Roman"/>
          <w:sz w:val="24"/>
          <w:szCs w:val="24"/>
        </w:rPr>
        <w:t xml:space="preserve"> Moreover, looking at it by party of the majorit</w:t>
      </w:r>
      <w:r w:rsidR="00204F85">
        <w:rPr>
          <w:rFonts w:ascii="Times New Roman" w:hAnsi="Times New Roman" w:cs="Times New Roman"/>
          <w:sz w:val="24"/>
          <w:szCs w:val="24"/>
        </w:rPr>
        <w:t>y and administration in Table 14 and Figures 14-15</w:t>
      </w:r>
      <w:r w:rsidR="00A36AC0">
        <w:rPr>
          <w:rFonts w:ascii="Times New Roman" w:hAnsi="Times New Roman" w:cs="Times New Roman"/>
          <w:sz w:val="24"/>
          <w:szCs w:val="24"/>
        </w:rPr>
        <w:t xml:space="preserve">, respectively, we see a decline over time in the use of policy disputes and an increase in the text to purposive or text to purposive disputes. As noted before, this may be a </w:t>
      </w:r>
      <w:r w:rsidR="00A36AC0">
        <w:rPr>
          <w:rFonts w:ascii="Times New Roman" w:hAnsi="Times New Roman" w:cs="Times New Roman"/>
          <w:sz w:val="24"/>
          <w:szCs w:val="24"/>
        </w:rPr>
        <w:lastRenderedPageBreak/>
        <w:t>reflection of the individual proclivity of Obama Board minority members to write very long and detailed dissents where they system</w:t>
      </w:r>
      <w:r w:rsidR="00456A0F">
        <w:rPr>
          <w:rFonts w:ascii="Times New Roman" w:hAnsi="Times New Roman" w:cs="Times New Roman"/>
          <w:sz w:val="24"/>
          <w:szCs w:val="24"/>
        </w:rPr>
        <w:t>a</w:t>
      </w:r>
      <w:r w:rsidR="00A36AC0">
        <w:rPr>
          <w:rFonts w:ascii="Times New Roman" w:hAnsi="Times New Roman" w:cs="Times New Roman"/>
          <w:sz w:val="24"/>
          <w:szCs w:val="24"/>
        </w:rPr>
        <w:t>tically atta</w:t>
      </w:r>
      <w:r w:rsidR="006F07ED">
        <w:rPr>
          <w:rFonts w:ascii="Times New Roman" w:hAnsi="Times New Roman" w:cs="Times New Roman"/>
          <w:sz w:val="24"/>
          <w:szCs w:val="24"/>
        </w:rPr>
        <w:t>ck the majority on all fronts—</w:t>
      </w:r>
      <w:r w:rsidR="00A36AC0">
        <w:rPr>
          <w:rFonts w:ascii="Times New Roman" w:hAnsi="Times New Roman" w:cs="Times New Roman"/>
          <w:sz w:val="24"/>
          <w:szCs w:val="24"/>
        </w:rPr>
        <w:t>text, legislative history, policy and pragmatic considerations.</w:t>
      </w:r>
      <w:r w:rsidR="00456A0F">
        <w:rPr>
          <w:rFonts w:ascii="Times New Roman" w:hAnsi="Times New Roman" w:cs="Times New Roman"/>
          <w:sz w:val="24"/>
          <w:szCs w:val="24"/>
        </w:rPr>
        <w:t xml:space="preserve"> Indeed, no matter what approach the Board adopted, the dissenters in the Obama Board often dueled using a different</w:t>
      </w:r>
      <w:r w:rsidR="006F07ED">
        <w:rPr>
          <w:rFonts w:ascii="Times New Roman" w:hAnsi="Times New Roman" w:cs="Times New Roman"/>
          <w:sz w:val="24"/>
          <w:szCs w:val="24"/>
        </w:rPr>
        <w:t xml:space="preserve"> statutory</w:t>
      </w:r>
      <w:r w:rsidR="00757B71">
        <w:rPr>
          <w:rFonts w:ascii="Times New Roman" w:hAnsi="Times New Roman" w:cs="Times New Roman"/>
          <w:sz w:val="24"/>
          <w:szCs w:val="24"/>
        </w:rPr>
        <w:t xml:space="preserve"> approach. We see in Figure 15</w:t>
      </w:r>
      <w:r w:rsidR="00456A0F">
        <w:rPr>
          <w:rFonts w:ascii="Times New Roman" w:hAnsi="Times New Roman" w:cs="Times New Roman"/>
          <w:sz w:val="24"/>
          <w:szCs w:val="24"/>
        </w:rPr>
        <w:t xml:space="preserve"> for instance, the large increase in the blue (as opposed to purple or grey) shaded areas compared to the Clinton Board.</w:t>
      </w:r>
      <w:r w:rsidR="006F07ED">
        <w:rPr>
          <w:rFonts w:ascii="Times New Roman" w:hAnsi="Times New Roman" w:cs="Times New Roman"/>
          <w:sz w:val="24"/>
          <w:szCs w:val="24"/>
        </w:rPr>
        <w:t xml:space="preserve"> In all, “dueling” over statutory methodology seems to have increased over time.</w:t>
      </w:r>
    </w:p>
    <w:p w14:paraId="155D54CA" w14:textId="3635EC37" w:rsidR="00DB5385" w:rsidRPr="00097AD0" w:rsidRDefault="00097AD0" w:rsidP="00DB5385">
      <w:pPr>
        <w:spacing w:after="0" w:line="480" w:lineRule="auto"/>
        <w:rPr>
          <w:rFonts w:ascii="Times New Roman" w:hAnsi="Times New Roman" w:cs="Times New Roman"/>
          <w:b/>
          <w:sz w:val="20"/>
          <w:szCs w:val="24"/>
        </w:rPr>
      </w:pPr>
      <w:r w:rsidRPr="00097AD0">
        <w:rPr>
          <w:rFonts w:ascii="Times New Roman" w:hAnsi="Times New Roman" w:cs="Times New Roman"/>
          <w:b/>
          <w:sz w:val="20"/>
          <w:szCs w:val="24"/>
        </w:rPr>
        <w:t>Table 13: Dueling Methodologies, by Case Type</w:t>
      </w:r>
    </w:p>
    <w:tbl>
      <w:tblPr>
        <w:tblStyle w:val="TableGrid"/>
        <w:tblW w:w="0" w:type="auto"/>
        <w:tblInd w:w="113" w:type="dxa"/>
        <w:tblLook w:val="04A0" w:firstRow="1" w:lastRow="0" w:firstColumn="1" w:lastColumn="0" w:noHBand="0" w:noVBand="1"/>
      </w:tblPr>
      <w:tblGrid>
        <w:gridCol w:w="2149"/>
        <w:gridCol w:w="1162"/>
        <w:gridCol w:w="1163"/>
        <w:gridCol w:w="1212"/>
        <w:gridCol w:w="1166"/>
        <w:gridCol w:w="1160"/>
        <w:gridCol w:w="1225"/>
      </w:tblGrid>
      <w:tr w:rsidR="00FC64F3" w:rsidRPr="00097AD0" w14:paraId="035ACB9C" w14:textId="77777777" w:rsidTr="009E180C">
        <w:tc>
          <w:tcPr>
            <w:tcW w:w="2149" w:type="dxa"/>
          </w:tcPr>
          <w:p w14:paraId="712A181D" w14:textId="77777777" w:rsidR="00FC64F3" w:rsidRPr="00097AD0" w:rsidRDefault="00FC64F3" w:rsidP="009573EA">
            <w:pPr>
              <w:spacing w:after="0" w:line="240" w:lineRule="auto"/>
              <w:rPr>
                <w:rFonts w:ascii="Times New Roman" w:hAnsi="Times New Roman" w:cs="Times New Roman"/>
                <w:sz w:val="20"/>
                <w:szCs w:val="24"/>
              </w:rPr>
            </w:pPr>
          </w:p>
        </w:tc>
        <w:tc>
          <w:tcPr>
            <w:tcW w:w="1162" w:type="dxa"/>
          </w:tcPr>
          <w:p w14:paraId="76EC069E" w14:textId="33C805C3" w:rsidR="00FC64F3" w:rsidRPr="00097AD0" w:rsidRDefault="00FC64F3"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T&gt;P</w:t>
            </w:r>
          </w:p>
        </w:tc>
        <w:tc>
          <w:tcPr>
            <w:tcW w:w="1163" w:type="dxa"/>
          </w:tcPr>
          <w:p w14:paraId="57C6E5CA" w14:textId="1B91C662" w:rsidR="00FC64F3" w:rsidRPr="00097AD0" w:rsidRDefault="00FC64F3"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P&gt;T</w:t>
            </w:r>
          </w:p>
        </w:tc>
        <w:tc>
          <w:tcPr>
            <w:tcW w:w="1212" w:type="dxa"/>
          </w:tcPr>
          <w:p w14:paraId="046A631C" w14:textId="42746E73" w:rsidR="00FC64F3" w:rsidRPr="00097AD0" w:rsidRDefault="00FC64F3"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Policy</w:t>
            </w:r>
          </w:p>
        </w:tc>
        <w:tc>
          <w:tcPr>
            <w:tcW w:w="1166" w:type="dxa"/>
          </w:tcPr>
          <w:p w14:paraId="0068CBCB" w14:textId="07BE0B3F" w:rsidR="00FC64F3" w:rsidRPr="00097AD0" w:rsidRDefault="00FC64F3"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T&gt;T</w:t>
            </w:r>
          </w:p>
        </w:tc>
        <w:tc>
          <w:tcPr>
            <w:tcW w:w="1160" w:type="dxa"/>
          </w:tcPr>
          <w:p w14:paraId="4F5EDB13" w14:textId="20C21EB8" w:rsidR="00FC64F3" w:rsidRPr="00097AD0" w:rsidRDefault="00FC64F3"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P&gt;P</w:t>
            </w:r>
          </w:p>
        </w:tc>
        <w:tc>
          <w:tcPr>
            <w:tcW w:w="1225" w:type="dxa"/>
          </w:tcPr>
          <w:p w14:paraId="050747D1" w14:textId="52214079" w:rsidR="00FC64F3" w:rsidRPr="00097AD0" w:rsidRDefault="00FC64F3"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Statute</w:t>
            </w:r>
          </w:p>
        </w:tc>
      </w:tr>
      <w:tr w:rsidR="00FC64F3" w:rsidRPr="00097AD0" w14:paraId="7F944A23" w14:textId="77777777" w:rsidTr="009E180C">
        <w:tc>
          <w:tcPr>
            <w:tcW w:w="2149" w:type="dxa"/>
          </w:tcPr>
          <w:p w14:paraId="4D41D95E" w14:textId="60B354AC" w:rsidR="00FC64F3" w:rsidRPr="00097AD0" w:rsidRDefault="00FC64F3"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All Cases</w:t>
            </w:r>
          </w:p>
        </w:tc>
        <w:tc>
          <w:tcPr>
            <w:tcW w:w="1162" w:type="dxa"/>
          </w:tcPr>
          <w:p w14:paraId="723CBFBD" w14:textId="5AC427D8" w:rsidR="00FC64F3" w:rsidRPr="00097AD0" w:rsidRDefault="00FC64F3"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13</w:t>
            </w:r>
          </w:p>
        </w:tc>
        <w:tc>
          <w:tcPr>
            <w:tcW w:w="1163" w:type="dxa"/>
          </w:tcPr>
          <w:p w14:paraId="1F94B8A3" w14:textId="47CE82C0" w:rsidR="00FC64F3" w:rsidRPr="00097AD0" w:rsidRDefault="00FC64F3"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14</w:t>
            </w:r>
          </w:p>
        </w:tc>
        <w:tc>
          <w:tcPr>
            <w:tcW w:w="1212" w:type="dxa"/>
          </w:tcPr>
          <w:p w14:paraId="277C0C2C" w14:textId="587AE5CD" w:rsidR="00FC64F3" w:rsidRPr="00097AD0" w:rsidRDefault="00FC64F3"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52</w:t>
            </w:r>
          </w:p>
        </w:tc>
        <w:tc>
          <w:tcPr>
            <w:tcW w:w="1166" w:type="dxa"/>
          </w:tcPr>
          <w:p w14:paraId="5CEBCE59" w14:textId="7DCED272" w:rsidR="00FC64F3" w:rsidRPr="00097AD0" w:rsidRDefault="00FC64F3"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11</w:t>
            </w:r>
          </w:p>
        </w:tc>
        <w:tc>
          <w:tcPr>
            <w:tcW w:w="1160" w:type="dxa"/>
          </w:tcPr>
          <w:p w14:paraId="5D58086B" w14:textId="026C4B9D" w:rsidR="00FC64F3" w:rsidRPr="00097AD0" w:rsidRDefault="00FC64F3"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5</w:t>
            </w:r>
          </w:p>
        </w:tc>
        <w:tc>
          <w:tcPr>
            <w:tcW w:w="1225" w:type="dxa"/>
          </w:tcPr>
          <w:p w14:paraId="1547D3C8" w14:textId="0F9D849B" w:rsidR="00FC64F3" w:rsidRPr="00097AD0" w:rsidRDefault="00FC64F3"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6</w:t>
            </w:r>
          </w:p>
        </w:tc>
      </w:tr>
      <w:tr w:rsidR="00FC64F3" w:rsidRPr="00097AD0" w14:paraId="1CD1F689" w14:textId="77777777" w:rsidTr="009573EA">
        <w:trPr>
          <w:trHeight w:val="557"/>
        </w:trPr>
        <w:tc>
          <w:tcPr>
            <w:tcW w:w="2149" w:type="dxa"/>
          </w:tcPr>
          <w:p w14:paraId="76ED208A" w14:textId="16AB395A" w:rsidR="00FC64F3" w:rsidRPr="00097AD0" w:rsidRDefault="00A35708"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ULP</w:t>
            </w:r>
            <w:r w:rsidR="00AA2D1C" w:rsidRPr="00097AD0">
              <w:rPr>
                <w:rFonts w:ascii="Times New Roman" w:hAnsi="Times New Roman" w:cs="Times New Roman"/>
                <w:b/>
                <w:sz w:val="20"/>
                <w:szCs w:val="24"/>
              </w:rPr>
              <w:t>- Employer (CA)</w:t>
            </w:r>
          </w:p>
        </w:tc>
        <w:tc>
          <w:tcPr>
            <w:tcW w:w="1162" w:type="dxa"/>
          </w:tcPr>
          <w:p w14:paraId="020649D8" w14:textId="17C9FA78" w:rsidR="00FC64F3"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13</w:t>
            </w:r>
          </w:p>
        </w:tc>
        <w:tc>
          <w:tcPr>
            <w:tcW w:w="1163" w:type="dxa"/>
          </w:tcPr>
          <w:p w14:paraId="464B92C0" w14:textId="3A9A9141" w:rsidR="00FC64F3"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13</w:t>
            </w:r>
          </w:p>
        </w:tc>
        <w:tc>
          <w:tcPr>
            <w:tcW w:w="1212" w:type="dxa"/>
          </w:tcPr>
          <w:p w14:paraId="5C499AD4" w14:textId="56C34547" w:rsidR="00FC64F3"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61</w:t>
            </w:r>
          </w:p>
        </w:tc>
        <w:tc>
          <w:tcPr>
            <w:tcW w:w="1166" w:type="dxa"/>
          </w:tcPr>
          <w:p w14:paraId="0EC5A803" w14:textId="1C458664" w:rsidR="00FC64F3"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9</w:t>
            </w:r>
          </w:p>
        </w:tc>
        <w:tc>
          <w:tcPr>
            <w:tcW w:w="1160" w:type="dxa"/>
          </w:tcPr>
          <w:p w14:paraId="4FCB2B45" w14:textId="32417CC0" w:rsidR="00FC64F3"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2</w:t>
            </w:r>
          </w:p>
        </w:tc>
        <w:tc>
          <w:tcPr>
            <w:tcW w:w="1225" w:type="dxa"/>
          </w:tcPr>
          <w:p w14:paraId="4047C80A" w14:textId="155BA419" w:rsidR="00FC64F3"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2</w:t>
            </w:r>
          </w:p>
        </w:tc>
      </w:tr>
      <w:tr w:rsidR="00AA2D1C" w:rsidRPr="00097AD0" w14:paraId="666AC988" w14:textId="77777777" w:rsidTr="009E180C">
        <w:tc>
          <w:tcPr>
            <w:tcW w:w="2149" w:type="dxa"/>
          </w:tcPr>
          <w:p w14:paraId="631DA164" w14:textId="41C3E4F2" w:rsidR="00AA2D1C" w:rsidRPr="00097AD0" w:rsidRDefault="00A35708"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 xml:space="preserve">ULP- Union (CB) </w:t>
            </w:r>
          </w:p>
        </w:tc>
        <w:tc>
          <w:tcPr>
            <w:tcW w:w="1162" w:type="dxa"/>
          </w:tcPr>
          <w:p w14:paraId="02C55FC2" w14:textId="1332FB0C"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8</w:t>
            </w:r>
          </w:p>
        </w:tc>
        <w:tc>
          <w:tcPr>
            <w:tcW w:w="1163" w:type="dxa"/>
          </w:tcPr>
          <w:p w14:paraId="68F75490" w14:textId="25D5BAC0"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8</w:t>
            </w:r>
          </w:p>
        </w:tc>
        <w:tc>
          <w:tcPr>
            <w:tcW w:w="1212" w:type="dxa"/>
          </w:tcPr>
          <w:p w14:paraId="73741644" w14:textId="136A24DB"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46</w:t>
            </w:r>
          </w:p>
        </w:tc>
        <w:tc>
          <w:tcPr>
            <w:tcW w:w="1166" w:type="dxa"/>
          </w:tcPr>
          <w:p w14:paraId="47872C82" w14:textId="6A149583"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12</w:t>
            </w:r>
          </w:p>
        </w:tc>
        <w:tc>
          <w:tcPr>
            <w:tcW w:w="1160" w:type="dxa"/>
          </w:tcPr>
          <w:p w14:paraId="27C3502B" w14:textId="32B8A605"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4</w:t>
            </w:r>
          </w:p>
        </w:tc>
        <w:tc>
          <w:tcPr>
            <w:tcW w:w="1225" w:type="dxa"/>
          </w:tcPr>
          <w:p w14:paraId="0AE74C67" w14:textId="70C5E914"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21</w:t>
            </w:r>
          </w:p>
        </w:tc>
      </w:tr>
      <w:tr w:rsidR="00AA2D1C" w:rsidRPr="00097AD0" w14:paraId="214BF74F" w14:textId="77777777" w:rsidTr="009E180C">
        <w:tc>
          <w:tcPr>
            <w:tcW w:w="2149" w:type="dxa"/>
          </w:tcPr>
          <w:p w14:paraId="046281BD" w14:textId="738B873E" w:rsidR="00AA2D1C" w:rsidRPr="00097AD0" w:rsidRDefault="00A35708" w:rsidP="009573EA">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Election/Bargaining Unit</w:t>
            </w:r>
          </w:p>
        </w:tc>
        <w:tc>
          <w:tcPr>
            <w:tcW w:w="1162" w:type="dxa"/>
          </w:tcPr>
          <w:p w14:paraId="5217EE13" w14:textId="4AD053C7"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16</w:t>
            </w:r>
          </w:p>
        </w:tc>
        <w:tc>
          <w:tcPr>
            <w:tcW w:w="1163" w:type="dxa"/>
          </w:tcPr>
          <w:p w14:paraId="7B153480" w14:textId="352AD5AE"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16</w:t>
            </w:r>
          </w:p>
        </w:tc>
        <w:tc>
          <w:tcPr>
            <w:tcW w:w="1212" w:type="dxa"/>
          </w:tcPr>
          <w:p w14:paraId="778C1E63" w14:textId="47544CA0"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42</w:t>
            </w:r>
          </w:p>
        </w:tc>
        <w:tc>
          <w:tcPr>
            <w:tcW w:w="1166" w:type="dxa"/>
          </w:tcPr>
          <w:p w14:paraId="5576C0F6" w14:textId="080C7CDB"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12</w:t>
            </w:r>
          </w:p>
        </w:tc>
        <w:tc>
          <w:tcPr>
            <w:tcW w:w="1160" w:type="dxa"/>
          </w:tcPr>
          <w:p w14:paraId="47D58717" w14:textId="621E9228"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10</w:t>
            </w:r>
          </w:p>
        </w:tc>
        <w:tc>
          <w:tcPr>
            <w:tcW w:w="1225" w:type="dxa"/>
          </w:tcPr>
          <w:p w14:paraId="65AC6282" w14:textId="49D9F600" w:rsidR="00AA2D1C" w:rsidRPr="00097AD0" w:rsidRDefault="00A35708" w:rsidP="009573EA">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3</w:t>
            </w:r>
          </w:p>
        </w:tc>
      </w:tr>
    </w:tbl>
    <w:p w14:paraId="20ECB842" w14:textId="7C0C0FD8" w:rsidR="009E180C" w:rsidRDefault="00097AD0" w:rsidP="00097AD0">
      <w:pPr>
        <w:spacing w:after="0" w:line="480" w:lineRule="auto"/>
        <w:rPr>
          <w:rFonts w:ascii="Times New Roman" w:hAnsi="Times New Roman" w:cs="Times New Roman"/>
          <w:b/>
          <w:sz w:val="24"/>
          <w:szCs w:val="24"/>
        </w:rPr>
      </w:pPr>
      <w:r>
        <w:rPr>
          <w:rFonts w:ascii="Times New Roman" w:hAnsi="Times New Roman" w:cs="Times New Roman"/>
          <w:b/>
          <w:sz w:val="24"/>
          <w:szCs w:val="24"/>
        </w:rPr>
        <w:t>Figure 13</w:t>
      </w:r>
    </w:p>
    <w:p w14:paraId="3965EFE4" w14:textId="366E967C" w:rsidR="00755C5E" w:rsidRPr="007A219C" w:rsidRDefault="00755C5E" w:rsidP="007A219C">
      <w:pPr>
        <w:spacing w:after="0" w:line="480" w:lineRule="auto"/>
        <w:ind w:firstLine="720"/>
        <w:rPr>
          <w:rFonts w:ascii="Times New Roman" w:hAnsi="Times New Roman" w:cs="Times New Roman"/>
          <w:b/>
          <w:sz w:val="24"/>
          <w:szCs w:val="24"/>
        </w:rPr>
      </w:pPr>
      <w:r w:rsidRPr="00BE30CD">
        <w:rPr>
          <w:noProof/>
        </w:rPr>
        <w:drawing>
          <wp:inline distT="0" distB="0" distL="0" distR="0" wp14:anchorId="49FFD8DB" wp14:editId="772F23EB">
            <wp:extent cx="5118100" cy="37465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4E94C2EF" w14:textId="77777777" w:rsidR="00EF312D" w:rsidRDefault="00EF312D" w:rsidP="00E35AE5">
      <w:pPr>
        <w:spacing w:after="0" w:line="480" w:lineRule="auto"/>
        <w:ind w:firstLine="720"/>
        <w:rPr>
          <w:rFonts w:ascii="Times New Roman" w:hAnsi="Times New Roman" w:cs="Times New Roman"/>
          <w:sz w:val="24"/>
          <w:szCs w:val="24"/>
        </w:rPr>
      </w:pPr>
    </w:p>
    <w:p w14:paraId="304F280D" w14:textId="77777777" w:rsidR="00204F85" w:rsidRPr="00097AD0" w:rsidRDefault="00204F85" w:rsidP="00204F85">
      <w:pPr>
        <w:spacing w:after="0" w:line="480" w:lineRule="auto"/>
        <w:rPr>
          <w:rFonts w:ascii="Times New Roman" w:hAnsi="Times New Roman" w:cs="Times New Roman"/>
          <w:b/>
          <w:sz w:val="20"/>
          <w:szCs w:val="24"/>
        </w:rPr>
      </w:pPr>
      <w:r>
        <w:rPr>
          <w:rFonts w:ascii="Times New Roman" w:hAnsi="Times New Roman" w:cs="Times New Roman"/>
          <w:b/>
          <w:sz w:val="20"/>
          <w:szCs w:val="24"/>
        </w:rPr>
        <w:t>Table 14</w:t>
      </w:r>
      <w:r w:rsidRPr="00097AD0">
        <w:rPr>
          <w:rFonts w:ascii="Times New Roman" w:hAnsi="Times New Roman" w:cs="Times New Roman"/>
          <w:b/>
          <w:sz w:val="20"/>
          <w:szCs w:val="24"/>
        </w:rPr>
        <w:t>: Due</w:t>
      </w:r>
      <w:r>
        <w:rPr>
          <w:rFonts w:ascii="Times New Roman" w:hAnsi="Times New Roman" w:cs="Times New Roman"/>
          <w:b/>
          <w:sz w:val="20"/>
          <w:szCs w:val="24"/>
        </w:rPr>
        <w:t>ling Methodologies, by Majority of Panel and Administration</w:t>
      </w:r>
    </w:p>
    <w:tbl>
      <w:tblPr>
        <w:tblStyle w:val="TableGrid"/>
        <w:tblW w:w="0" w:type="auto"/>
        <w:tblInd w:w="113" w:type="dxa"/>
        <w:tblLook w:val="04A0" w:firstRow="1" w:lastRow="0" w:firstColumn="1" w:lastColumn="0" w:noHBand="0" w:noVBand="1"/>
      </w:tblPr>
      <w:tblGrid>
        <w:gridCol w:w="2149"/>
        <w:gridCol w:w="1162"/>
        <w:gridCol w:w="1163"/>
        <w:gridCol w:w="1212"/>
        <w:gridCol w:w="1166"/>
        <w:gridCol w:w="1160"/>
        <w:gridCol w:w="1225"/>
      </w:tblGrid>
      <w:tr w:rsidR="00204F85" w:rsidRPr="00097AD0" w14:paraId="4F02FB5C" w14:textId="77777777" w:rsidTr="00134601">
        <w:tc>
          <w:tcPr>
            <w:tcW w:w="2149" w:type="dxa"/>
          </w:tcPr>
          <w:p w14:paraId="67C03637" w14:textId="77777777" w:rsidR="00204F85" w:rsidRPr="00097AD0" w:rsidRDefault="00204F85" w:rsidP="00134601">
            <w:pPr>
              <w:spacing w:after="0" w:line="240" w:lineRule="auto"/>
              <w:rPr>
                <w:rFonts w:ascii="Times New Roman" w:hAnsi="Times New Roman" w:cs="Times New Roman"/>
                <w:sz w:val="20"/>
                <w:szCs w:val="24"/>
              </w:rPr>
            </w:pPr>
          </w:p>
        </w:tc>
        <w:tc>
          <w:tcPr>
            <w:tcW w:w="1162" w:type="dxa"/>
          </w:tcPr>
          <w:p w14:paraId="53ECBE5C" w14:textId="77777777" w:rsidR="00204F85" w:rsidRPr="00097AD0" w:rsidRDefault="00204F85" w:rsidP="0013460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T&gt;P</w:t>
            </w:r>
          </w:p>
        </w:tc>
        <w:tc>
          <w:tcPr>
            <w:tcW w:w="1163" w:type="dxa"/>
          </w:tcPr>
          <w:p w14:paraId="3C4FBC38" w14:textId="77777777" w:rsidR="00204F85" w:rsidRPr="00097AD0" w:rsidRDefault="00204F85" w:rsidP="0013460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P&gt;T</w:t>
            </w:r>
          </w:p>
        </w:tc>
        <w:tc>
          <w:tcPr>
            <w:tcW w:w="1212" w:type="dxa"/>
          </w:tcPr>
          <w:p w14:paraId="59F4804A" w14:textId="77777777" w:rsidR="00204F85" w:rsidRPr="00097AD0" w:rsidRDefault="00204F85" w:rsidP="0013460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Policy</w:t>
            </w:r>
          </w:p>
        </w:tc>
        <w:tc>
          <w:tcPr>
            <w:tcW w:w="1166" w:type="dxa"/>
          </w:tcPr>
          <w:p w14:paraId="13EA8FD2" w14:textId="77777777" w:rsidR="00204F85" w:rsidRPr="00097AD0" w:rsidRDefault="00204F85" w:rsidP="0013460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T&gt;T</w:t>
            </w:r>
          </w:p>
        </w:tc>
        <w:tc>
          <w:tcPr>
            <w:tcW w:w="1160" w:type="dxa"/>
          </w:tcPr>
          <w:p w14:paraId="289C2536" w14:textId="77777777" w:rsidR="00204F85" w:rsidRPr="00097AD0" w:rsidRDefault="00204F85" w:rsidP="0013460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P&gt;P</w:t>
            </w:r>
          </w:p>
        </w:tc>
        <w:tc>
          <w:tcPr>
            <w:tcW w:w="1225" w:type="dxa"/>
          </w:tcPr>
          <w:p w14:paraId="094C4BC2" w14:textId="77777777" w:rsidR="00204F85" w:rsidRPr="00097AD0" w:rsidRDefault="00204F85" w:rsidP="0013460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Statute</w:t>
            </w:r>
          </w:p>
        </w:tc>
      </w:tr>
      <w:tr w:rsidR="00204F85" w:rsidRPr="00097AD0" w14:paraId="4337A7F8" w14:textId="77777777" w:rsidTr="00134601">
        <w:tc>
          <w:tcPr>
            <w:tcW w:w="2149" w:type="dxa"/>
          </w:tcPr>
          <w:p w14:paraId="4071E6DE" w14:textId="77777777" w:rsidR="00204F85" w:rsidRPr="00097AD0" w:rsidRDefault="00204F85" w:rsidP="00134601">
            <w:pPr>
              <w:spacing w:after="0" w:line="240" w:lineRule="auto"/>
              <w:rPr>
                <w:rFonts w:ascii="Times New Roman" w:hAnsi="Times New Roman" w:cs="Times New Roman"/>
                <w:b/>
                <w:sz w:val="20"/>
                <w:szCs w:val="24"/>
              </w:rPr>
            </w:pPr>
            <w:r>
              <w:rPr>
                <w:rFonts w:ascii="Times New Roman" w:hAnsi="Times New Roman" w:cs="Times New Roman"/>
                <w:b/>
                <w:sz w:val="20"/>
                <w:szCs w:val="24"/>
              </w:rPr>
              <w:t>Dem. Maj/Clinton</w:t>
            </w:r>
          </w:p>
        </w:tc>
        <w:tc>
          <w:tcPr>
            <w:tcW w:w="1162" w:type="dxa"/>
          </w:tcPr>
          <w:p w14:paraId="6CB2A272"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8</w:t>
            </w:r>
          </w:p>
        </w:tc>
        <w:tc>
          <w:tcPr>
            <w:tcW w:w="1163" w:type="dxa"/>
          </w:tcPr>
          <w:p w14:paraId="1C0EDA6A"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5</w:t>
            </w:r>
          </w:p>
        </w:tc>
        <w:tc>
          <w:tcPr>
            <w:tcW w:w="1212" w:type="dxa"/>
          </w:tcPr>
          <w:p w14:paraId="00DDD6AC"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57</w:t>
            </w:r>
          </w:p>
        </w:tc>
        <w:tc>
          <w:tcPr>
            <w:tcW w:w="1166" w:type="dxa"/>
          </w:tcPr>
          <w:p w14:paraId="598146DF"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8</w:t>
            </w:r>
          </w:p>
        </w:tc>
        <w:tc>
          <w:tcPr>
            <w:tcW w:w="1160" w:type="dxa"/>
          </w:tcPr>
          <w:p w14:paraId="4F88B04E"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8</w:t>
            </w:r>
          </w:p>
        </w:tc>
        <w:tc>
          <w:tcPr>
            <w:tcW w:w="1225" w:type="dxa"/>
          </w:tcPr>
          <w:p w14:paraId="49E076BA"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14</w:t>
            </w:r>
          </w:p>
        </w:tc>
      </w:tr>
      <w:tr w:rsidR="00204F85" w:rsidRPr="00097AD0" w14:paraId="7E7AB698" w14:textId="77777777" w:rsidTr="00134601">
        <w:trPr>
          <w:trHeight w:val="20"/>
        </w:trPr>
        <w:tc>
          <w:tcPr>
            <w:tcW w:w="2149" w:type="dxa"/>
          </w:tcPr>
          <w:p w14:paraId="4933AC3C" w14:textId="77777777" w:rsidR="00204F85" w:rsidRPr="00097AD0" w:rsidRDefault="00204F85" w:rsidP="00134601">
            <w:pPr>
              <w:spacing w:after="0" w:line="240" w:lineRule="auto"/>
              <w:rPr>
                <w:rFonts w:ascii="Times New Roman" w:hAnsi="Times New Roman" w:cs="Times New Roman"/>
                <w:b/>
                <w:sz w:val="20"/>
                <w:szCs w:val="24"/>
              </w:rPr>
            </w:pPr>
            <w:r>
              <w:rPr>
                <w:rFonts w:ascii="Times New Roman" w:hAnsi="Times New Roman" w:cs="Times New Roman"/>
                <w:b/>
                <w:sz w:val="20"/>
                <w:szCs w:val="24"/>
              </w:rPr>
              <w:t>Rep. Maj./Clinton</w:t>
            </w:r>
          </w:p>
        </w:tc>
        <w:tc>
          <w:tcPr>
            <w:tcW w:w="1162" w:type="dxa"/>
          </w:tcPr>
          <w:p w14:paraId="5E635D26"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0</w:t>
            </w:r>
          </w:p>
        </w:tc>
        <w:tc>
          <w:tcPr>
            <w:tcW w:w="1163" w:type="dxa"/>
          </w:tcPr>
          <w:p w14:paraId="24F97577"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50</w:t>
            </w:r>
          </w:p>
        </w:tc>
        <w:tc>
          <w:tcPr>
            <w:tcW w:w="1212" w:type="dxa"/>
          </w:tcPr>
          <w:p w14:paraId="111C16F9"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50</w:t>
            </w:r>
          </w:p>
        </w:tc>
        <w:tc>
          <w:tcPr>
            <w:tcW w:w="1166" w:type="dxa"/>
          </w:tcPr>
          <w:p w14:paraId="7DA9FF88"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0</w:t>
            </w:r>
          </w:p>
        </w:tc>
        <w:tc>
          <w:tcPr>
            <w:tcW w:w="1160" w:type="dxa"/>
          </w:tcPr>
          <w:p w14:paraId="7DBD03A2"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0</w:t>
            </w:r>
          </w:p>
        </w:tc>
        <w:tc>
          <w:tcPr>
            <w:tcW w:w="1225" w:type="dxa"/>
          </w:tcPr>
          <w:p w14:paraId="5741482C"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0</w:t>
            </w:r>
          </w:p>
        </w:tc>
      </w:tr>
      <w:tr w:rsidR="00204F85" w:rsidRPr="00097AD0" w14:paraId="5D9B3F51" w14:textId="77777777" w:rsidTr="00134601">
        <w:trPr>
          <w:trHeight w:val="20"/>
        </w:trPr>
        <w:tc>
          <w:tcPr>
            <w:tcW w:w="2149" w:type="dxa"/>
          </w:tcPr>
          <w:p w14:paraId="44BBD3AA" w14:textId="77777777" w:rsidR="00204F85" w:rsidRDefault="00204F85" w:rsidP="00134601">
            <w:pPr>
              <w:spacing w:after="0" w:line="240" w:lineRule="auto"/>
              <w:rPr>
                <w:rFonts w:ascii="Times New Roman" w:hAnsi="Times New Roman" w:cs="Times New Roman"/>
                <w:b/>
                <w:sz w:val="20"/>
                <w:szCs w:val="24"/>
              </w:rPr>
            </w:pPr>
            <w:r>
              <w:rPr>
                <w:rFonts w:ascii="Times New Roman" w:hAnsi="Times New Roman" w:cs="Times New Roman"/>
                <w:b/>
                <w:sz w:val="20"/>
                <w:szCs w:val="24"/>
              </w:rPr>
              <w:t>Dem. Maj./Bush II</w:t>
            </w:r>
          </w:p>
        </w:tc>
        <w:tc>
          <w:tcPr>
            <w:tcW w:w="1162" w:type="dxa"/>
          </w:tcPr>
          <w:p w14:paraId="74B3F0B4"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17</w:t>
            </w:r>
          </w:p>
        </w:tc>
        <w:tc>
          <w:tcPr>
            <w:tcW w:w="1163" w:type="dxa"/>
          </w:tcPr>
          <w:p w14:paraId="36262253"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17</w:t>
            </w:r>
          </w:p>
        </w:tc>
        <w:tc>
          <w:tcPr>
            <w:tcW w:w="1212" w:type="dxa"/>
          </w:tcPr>
          <w:p w14:paraId="6FFFAA95"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42</w:t>
            </w:r>
          </w:p>
        </w:tc>
        <w:tc>
          <w:tcPr>
            <w:tcW w:w="1166" w:type="dxa"/>
          </w:tcPr>
          <w:p w14:paraId="3E400D91"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0</w:t>
            </w:r>
          </w:p>
        </w:tc>
        <w:tc>
          <w:tcPr>
            <w:tcW w:w="1160" w:type="dxa"/>
          </w:tcPr>
          <w:p w14:paraId="3A553BD5"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25</w:t>
            </w:r>
          </w:p>
        </w:tc>
        <w:tc>
          <w:tcPr>
            <w:tcW w:w="1225" w:type="dxa"/>
          </w:tcPr>
          <w:p w14:paraId="72E53125"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0</w:t>
            </w:r>
          </w:p>
        </w:tc>
      </w:tr>
      <w:tr w:rsidR="00204F85" w:rsidRPr="00097AD0" w14:paraId="4C4E0173" w14:textId="77777777" w:rsidTr="00134601">
        <w:tc>
          <w:tcPr>
            <w:tcW w:w="2149" w:type="dxa"/>
          </w:tcPr>
          <w:p w14:paraId="27D8EF67" w14:textId="77777777" w:rsidR="00204F85" w:rsidRPr="00097AD0" w:rsidRDefault="00204F85" w:rsidP="00134601">
            <w:pPr>
              <w:spacing w:after="0" w:line="240" w:lineRule="auto"/>
              <w:rPr>
                <w:rFonts w:ascii="Times New Roman" w:hAnsi="Times New Roman" w:cs="Times New Roman"/>
                <w:b/>
                <w:sz w:val="20"/>
                <w:szCs w:val="24"/>
              </w:rPr>
            </w:pPr>
            <w:r>
              <w:rPr>
                <w:rFonts w:ascii="Times New Roman" w:hAnsi="Times New Roman" w:cs="Times New Roman"/>
                <w:b/>
                <w:sz w:val="20"/>
                <w:szCs w:val="24"/>
              </w:rPr>
              <w:t>Rep. Maj./Bush II</w:t>
            </w:r>
          </w:p>
        </w:tc>
        <w:tc>
          <w:tcPr>
            <w:tcW w:w="1162" w:type="dxa"/>
          </w:tcPr>
          <w:p w14:paraId="48650840"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17</w:t>
            </w:r>
          </w:p>
        </w:tc>
        <w:tc>
          <w:tcPr>
            <w:tcW w:w="1163" w:type="dxa"/>
          </w:tcPr>
          <w:p w14:paraId="66FA642D"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13</w:t>
            </w:r>
          </w:p>
        </w:tc>
        <w:tc>
          <w:tcPr>
            <w:tcW w:w="1212" w:type="dxa"/>
          </w:tcPr>
          <w:p w14:paraId="2EE205E3"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52</w:t>
            </w:r>
          </w:p>
        </w:tc>
        <w:tc>
          <w:tcPr>
            <w:tcW w:w="1166" w:type="dxa"/>
          </w:tcPr>
          <w:p w14:paraId="3008B2C0"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8</w:t>
            </w:r>
          </w:p>
        </w:tc>
        <w:tc>
          <w:tcPr>
            <w:tcW w:w="1160" w:type="dxa"/>
          </w:tcPr>
          <w:p w14:paraId="58BE4F0F"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4</w:t>
            </w:r>
          </w:p>
        </w:tc>
        <w:tc>
          <w:tcPr>
            <w:tcW w:w="1225" w:type="dxa"/>
          </w:tcPr>
          <w:p w14:paraId="17EBCE17"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4</w:t>
            </w:r>
          </w:p>
        </w:tc>
      </w:tr>
      <w:tr w:rsidR="00204F85" w:rsidRPr="00097AD0" w14:paraId="32D63038" w14:textId="77777777" w:rsidTr="00134601">
        <w:trPr>
          <w:trHeight w:val="215"/>
        </w:trPr>
        <w:tc>
          <w:tcPr>
            <w:tcW w:w="2149" w:type="dxa"/>
          </w:tcPr>
          <w:p w14:paraId="679A8259" w14:textId="77777777" w:rsidR="00204F85" w:rsidRPr="00097AD0" w:rsidRDefault="00204F85" w:rsidP="00134601">
            <w:pPr>
              <w:spacing w:after="0" w:line="240" w:lineRule="auto"/>
              <w:rPr>
                <w:rFonts w:ascii="Times New Roman" w:hAnsi="Times New Roman" w:cs="Times New Roman"/>
                <w:b/>
                <w:sz w:val="20"/>
                <w:szCs w:val="24"/>
              </w:rPr>
            </w:pPr>
            <w:r>
              <w:rPr>
                <w:rFonts w:ascii="Times New Roman" w:hAnsi="Times New Roman" w:cs="Times New Roman"/>
                <w:b/>
                <w:sz w:val="20"/>
                <w:szCs w:val="24"/>
              </w:rPr>
              <w:t>Dem. Maj/ Obama</w:t>
            </w:r>
          </w:p>
        </w:tc>
        <w:tc>
          <w:tcPr>
            <w:tcW w:w="1162" w:type="dxa"/>
          </w:tcPr>
          <w:p w14:paraId="2D878DEA"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14</w:t>
            </w:r>
          </w:p>
        </w:tc>
        <w:tc>
          <w:tcPr>
            <w:tcW w:w="1163" w:type="dxa"/>
          </w:tcPr>
          <w:p w14:paraId="445C0DF8"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17</w:t>
            </w:r>
          </w:p>
        </w:tc>
        <w:tc>
          <w:tcPr>
            <w:tcW w:w="1212" w:type="dxa"/>
          </w:tcPr>
          <w:p w14:paraId="1A90B345"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51</w:t>
            </w:r>
          </w:p>
        </w:tc>
        <w:tc>
          <w:tcPr>
            <w:tcW w:w="1166" w:type="dxa"/>
          </w:tcPr>
          <w:p w14:paraId="3C3A1F2E"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11</w:t>
            </w:r>
          </w:p>
        </w:tc>
        <w:tc>
          <w:tcPr>
            <w:tcW w:w="1160" w:type="dxa"/>
          </w:tcPr>
          <w:p w14:paraId="1CCAFBA2"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3</w:t>
            </w:r>
          </w:p>
        </w:tc>
        <w:tc>
          <w:tcPr>
            <w:tcW w:w="1225" w:type="dxa"/>
          </w:tcPr>
          <w:p w14:paraId="32243A1D" w14:textId="77777777" w:rsidR="00204F85" w:rsidRPr="00097AD0" w:rsidRDefault="00204F85" w:rsidP="00134601">
            <w:pPr>
              <w:spacing w:after="0" w:line="240" w:lineRule="auto"/>
              <w:rPr>
                <w:rFonts w:ascii="Times New Roman" w:hAnsi="Times New Roman" w:cs="Times New Roman"/>
                <w:sz w:val="20"/>
                <w:szCs w:val="24"/>
              </w:rPr>
            </w:pPr>
            <w:r>
              <w:rPr>
                <w:rFonts w:ascii="Times New Roman" w:hAnsi="Times New Roman" w:cs="Times New Roman"/>
                <w:sz w:val="20"/>
                <w:szCs w:val="24"/>
              </w:rPr>
              <w:t>3</w:t>
            </w:r>
          </w:p>
        </w:tc>
      </w:tr>
    </w:tbl>
    <w:p w14:paraId="005A1163" w14:textId="77777777" w:rsidR="00757B71" w:rsidRDefault="00757B71" w:rsidP="00204F85">
      <w:pPr>
        <w:spacing w:after="0" w:line="480" w:lineRule="auto"/>
        <w:rPr>
          <w:rFonts w:ascii="Times New Roman" w:hAnsi="Times New Roman" w:cs="Times New Roman"/>
          <w:sz w:val="24"/>
          <w:szCs w:val="24"/>
        </w:rPr>
      </w:pPr>
    </w:p>
    <w:p w14:paraId="7BBCC0E8" w14:textId="29AD81D2" w:rsidR="00EF312D" w:rsidRPr="00204F85" w:rsidRDefault="00204F85" w:rsidP="00204F85">
      <w:pPr>
        <w:spacing w:after="0" w:line="480" w:lineRule="auto"/>
        <w:rPr>
          <w:rFonts w:ascii="Times New Roman" w:hAnsi="Times New Roman" w:cs="Times New Roman"/>
          <w:b/>
          <w:sz w:val="24"/>
          <w:szCs w:val="24"/>
        </w:rPr>
      </w:pPr>
      <w:r>
        <w:rPr>
          <w:rFonts w:ascii="Times New Roman" w:hAnsi="Times New Roman" w:cs="Times New Roman"/>
          <w:b/>
          <w:sz w:val="24"/>
          <w:szCs w:val="24"/>
        </w:rPr>
        <w:t>Figure 14</w:t>
      </w:r>
    </w:p>
    <w:p w14:paraId="70FDD632" w14:textId="77777777" w:rsidR="00EF312D" w:rsidRDefault="00EF312D" w:rsidP="00E35AE5">
      <w:pPr>
        <w:spacing w:after="0" w:line="480" w:lineRule="auto"/>
        <w:ind w:firstLine="720"/>
        <w:rPr>
          <w:rFonts w:ascii="Times New Roman" w:hAnsi="Times New Roman" w:cs="Times New Roman"/>
          <w:sz w:val="24"/>
          <w:szCs w:val="24"/>
        </w:rPr>
      </w:pPr>
      <w:r w:rsidRPr="0099083C">
        <w:rPr>
          <w:rFonts w:ascii="Times New Roman" w:hAnsi="Times New Roman" w:cs="Times New Roman"/>
          <w:noProof/>
          <w:sz w:val="24"/>
          <w:szCs w:val="24"/>
        </w:rPr>
        <w:drawing>
          <wp:inline distT="0" distB="0" distL="0" distR="0" wp14:anchorId="516DB2D9" wp14:editId="78730E70">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9200" cy="3657600"/>
                    </a:xfrm>
                    <a:prstGeom prst="rect">
                      <a:avLst/>
                    </a:prstGeom>
                  </pic:spPr>
                </pic:pic>
              </a:graphicData>
            </a:graphic>
          </wp:inline>
        </w:drawing>
      </w:r>
    </w:p>
    <w:p w14:paraId="11E75EC4" w14:textId="77777777" w:rsidR="00757B71" w:rsidRDefault="00757B71" w:rsidP="00204F85">
      <w:pPr>
        <w:spacing w:after="0" w:line="480" w:lineRule="auto"/>
        <w:rPr>
          <w:rFonts w:ascii="Times New Roman" w:hAnsi="Times New Roman" w:cs="Times New Roman"/>
          <w:b/>
          <w:noProof/>
          <w:sz w:val="24"/>
          <w:szCs w:val="24"/>
        </w:rPr>
      </w:pPr>
    </w:p>
    <w:p w14:paraId="351EB556" w14:textId="77777777" w:rsidR="00757B71" w:rsidRDefault="00757B71" w:rsidP="00204F85">
      <w:pPr>
        <w:spacing w:after="0" w:line="480" w:lineRule="auto"/>
        <w:rPr>
          <w:rFonts w:ascii="Times New Roman" w:hAnsi="Times New Roman" w:cs="Times New Roman"/>
          <w:b/>
          <w:noProof/>
          <w:sz w:val="24"/>
          <w:szCs w:val="24"/>
        </w:rPr>
      </w:pPr>
    </w:p>
    <w:p w14:paraId="27811ACD" w14:textId="77777777" w:rsidR="00757B71" w:rsidRDefault="00757B71" w:rsidP="00204F85">
      <w:pPr>
        <w:spacing w:after="0" w:line="480" w:lineRule="auto"/>
        <w:rPr>
          <w:rFonts w:ascii="Times New Roman" w:hAnsi="Times New Roman" w:cs="Times New Roman"/>
          <w:b/>
          <w:noProof/>
          <w:sz w:val="24"/>
          <w:szCs w:val="24"/>
        </w:rPr>
      </w:pPr>
    </w:p>
    <w:p w14:paraId="05B0BE31" w14:textId="77777777" w:rsidR="00757B71" w:rsidRDefault="00757B71" w:rsidP="00204F85">
      <w:pPr>
        <w:spacing w:after="0" w:line="480" w:lineRule="auto"/>
        <w:rPr>
          <w:rFonts w:ascii="Times New Roman" w:hAnsi="Times New Roman" w:cs="Times New Roman"/>
          <w:b/>
          <w:noProof/>
          <w:sz w:val="24"/>
          <w:szCs w:val="24"/>
        </w:rPr>
      </w:pPr>
    </w:p>
    <w:p w14:paraId="0F661DB0" w14:textId="77777777" w:rsidR="00757B71" w:rsidRDefault="00757B71" w:rsidP="00204F85">
      <w:pPr>
        <w:spacing w:after="0" w:line="480" w:lineRule="auto"/>
        <w:rPr>
          <w:rFonts w:ascii="Times New Roman" w:hAnsi="Times New Roman" w:cs="Times New Roman"/>
          <w:b/>
          <w:noProof/>
          <w:sz w:val="24"/>
          <w:szCs w:val="24"/>
        </w:rPr>
      </w:pPr>
    </w:p>
    <w:p w14:paraId="5AB1A60F" w14:textId="77777777" w:rsidR="00757B71" w:rsidRDefault="00757B71" w:rsidP="00204F85">
      <w:pPr>
        <w:spacing w:after="0" w:line="480" w:lineRule="auto"/>
        <w:rPr>
          <w:rFonts w:ascii="Times New Roman" w:hAnsi="Times New Roman" w:cs="Times New Roman"/>
          <w:b/>
          <w:noProof/>
          <w:sz w:val="24"/>
          <w:szCs w:val="24"/>
        </w:rPr>
      </w:pPr>
    </w:p>
    <w:p w14:paraId="01897CCF" w14:textId="77D5A897" w:rsidR="00EF312D" w:rsidRDefault="00204F85" w:rsidP="00204F85">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Figure 15</w:t>
      </w:r>
    </w:p>
    <w:p w14:paraId="2D8272AC" w14:textId="7790B3E2" w:rsidR="00204F85" w:rsidRPr="00204F85" w:rsidRDefault="00204F85" w:rsidP="00E35AE5">
      <w:pPr>
        <w:spacing w:after="0" w:line="480" w:lineRule="auto"/>
        <w:ind w:firstLine="720"/>
        <w:rPr>
          <w:rFonts w:ascii="Times New Roman" w:hAnsi="Times New Roman" w:cs="Times New Roman"/>
          <w:b/>
          <w:sz w:val="24"/>
          <w:szCs w:val="24"/>
        </w:rPr>
      </w:pPr>
      <w:r w:rsidRPr="00456A0F">
        <w:rPr>
          <w:rFonts w:ascii="Times New Roman" w:hAnsi="Times New Roman" w:cs="Times New Roman"/>
          <w:noProof/>
          <w:sz w:val="24"/>
          <w:szCs w:val="24"/>
        </w:rPr>
        <w:drawing>
          <wp:inline distT="0" distB="0" distL="0" distR="0" wp14:anchorId="0551D220" wp14:editId="2EF6D431">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29200" cy="3657600"/>
                    </a:xfrm>
                    <a:prstGeom prst="rect">
                      <a:avLst/>
                    </a:prstGeom>
                  </pic:spPr>
                </pic:pic>
              </a:graphicData>
            </a:graphic>
          </wp:inline>
        </w:drawing>
      </w:r>
    </w:p>
    <w:p w14:paraId="2E3DA84B" w14:textId="57C75B78" w:rsidR="006E1FCF" w:rsidRDefault="00097AD0" w:rsidP="00E35A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broke</w:t>
      </w:r>
      <w:r w:rsidR="006E1FCF">
        <w:rPr>
          <w:rFonts w:ascii="Times New Roman" w:hAnsi="Times New Roman" w:cs="Times New Roman"/>
          <w:sz w:val="24"/>
          <w:szCs w:val="24"/>
        </w:rPr>
        <w:t xml:space="preserve"> down the categories further into </w:t>
      </w:r>
      <w:r w:rsidR="001B2AFB">
        <w:rPr>
          <w:rFonts w:ascii="Times New Roman" w:hAnsi="Times New Roman" w:cs="Times New Roman"/>
          <w:sz w:val="24"/>
          <w:szCs w:val="24"/>
        </w:rPr>
        <w:t xml:space="preserve">two </w:t>
      </w:r>
      <w:r w:rsidR="00E86D02">
        <w:rPr>
          <w:rFonts w:ascii="Times New Roman" w:hAnsi="Times New Roman" w:cs="Times New Roman"/>
          <w:sz w:val="24"/>
          <w:szCs w:val="24"/>
        </w:rPr>
        <w:t>categories</w:t>
      </w:r>
      <w:r w:rsidR="009573EA">
        <w:rPr>
          <w:rFonts w:ascii="Times New Roman" w:hAnsi="Times New Roman" w:cs="Times New Roman"/>
          <w:sz w:val="24"/>
          <w:szCs w:val="24"/>
        </w:rPr>
        <w:t>:</w:t>
      </w:r>
      <w:r w:rsidR="001B2AFB">
        <w:rPr>
          <w:rFonts w:ascii="Times New Roman" w:hAnsi="Times New Roman" w:cs="Times New Roman"/>
          <w:sz w:val="24"/>
          <w:szCs w:val="24"/>
        </w:rPr>
        <w:t xml:space="preserve"> </w:t>
      </w:r>
      <w:r w:rsidR="006F07ED">
        <w:rPr>
          <w:rFonts w:ascii="Times New Roman" w:hAnsi="Times New Roman" w:cs="Times New Roman"/>
          <w:sz w:val="24"/>
          <w:szCs w:val="24"/>
        </w:rPr>
        <w:t>disputes about method (text v. purposive, purposive v. text or text v. text) versus policy only disputes</w:t>
      </w:r>
      <w:r w:rsidR="00204F85">
        <w:rPr>
          <w:rFonts w:ascii="Times New Roman" w:hAnsi="Times New Roman" w:cs="Times New Roman"/>
          <w:sz w:val="24"/>
          <w:szCs w:val="24"/>
        </w:rPr>
        <w:t xml:space="preserve"> in Table 15 and Figure 16</w:t>
      </w:r>
      <w:r w:rsidR="006F07ED">
        <w:rPr>
          <w:rFonts w:ascii="Times New Roman" w:hAnsi="Times New Roman" w:cs="Times New Roman"/>
          <w:sz w:val="24"/>
          <w:szCs w:val="24"/>
        </w:rPr>
        <w:t xml:space="preserve">. </w:t>
      </w:r>
      <w:r w:rsidR="006E1FCF">
        <w:rPr>
          <w:rFonts w:ascii="Times New Roman" w:hAnsi="Times New Roman" w:cs="Times New Roman"/>
          <w:sz w:val="24"/>
          <w:szCs w:val="24"/>
        </w:rPr>
        <w:t>I group the “statutes” category in with the “policy” disputes category because which statute to apply in any given chance is most likely a policy choice based on how you read the statut</w:t>
      </w:r>
      <w:r w:rsidR="00824049">
        <w:rPr>
          <w:rFonts w:ascii="Times New Roman" w:hAnsi="Times New Roman" w:cs="Times New Roman"/>
          <w:sz w:val="24"/>
          <w:szCs w:val="24"/>
        </w:rPr>
        <w:t xml:space="preserve">e. </w:t>
      </w:r>
      <w:r w:rsidR="006E1FCF">
        <w:rPr>
          <w:rFonts w:ascii="Times New Roman" w:hAnsi="Times New Roman" w:cs="Times New Roman"/>
          <w:sz w:val="24"/>
          <w:szCs w:val="24"/>
        </w:rPr>
        <w:t>We see t</w:t>
      </w:r>
      <w:r w:rsidR="00AA09A7">
        <w:rPr>
          <w:rFonts w:ascii="Times New Roman" w:hAnsi="Times New Roman" w:cs="Times New Roman"/>
          <w:sz w:val="24"/>
          <w:szCs w:val="24"/>
        </w:rPr>
        <w:t>hat in this new characterization</w:t>
      </w:r>
      <w:r w:rsidR="006E1FCF">
        <w:rPr>
          <w:rFonts w:ascii="Times New Roman" w:hAnsi="Times New Roman" w:cs="Times New Roman"/>
          <w:sz w:val="24"/>
          <w:szCs w:val="24"/>
        </w:rPr>
        <w:t xml:space="preserve"> about 63% of the cases amount to policy disputes, with 11% being about text alone and another 26% of cases concerning a dispute between the text and policy or policy and the text, with the majority and Board taking opposite sides in the argument.</w:t>
      </w:r>
      <w:r w:rsidR="00824049">
        <w:rPr>
          <w:rFonts w:ascii="Times New Roman" w:hAnsi="Times New Roman" w:cs="Times New Roman"/>
          <w:sz w:val="24"/>
          <w:szCs w:val="24"/>
        </w:rPr>
        <w:t xml:space="preserve"> </w:t>
      </w:r>
      <w:r w:rsidR="001D23E4">
        <w:rPr>
          <w:rFonts w:ascii="Times New Roman" w:hAnsi="Times New Roman" w:cs="Times New Roman"/>
          <w:sz w:val="24"/>
          <w:szCs w:val="24"/>
        </w:rPr>
        <w:t>These numbers are also similar broken down by case type, party of the panel and t</w:t>
      </w:r>
      <w:r w:rsidR="0099083C">
        <w:rPr>
          <w:rFonts w:ascii="Times New Roman" w:hAnsi="Times New Roman" w:cs="Times New Roman"/>
          <w:sz w:val="24"/>
          <w:szCs w:val="24"/>
        </w:rPr>
        <w:t xml:space="preserve">he presidential administration, though there are some differences. </w:t>
      </w:r>
      <w:r w:rsidR="006328A6">
        <w:rPr>
          <w:rFonts w:ascii="Times New Roman" w:hAnsi="Times New Roman" w:cs="Times New Roman"/>
          <w:sz w:val="24"/>
          <w:szCs w:val="24"/>
        </w:rPr>
        <w:t>When we look at the differences by majority party of the panel and administration, we see the marked decrease in Democratic panels in policy only duels. The Democratic majority in the Clinton administration bargained with the dissent over text or purpose only 22% of the time; that number is 43% during the Obama administration.</w:t>
      </w:r>
    </w:p>
    <w:p w14:paraId="4B278818" w14:textId="1CB02604" w:rsidR="00204F85" w:rsidRPr="00204F85" w:rsidRDefault="00204F85" w:rsidP="00204F85">
      <w:pPr>
        <w:spacing w:after="0" w:line="480" w:lineRule="auto"/>
        <w:rPr>
          <w:rFonts w:ascii="Times New Roman" w:hAnsi="Times New Roman" w:cs="Times New Roman"/>
          <w:b/>
          <w:sz w:val="24"/>
          <w:szCs w:val="24"/>
        </w:rPr>
      </w:pPr>
      <w:r w:rsidRPr="00204F85">
        <w:rPr>
          <w:rFonts w:ascii="Times New Roman" w:hAnsi="Times New Roman" w:cs="Times New Roman"/>
          <w:b/>
          <w:sz w:val="24"/>
          <w:szCs w:val="24"/>
        </w:rPr>
        <w:lastRenderedPageBreak/>
        <w:t>Table 15</w:t>
      </w:r>
      <w:r>
        <w:rPr>
          <w:rFonts w:ascii="Times New Roman" w:hAnsi="Times New Roman" w:cs="Times New Roman"/>
          <w:b/>
          <w:sz w:val="24"/>
          <w:szCs w:val="24"/>
        </w:rPr>
        <w:t>: Dueling Methodologies, Text/Pur v. Policy</w:t>
      </w:r>
    </w:p>
    <w:tbl>
      <w:tblPr>
        <w:tblStyle w:val="TableGrid"/>
        <w:tblW w:w="0" w:type="auto"/>
        <w:tblLook w:val="04A0" w:firstRow="1" w:lastRow="0" w:firstColumn="1" w:lastColumn="0" w:noHBand="0" w:noVBand="1"/>
      </w:tblPr>
      <w:tblGrid>
        <w:gridCol w:w="3116"/>
        <w:gridCol w:w="3117"/>
        <w:gridCol w:w="3117"/>
      </w:tblGrid>
      <w:tr w:rsidR="001B2AFB" w14:paraId="22A750A8" w14:textId="77777777" w:rsidTr="00816BCD">
        <w:tc>
          <w:tcPr>
            <w:tcW w:w="3116" w:type="dxa"/>
          </w:tcPr>
          <w:p w14:paraId="3AEF89DA" w14:textId="77777777" w:rsidR="001B2AFB" w:rsidRPr="00204F85" w:rsidRDefault="001B2AFB" w:rsidP="006F07ED">
            <w:pPr>
              <w:spacing w:after="0" w:line="240" w:lineRule="auto"/>
              <w:rPr>
                <w:rFonts w:ascii="Times New Roman" w:hAnsi="Times New Roman" w:cs="Times New Roman"/>
                <w:sz w:val="20"/>
                <w:szCs w:val="24"/>
              </w:rPr>
            </w:pPr>
          </w:p>
        </w:tc>
        <w:tc>
          <w:tcPr>
            <w:tcW w:w="3117" w:type="dxa"/>
          </w:tcPr>
          <w:p w14:paraId="12883DE6" w14:textId="35DD28CE" w:rsidR="001B2AFB" w:rsidRPr="00204F85" w:rsidRDefault="001B2AFB" w:rsidP="006F07ED">
            <w:pPr>
              <w:spacing w:after="0" w:line="240" w:lineRule="auto"/>
              <w:rPr>
                <w:rFonts w:ascii="Times New Roman" w:hAnsi="Times New Roman" w:cs="Times New Roman"/>
                <w:b/>
                <w:sz w:val="20"/>
                <w:szCs w:val="24"/>
              </w:rPr>
            </w:pPr>
            <w:r w:rsidRPr="00204F85">
              <w:rPr>
                <w:rFonts w:ascii="Times New Roman" w:hAnsi="Times New Roman" w:cs="Times New Roman"/>
                <w:b/>
                <w:sz w:val="20"/>
                <w:szCs w:val="24"/>
              </w:rPr>
              <w:t>Text v. Purposive or Text v. Text</w:t>
            </w:r>
          </w:p>
        </w:tc>
        <w:tc>
          <w:tcPr>
            <w:tcW w:w="3117" w:type="dxa"/>
          </w:tcPr>
          <w:p w14:paraId="0FBB61E5" w14:textId="00734985" w:rsidR="001B2AFB" w:rsidRPr="00204F85" w:rsidRDefault="001B2AFB" w:rsidP="006F07ED">
            <w:pPr>
              <w:spacing w:after="0" w:line="240" w:lineRule="auto"/>
              <w:rPr>
                <w:rFonts w:ascii="Times New Roman" w:hAnsi="Times New Roman" w:cs="Times New Roman"/>
                <w:b/>
                <w:sz w:val="20"/>
                <w:szCs w:val="24"/>
              </w:rPr>
            </w:pPr>
            <w:r w:rsidRPr="00204F85">
              <w:rPr>
                <w:rFonts w:ascii="Times New Roman" w:hAnsi="Times New Roman" w:cs="Times New Roman"/>
                <w:b/>
                <w:sz w:val="20"/>
                <w:szCs w:val="24"/>
              </w:rPr>
              <w:t>Policy</w:t>
            </w:r>
          </w:p>
        </w:tc>
      </w:tr>
      <w:tr w:rsidR="001B2AFB" w14:paraId="76D4FA1A" w14:textId="77777777" w:rsidTr="00816BCD">
        <w:tc>
          <w:tcPr>
            <w:tcW w:w="3116" w:type="dxa"/>
          </w:tcPr>
          <w:p w14:paraId="07CDF4EE" w14:textId="61D82F42" w:rsidR="001B2AFB" w:rsidRPr="00204F85" w:rsidRDefault="001B2AFB" w:rsidP="006F07ED">
            <w:pPr>
              <w:spacing w:after="0" w:line="240" w:lineRule="auto"/>
              <w:rPr>
                <w:rFonts w:ascii="Times New Roman" w:hAnsi="Times New Roman" w:cs="Times New Roman"/>
                <w:b/>
                <w:sz w:val="20"/>
                <w:szCs w:val="24"/>
              </w:rPr>
            </w:pPr>
            <w:r w:rsidRPr="00204F85">
              <w:rPr>
                <w:rFonts w:ascii="Times New Roman" w:hAnsi="Times New Roman" w:cs="Times New Roman"/>
                <w:b/>
                <w:sz w:val="20"/>
                <w:szCs w:val="24"/>
              </w:rPr>
              <w:t>All Cases</w:t>
            </w:r>
          </w:p>
        </w:tc>
        <w:tc>
          <w:tcPr>
            <w:tcW w:w="3117" w:type="dxa"/>
          </w:tcPr>
          <w:p w14:paraId="033A1546" w14:textId="2DF5A7BB"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40</w:t>
            </w:r>
          </w:p>
        </w:tc>
        <w:tc>
          <w:tcPr>
            <w:tcW w:w="3117" w:type="dxa"/>
          </w:tcPr>
          <w:p w14:paraId="664EC47E" w14:textId="44307964"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63</w:t>
            </w:r>
          </w:p>
        </w:tc>
      </w:tr>
      <w:tr w:rsidR="001B2AFB" w14:paraId="4D7478AC" w14:textId="77777777" w:rsidTr="00816BCD">
        <w:tc>
          <w:tcPr>
            <w:tcW w:w="3116" w:type="dxa"/>
          </w:tcPr>
          <w:p w14:paraId="638BB09A" w14:textId="155C0166" w:rsidR="001B2AFB" w:rsidRPr="00204F85" w:rsidRDefault="001B2AFB" w:rsidP="006F07ED">
            <w:pPr>
              <w:spacing w:after="0" w:line="240" w:lineRule="auto"/>
              <w:rPr>
                <w:rFonts w:ascii="Times New Roman" w:hAnsi="Times New Roman" w:cs="Times New Roman"/>
                <w:b/>
                <w:sz w:val="20"/>
                <w:szCs w:val="24"/>
              </w:rPr>
            </w:pPr>
            <w:r w:rsidRPr="00204F85">
              <w:rPr>
                <w:rFonts w:ascii="Times New Roman" w:hAnsi="Times New Roman" w:cs="Times New Roman"/>
                <w:b/>
                <w:sz w:val="20"/>
                <w:szCs w:val="24"/>
              </w:rPr>
              <w:t>Dem. Maj. /Clinton</w:t>
            </w:r>
          </w:p>
        </w:tc>
        <w:tc>
          <w:tcPr>
            <w:tcW w:w="3117" w:type="dxa"/>
          </w:tcPr>
          <w:p w14:paraId="0102F936" w14:textId="12ADBD9C"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22</w:t>
            </w:r>
          </w:p>
        </w:tc>
        <w:tc>
          <w:tcPr>
            <w:tcW w:w="3117" w:type="dxa"/>
          </w:tcPr>
          <w:p w14:paraId="6A1F4A5B" w14:textId="7C022A65"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78**</w:t>
            </w:r>
          </w:p>
        </w:tc>
      </w:tr>
      <w:tr w:rsidR="001B2AFB" w14:paraId="6F01A86D" w14:textId="77777777" w:rsidTr="00816BCD">
        <w:tc>
          <w:tcPr>
            <w:tcW w:w="3116" w:type="dxa"/>
          </w:tcPr>
          <w:p w14:paraId="08464E35" w14:textId="39B1B8E1" w:rsidR="001B2AFB" w:rsidRPr="00204F85" w:rsidRDefault="001B2AFB" w:rsidP="006F07ED">
            <w:pPr>
              <w:spacing w:after="0" w:line="240" w:lineRule="auto"/>
              <w:rPr>
                <w:rFonts w:ascii="Times New Roman" w:hAnsi="Times New Roman" w:cs="Times New Roman"/>
                <w:b/>
                <w:sz w:val="20"/>
                <w:szCs w:val="24"/>
              </w:rPr>
            </w:pPr>
            <w:r w:rsidRPr="00204F85">
              <w:rPr>
                <w:rFonts w:ascii="Times New Roman" w:hAnsi="Times New Roman" w:cs="Times New Roman"/>
                <w:b/>
                <w:sz w:val="20"/>
                <w:szCs w:val="24"/>
              </w:rPr>
              <w:t>Rep. Maj./Clinton</w:t>
            </w:r>
          </w:p>
        </w:tc>
        <w:tc>
          <w:tcPr>
            <w:tcW w:w="3117" w:type="dxa"/>
          </w:tcPr>
          <w:p w14:paraId="0C32F411" w14:textId="4393F26D"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50</w:t>
            </w:r>
          </w:p>
        </w:tc>
        <w:tc>
          <w:tcPr>
            <w:tcW w:w="3117" w:type="dxa"/>
          </w:tcPr>
          <w:p w14:paraId="19C9D51E" w14:textId="1DC816BE"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50</w:t>
            </w:r>
          </w:p>
        </w:tc>
      </w:tr>
      <w:tr w:rsidR="001B2AFB" w14:paraId="33BC10A7" w14:textId="77777777" w:rsidTr="00816BCD">
        <w:tc>
          <w:tcPr>
            <w:tcW w:w="3116" w:type="dxa"/>
          </w:tcPr>
          <w:p w14:paraId="2DA75735" w14:textId="720E68C0" w:rsidR="001B2AFB" w:rsidRPr="00204F85" w:rsidRDefault="001B2AFB" w:rsidP="006F07ED">
            <w:pPr>
              <w:spacing w:after="0" w:line="240" w:lineRule="auto"/>
              <w:rPr>
                <w:rFonts w:ascii="Times New Roman" w:hAnsi="Times New Roman" w:cs="Times New Roman"/>
                <w:b/>
                <w:sz w:val="20"/>
                <w:szCs w:val="24"/>
              </w:rPr>
            </w:pPr>
            <w:r w:rsidRPr="00204F85">
              <w:rPr>
                <w:rFonts w:ascii="Times New Roman" w:hAnsi="Times New Roman" w:cs="Times New Roman"/>
                <w:b/>
                <w:sz w:val="20"/>
                <w:szCs w:val="24"/>
              </w:rPr>
              <w:t>Dem. Maj./Bush II</w:t>
            </w:r>
          </w:p>
        </w:tc>
        <w:tc>
          <w:tcPr>
            <w:tcW w:w="3117" w:type="dxa"/>
          </w:tcPr>
          <w:p w14:paraId="07C95E9B" w14:textId="201D3404"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58</w:t>
            </w:r>
          </w:p>
        </w:tc>
        <w:tc>
          <w:tcPr>
            <w:tcW w:w="3117" w:type="dxa"/>
          </w:tcPr>
          <w:p w14:paraId="533F0553" w14:textId="1345EC68"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42**</w:t>
            </w:r>
          </w:p>
        </w:tc>
      </w:tr>
      <w:tr w:rsidR="001B2AFB" w14:paraId="27CE714C" w14:textId="77777777" w:rsidTr="00816BCD">
        <w:tc>
          <w:tcPr>
            <w:tcW w:w="3116" w:type="dxa"/>
          </w:tcPr>
          <w:p w14:paraId="50D7A5CB" w14:textId="2DD585DD" w:rsidR="001B2AFB" w:rsidRPr="00204F85" w:rsidRDefault="001B2AFB" w:rsidP="006F07ED">
            <w:pPr>
              <w:spacing w:after="0" w:line="240" w:lineRule="auto"/>
              <w:rPr>
                <w:rFonts w:ascii="Times New Roman" w:hAnsi="Times New Roman" w:cs="Times New Roman"/>
                <w:b/>
                <w:sz w:val="20"/>
                <w:szCs w:val="24"/>
              </w:rPr>
            </w:pPr>
            <w:r w:rsidRPr="00204F85">
              <w:rPr>
                <w:rFonts w:ascii="Times New Roman" w:hAnsi="Times New Roman" w:cs="Times New Roman"/>
                <w:b/>
                <w:sz w:val="20"/>
                <w:szCs w:val="24"/>
              </w:rPr>
              <w:t>Rep. Maj./Bush II</w:t>
            </w:r>
          </w:p>
        </w:tc>
        <w:tc>
          <w:tcPr>
            <w:tcW w:w="3117" w:type="dxa"/>
          </w:tcPr>
          <w:p w14:paraId="7C002F63" w14:textId="7F89F37C"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39</w:t>
            </w:r>
          </w:p>
        </w:tc>
        <w:tc>
          <w:tcPr>
            <w:tcW w:w="3117" w:type="dxa"/>
          </w:tcPr>
          <w:p w14:paraId="2E26F695" w14:textId="6A4ED9D9"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61</w:t>
            </w:r>
          </w:p>
        </w:tc>
      </w:tr>
      <w:tr w:rsidR="001B2AFB" w14:paraId="6EFC999E" w14:textId="77777777" w:rsidTr="00816BCD">
        <w:tc>
          <w:tcPr>
            <w:tcW w:w="3116" w:type="dxa"/>
          </w:tcPr>
          <w:p w14:paraId="47C192FE" w14:textId="6B9E2B72" w:rsidR="001B2AFB" w:rsidRPr="00204F85" w:rsidRDefault="001B2AFB" w:rsidP="006F07ED">
            <w:pPr>
              <w:spacing w:after="0" w:line="240" w:lineRule="auto"/>
              <w:rPr>
                <w:rFonts w:ascii="Times New Roman" w:hAnsi="Times New Roman" w:cs="Times New Roman"/>
                <w:b/>
                <w:sz w:val="20"/>
                <w:szCs w:val="24"/>
              </w:rPr>
            </w:pPr>
            <w:r w:rsidRPr="00204F85">
              <w:rPr>
                <w:rFonts w:ascii="Times New Roman" w:hAnsi="Times New Roman" w:cs="Times New Roman"/>
                <w:b/>
                <w:sz w:val="20"/>
                <w:szCs w:val="24"/>
              </w:rPr>
              <w:t>Dem. Maj./Obama</w:t>
            </w:r>
          </w:p>
        </w:tc>
        <w:tc>
          <w:tcPr>
            <w:tcW w:w="3117" w:type="dxa"/>
          </w:tcPr>
          <w:p w14:paraId="68310126" w14:textId="6E085922"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43</w:t>
            </w:r>
          </w:p>
        </w:tc>
        <w:tc>
          <w:tcPr>
            <w:tcW w:w="3117" w:type="dxa"/>
          </w:tcPr>
          <w:p w14:paraId="3B05F7B4" w14:textId="7C8B0315" w:rsidR="001B2AFB" w:rsidRPr="00204F85" w:rsidRDefault="001B2AFB" w:rsidP="006F07ED">
            <w:pPr>
              <w:spacing w:after="0" w:line="240" w:lineRule="auto"/>
              <w:rPr>
                <w:rFonts w:ascii="Times New Roman" w:hAnsi="Times New Roman" w:cs="Times New Roman"/>
                <w:sz w:val="20"/>
                <w:szCs w:val="24"/>
              </w:rPr>
            </w:pPr>
            <w:r w:rsidRPr="00204F85">
              <w:rPr>
                <w:rFonts w:ascii="Times New Roman" w:hAnsi="Times New Roman" w:cs="Times New Roman"/>
                <w:sz w:val="20"/>
                <w:szCs w:val="24"/>
              </w:rPr>
              <w:t>57**</w:t>
            </w:r>
          </w:p>
        </w:tc>
      </w:tr>
    </w:tbl>
    <w:p w14:paraId="2D16046B" w14:textId="77777777" w:rsidR="00757B71" w:rsidRDefault="00757B71" w:rsidP="00204F85">
      <w:pPr>
        <w:spacing w:after="0" w:line="480" w:lineRule="auto"/>
        <w:rPr>
          <w:rFonts w:ascii="Times New Roman" w:hAnsi="Times New Roman" w:cs="Times New Roman"/>
          <w:b/>
          <w:noProof/>
          <w:sz w:val="24"/>
          <w:szCs w:val="24"/>
        </w:rPr>
      </w:pPr>
    </w:p>
    <w:p w14:paraId="50D4245D" w14:textId="7484FE20" w:rsidR="00204F85" w:rsidRDefault="00204F85" w:rsidP="00204F85">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Figure 16</w:t>
      </w:r>
    </w:p>
    <w:p w14:paraId="57647315" w14:textId="596F1637" w:rsidR="00204F85" w:rsidRPr="00204F85" w:rsidRDefault="00204F85" w:rsidP="00204F85">
      <w:pPr>
        <w:spacing w:after="0" w:line="480" w:lineRule="auto"/>
        <w:rPr>
          <w:rFonts w:ascii="Times New Roman" w:hAnsi="Times New Roman" w:cs="Times New Roman"/>
          <w:b/>
          <w:sz w:val="24"/>
          <w:szCs w:val="24"/>
        </w:rPr>
      </w:pPr>
      <w:r w:rsidRPr="00816BCD">
        <w:rPr>
          <w:rFonts w:ascii="Times New Roman" w:hAnsi="Times New Roman" w:cs="Times New Roman"/>
          <w:noProof/>
          <w:sz w:val="24"/>
          <w:szCs w:val="24"/>
        </w:rPr>
        <w:drawing>
          <wp:inline distT="0" distB="0" distL="0" distR="0" wp14:anchorId="15B42E06" wp14:editId="3C566130">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9200" cy="3657600"/>
                    </a:xfrm>
                    <a:prstGeom prst="rect">
                      <a:avLst/>
                    </a:prstGeom>
                  </pic:spPr>
                </pic:pic>
              </a:graphicData>
            </a:graphic>
          </wp:inline>
        </w:drawing>
      </w:r>
    </w:p>
    <w:p w14:paraId="1BA1BFB0" w14:textId="2EE97E08" w:rsidR="0099083C" w:rsidRDefault="0099083C" w:rsidP="00E35AE5">
      <w:pPr>
        <w:spacing w:after="0" w:line="480" w:lineRule="auto"/>
        <w:ind w:firstLine="720"/>
        <w:rPr>
          <w:rFonts w:ascii="Times New Roman" w:hAnsi="Times New Roman" w:cs="Times New Roman"/>
          <w:sz w:val="24"/>
          <w:szCs w:val="24"/>
        </w:rPr>
      </w:pPr>
    </w:p>
    <w:p w14:paraId="6E38415E" w14:textId="5CA417B2" w:rsidR="00416869" w:rsidRDefault="009573EA" w:rsidP="00957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w:t>
      </w:r>
      <w:r w:rsidR="00DB5385">
        <w:rPr>
          <w:rFonts w:ascii="Times New Roman" w:hAnsi="Times New Roman" w:cs="Times New Roman"/>
          <w:sz w:val="24"/>
          <w:szCs w:val="24"/>
        </w:rPr>
        <w:t xml:space="preserve">n </w:t>
      </w:r>
      <w:r w:rsidR="00204F85">
        <w:rPr>
          <w:rFonts w:ascii="Times New Roman" w:hAnsi="Times New Roman" w:cs="Times New Roman"/>
          <w:sz w:val="24"/>
          <w:szCs w:val="24"/>
        </w:rPr>
        <w:t>to the overall method, Tables 16 and 17</w:t>
      </w:r>
      <w:r w:rsidR="00816BCD">
        <w:rPr>
          <w:rFonts w:ascii="Times New Roman" w:hAnsi="Times New Roman" w:cs="Times New Roman"/>
          <w:sz w:val="24"/>
          <w:szCs w:val="24"/>
        </w:rPr>
        <w:t xml:space="preserve"> </w:t>
      </w:r>
      <w:r>
        <w:rPr>
          <w:rFonts w:ascii="Times New Roman" w:hAnsi="Times New Roman" w:cs="Times New Roman"/>
          <w:sz w:val="24"/>
          <w:szCs w:val="24"/>
        </w:rPr>
        <w:t>detail</w:t>
      </w:r>
      <w:r w:rsidR="008B3E9D">
        <w:rPr>
          <w:rFonts w:ascii="Times New Roman" w:hAnsi="Times New Roman" w:cs="Times New Roman"/>
          <w:sz w:val="24"/>
          <w:szCs w:val="24"/>
        </w:rPr>
        <w:t>s</w:t>
      </w:r>
      <w:r>
        <w:rPr>
          <w:rFonts w:ascii="Times New Roman" w:hAnsi="Times New Roman" w:cs="Times New Roman"/>
          <w:sz w:val="24"/>
          <w:szCs w:val="24"/>
        </w:rPr>
        <w:t xml:space="preserve"> how often the majority and Board “duel” on each type of methodology. Each case can have multiple methodologies; for instance, both the majority and dissent may “duel” on legislative history, text and policy. We see that the majority and the dissent duel in most cases, at least in part, on policy (86%).  But they also often “duel” on textual meaning (67%), at least in part. </w:t>
      </w:r>
      <w:r w:rsidR="00EC1704">
        <w:rPr>
          <w:rFonts w:ascii="Times New Roman" w:hAnsi="Times New Roman" w:cs="Times New Roman"/>
          <w:sz w:val="24"/>
          <w:szCs w:val="24"/>
        </w:rPr>
        <w:t xml:space="preserve">Dueling over text almost always </w:t>
      </w:r>
      <w:r w:rsidR="00EC1704">
        <w:rPr>
          <w:rFonts w:ascii="Times New Roman" w:hAnsi="Times New Roman" w:cs="Times New Roman"/>
          <w:sz w:val="24"/>
          <w:szCs w:val="24"/>
        </w:rPr>
        <w:lastRenderedPageBreak/>
        <w:t xml:space="preserve">occurs if there is a Republican majority. </w:t>
      </w:r>
      <w:r>
        <w:rPr>
          <w:rFonts w:ascii="Times New Roman" w:hAnsi="Times New Roman" w:cs="Times New Roman"/>
          <w:sz w:val="24"/>
          <w:szCs w:val="24"/>
        </w:rPr>
        <w:t>In most cases these duels on</w:t>
      </w:r>
      <w:r w:rsidR="00416869">
        <w:rPr>
          <w:rFonts w:ascii="Times New Roman" w:hAnsi="Times New Roman" w:cs="Times New Roman"/>
          <w:sz w:val="24"/>
          <w:szCs w:val="24"/>
        </w:rPr>
        <w:t xml:space="preserve"> textual meaning take one of three</w:t>
      </w:r>
      <w:r>
        <w:rPr>
          <w:rFonts w:ascii="Times New Roman" w:hAnsi="Times New Roman" w:cs="Times New Roman"/>
          <w:sz w:val="24"/>
          <w:szCs w:val="24"/>
        </w:rPr>
        <w:t xml:space="preserve"> forms: 1) one side argues for an expansionist interpretation of a term while another side contends that the term should be interpreted more narrowly</w:t>
      </w:r>
      <w:r w:rsidR="00A4742D">
        <w:rPr>
          <w:rFonts w:ascii="Times New Roman" w:hAnsi="Times New Roman" w:cs="Times New Roman"/>
          <w:sz w:val="24"/>
          <w:szCs w:val="24"/>
        </w:rPr>
        <w:t xml:space="preserve"> or argues that policy considerations should predominate</w:t>
      </w:r>
      <w:r w:rsidR="006F07ED">
        <w:rPr>
          <w:rFonts w:ascii="Times New Roman" w:hAnsi="Times New Roman" w:cs="Times New Roman"/>
          <w:sz w:val="24"/>
          <w:szCs w:val="24"/>
        </w:rPr>
        <w:t xml:space="preserve">; </w:t>
      </w:r>
      <w:r>
        <w:rPr>
          <w:rFonts w:ascii="Times New Roman" w:hAnsi="Times New Roman" w:cs="Times New Roman"/>
          <w:sz w:val="24"/>
          <w:szCs w:val="24"/>
        </w:rPr>
        <w:t xml:space="preserve">2) one side argues that certain Latin/language canons should be applied to inform the textual meaning of the term while the dissent feels the opposite; or 3) one side feels that the text’s meaning is plain while the other feels that it is ambiguous. </w:t>
      </w:r>
    </w:p>
    <w:p w14:paraId="5F995882" w14:textId="7F30ADBA" w:rsidR="00FE24C6" w:rsidRDefault="00647A77" w:rsidP="00957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instance, in </w:t>
      </w:r>
      <w:r w:rsidRPr="0029164C">
        <w:rPr>
          <w:rFonts w:ascii="Times New Roman" w:hAnsi="Times New Roman" w:cs="Times New Roman"/>
          <w:i/>
          <w:sz w:val="24"/>
          <w:szCs w:val="24"/>
        </w:rPr>
        <w:t>Alexandria Clinic, P.A.,</w:t>
      </w:r>
      <w:r>
        <w:rPr>
          <w:rFonts w:ascii="Times New Roman" w:hAnsi="Times New Roman" w:cs="Times New Roman"/>
          <w:sz w:val="24"/>
          <w:szCs w:val="24"/>
        </w:rPr>
        <w:t xml:space="preserve"> discussed above, the Republican-dominated made clear that the text was “clear and unambiguous” and that the Board’s earlier decision in </w:t>
      </w:r>
      <w:r w:rsidRPr="0029164C">
        <w:rPr>
          <w:rFonts w:ascii="Times New Roman" w:hAnsi="Times New Roman" w:cs="Times New Roman"/>
          <w:i/>
          <w:sz w:val="24"/>
          <w:szCs w:val="24"/>
        </w:rPr>
        <w:t>Greater New Orleans</w:t>
      </w:r>
      <w:r>
        <w:rPr>
          <w:rFonts w:ascii="Times New Roman" w:hAnsi="Times New Roman" w:cs="Times New Roman"/>
          <w:sz w:val="24"/>
          <w:szCs w:val="24"/>
        </w:rPr>
        <w:t xml:space="preserve"> to rely on the legislative history to inform meaning concerning the scope of the notice provision of section 8(g) was inappropriate.</w:t>
      </w:r>
      <w:r>
        <w:rPr>
          <w:rStyle w:val="FootnoteReference"/>
          <w:rFonts w:ascii="Times New Roman" w:hAnsi="Times New Roman" w:cs="Times New Roman"/>
          <w:sz w:val="24"/>
          <w:szCs w:val="24"/>
        </w:rPr>
        <w:footnoteReference w:id="237"/>
      </w:r>
      <w:r>
        <w:rPr>
          <w:rFonts w:ascii="Times New Roman" w:hAnsi="Times New Roman" w:cs="Times New Roman"/>
          <w:sz w:val="24"/>
          <w:szCs w:val="24"/>
        </w:rPr>
        <w:t xml:space="preserve"> The Democratic dissenters, however, said the opposite, arguing that the text was “ambiguous” and that the statute is “unclear.”</w:t>
      </w:r>
      <w:r w:rsidR="00A4742D">
        <w:rPr>
          <w:rFonts w:ascii="Times New Roman" w:hAnsi="Times New Roman" w:cs="Times New Roman"/>
          <w:sz w:val="24"/>
          <w:szCs w:val="24"/>
        </w:rPr>
        <w:t xml:space="preserve">  The three graduate student TA cases likewise show how the Board flip-flops, with the majority and dissent following different approaches</w:t>
      </w:r>
      <w:r w:rsidR="00061FCE">
        <w:rPr>
          <w:rFonts w:ascii="Times New Roman" w:hAnsi="Times New Roman" w:cs="Times New Roman"/>
          <w:sz w:val="24"/>
          <w:szCs w:val="24"/>
        </w:rPr>
        <w:t xml:space="preserve">. Democratic Board members in NYU, Brown and Columbia all favored an expansionist, textual approach, while Republican Board members relied on policy considerations to contend that graduate students were not TAs, contending that the non-economic nature of the relationship necessitated that TAs fall outside the coverage of the Act. </w:t>
      </w:r>
    </w:p>
    <w:p w14:paraId="5555BA67" w14:textId="0526AB2F" w:rsidR="009573EA" w:rsidRDefault="009573EA" w:rsidP="00957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Likewise, </w:t>
      </w:r>
      <w:r w:rsidR="00EC1704">
        <w:rPr>
          <w:rFonts w:ascii="Times New Roman" w:hAnsi="Times New Roman" w:cs="Times New Roman"/>
          <w:sz w:val="24"/>
          <w:szCs w:val="24"/>
        </w:rPr>
        <w:t xml:space="preserve">about 20% of cases involve direct </w:t>
      </w:r>
      <w:r>
        <w:rPr>
          <w:rFonts w:ascii="Times New Roman" w:hAnsi="Times New Roman" w:cs="Times New Roman"/>
          <w:sz w:val="24"/>
          <w:szCs w:val="24"/>
        </w:rPr>
        <w:t xml:space="preserve">dueling over legislative history and another 30% on top of the 20% of the cases are ones in which one side cites legislative history and another does not. In most cases in which the sides “duel” over legislative history, the majority and dissent cite to different statements of the legislative history to illustrate contrasting points. Again, the nature of dueling over legislative history can take a few forms: 1) one side argues that </w:t>
      </w:r>
      <w:r>
        <w:rPr>
          <w:rFonts w:ascii="Times New Roman" w:hAnsi="Times New Roman" w:cs="Times New Roman"/>
          <w:sz w:val="24"/>
          <w:szCs w:val="24"/>
        </w:rPr>
        <w:lastRenderedPageBreak/>
        <w:t xml:space="preserve">legislative history informs meaning while the other side disputes this characterization; 2) both sides feel legislative history aids in interpretation but they disagree about its purpose or the sources that should be employed; or 3) as mentioned above, one side cites to legislative history and the other side completely ignores the opposing side’s reference to it (which happens </w:t>
      </w:r>
      <w:r w:rsidR="00655C6E">
        <w:rPr>
          <w:rFonts w:ascii="Times New Roman" w:hAnsi="Times New Roman" w:cs="Times New Roman"/>
          <w:sz w:val="24"/>
          <w:szCs w:val="24"/>
        </w:rPr>
        <w:t xml:space="preserve">a plurality of the time). </w:t>
      </w:r>
      <w:r w:rsidR="00061FCE">
        <w:rPr>
          <w:rFonts w:ascii="Times New Roman" w:hAnsi="Times New Roman" w:cs="Times New Roman"/>
          <w:sz w:val="24"/>
          <w:szCs w:val="24"/>
        </w:rPr>
        <w:t>As some examples, i</w:t>
      </w:r>
      <w:r w:rsidR="000F366D">
        <w:rPr>
          <w:rFonts w:ascii="Times New Roman" w:hAnsi="Times New Roman" w:cs="Times New Roman"/>
          <w:sz w:val="24"/>
          <w:szCs w:val="24"/>
        </w:rPr>
        <w:t xml:space="preserve">n </w:t>
      </w:r>
      <w:r w:rsidR="000F366D" w:rsidRPr="0029164C">
        <w:rPr>
          <w:rFonts w:ascii="Times New Roman" w:hAnsi="Times New Roman" w:cs="Times New Roman"/>
          <w:i/>
          <w:sz w:val="24"/>
          <w:szCs w:val="24"/>
        </w:rPr>
        <w:t>Alexandria Clinic, P.A</w:t>
      </w:r>
      <w:r w:rsidR="000F366D">
        <w:rPr>
          <w:rFonts w:ascii="Times New Roman" w:hAnsi="Times New Roman" w:cs="Times New Roman"/>
          <w:sz w:val="24"/>
          <w:szCs w:val="24"/>
        </w:rPr>
        <w:t>., the striking nurses case, the Board found the text clear while the Democratic dissenters relied in part on policy and legislative history to guide its interpretation.</w:t>
      </w:r>
      <w:r w:rsidR="000F366D">
        <w:rPr>
          <w:rStyle w:val="FootnoteReference"/>
          <w:rFonts w:ascii="Times New Roman" w:hAnsi="Times New Roman" w:cs="Times New Roman"/>
          <w:sz w:val="24"/>
          <w:szCs w:val="24"/>
        </w:rPr>
        <w:footnoteReference w:id="238"/>
      </w:r>
      <w:r w:rsidR="00655C6E">
        <w:rPr>
          <w:rFonts w:ascii="Times New Roman" w:hAnsi="Times New Roman" w:cs="Times New Roman"/>
          <w:sz w:val="24"/>
          <w:szCs w:val="24"/>
        </w:rPr>
        <w:t xml:space="preserve"> </w:t>
      </w:r>
      <w:r w:rsidR="000F366D">
        <w:rPr>
          <w:rFonts w:ascii="Times New Roman" w:hAnsi="Times New Roman" w:cs="Times New Roman"/>
          <w:sz w:val="24"/>
          <w:szCs w:val="24"/>
        </w:rPr>
        <w:t xml:space="preserve">The dissenters noted that the House Committee on Education and </w:t>
      </w:r>
      <w:r w:rsidR="00655C6E">
        <w:rPr>
          <w:rFonts w:ascii="Times New Roman" w:hAnsi="Times New Roman" w:cs="Times New Roman"/>
          <w:sz w:val="24"/>
          <w:szCs w:val="24"/>
        </w:rPr>
        <w:t xml:space="preserve">Labor and the Senate Committee </w:t>
      </w:r>
      <w:r w:rsidR="000F366D">
        <w:rPr>
          <w:rFonts w:ascii="Times New Roman" w:hAnsi="Times New Roman" w:cs="Times New Roman"/>
          <w:sz w:val="24"/>
          <w:szCs w:val="24"/>
        </w:rPr>
        <w:t>on Labor and Public Welfare expressly stated that “[i]t is not the intention of the Committee that a labor organization shall be required to commence a strike or picketing at the precise time specified in the notice…”</w:t>
      </w:r>
      <w:r w:rsidR="000F366D">
        <w:rPr>
          <w:rStyle w:val="FootnoteReference"/>
          <w:rFonts w:ascii="Times New Roman" w:hAnsi="Times New Roman" w:cs="Times New Roman"/>
          <w:sz w:val="24"/>
          <w:szCs w:val="24"/>
        </w:rPr>
        <w:footnoteReference w:id="239"/>
      </w:r>
      <w:r w:rsidR="00655C6E">
        <w:rPr>
          <w:rFonts w:ascii="Times New Roman" w:hAnsi="Times New Roman" w:cs="Times New Roman"/>
          <w:sz w:val="24"/>
          <w:szCs w:val="24"/>
        </w:rPr>
        <w:t xml:space="preserve"> </w:t>
      </w:r>
      <w:r w:rsidR="000F366D">
        <w:rPr>
          <w:rFonts w:ascii="Times New Roman" w:hAnsi="Times New Roman" w:cs="Times New Roman"/>
          <w:sz w:val="24"/>
          <w:szCs w:val="24"/>
        </w:rPr>
        <w:t>As such, they argued that the Board should abandon its text-based approach and adopt a rule of reason analysis.</w:t>
      </w:r>
      <w:r w:rsidR="000F366D">
        <w:rPr>
          <w:rStyle w:val="FootnoteReference"/>
          <w:rFonts w:ascii="Times New Roman" w:hAnsi="Times New Roman" w:cs="Times New Roman"/>
          <w:sz w:val="24"/>
          <w:szCs w:val="24"/>
        </w:rPr>
        <w:footnoteReference w:id="240"/>
      </w:r>
    </w:p>
    <w:p w14:paraId="2E62ECCF" w14:textId="07A924CE" w:rsidR="00DB5385" w:rsidRPr="00097AD0" w:rsidRDefault="00204F85" w:rsidP="00DB5385">
      <w:pPr>
        <w:spacing w:after="0" w:line="480" w:lineRule="auto"/>
        <w:rPr>
          <w:rFonts w:ascii="Times New Roman" w:hAnsi="Times New Roman" w:cs="Times New Roman"/>
          <w:b/>
          <w:sz w:val="20"/>
          <w:szCs w:val="24"/>
        </w:rPr>
      </w:pPr>
      <w:r>
        <w:rPr>
          <w:rFonts w:ascii="Times New Roman" w:hAnsi="Times New Roman" w:cs="Times New Roman"/>
          <w:b/>
          <w:sz w:val="20"/>
          <w:szCs w:val="24"/>
        </w:rPr>
        <w:t>Table 16</w:t>
      </w:r>
      <w:r w:rsidR="00097AD0" w:rsidRPr="00097AD0">
        <w:rPr>
          <w:rFonts w:ascii="Times New Roman" w:hAnsi="Times New Roman" w:cs="Times New Roman"/>
          <w:b/>
          <w:sz w:val="20"/>
          <w:szCs w:val="24"/>
        </w:rPr>
        <w:t>: Dueling Methodologies</w:t>
      </w:r>
      <w:r>
        <w:rPr>
          <w:rFonts w:ascii="Times New Roman" w:hAnsi="Times New Roman" w:cs="Times New Roman"/>
          <w:b/>
          <w:sz w:val="20"/>
          <w:szCs w:val="24"/>
        </w:rPr>
        <w:t>, by Case Type</w:t>
      </w:r>
      <w:r w:rsidR="00097AD0">
        <w:rPr>
          <w:rFonts w:ascii="Times New Roman" w:hAnsi="Times New Roman" w:cs="Times New Roman"/>
          <w:b/>
          <w:sz w:val="20"/>
          <w:szCs w:val="24"/>
        </w:rPr>
        <w:t xml:space="preserve"> (Percent)</w:t>
      </w:r>
    </w:p>
    <w:tbl>
      <w:tblPr>
        <w:tblStyle w:val="TableGrid"/>
        <w:tblW w:w="0" w:type="auto"/>
        <w:tblLook w:val="04A0" w:firstRow="1" w:lastRow="0" w:firstColumn="1" w:lastColumn="0" w:noHBand="0" w:noVBand="1"/>
      </w:tblPr>
      <w:tblGrid>
        <w:gridCol w:w="1928"/>
        <w:gridCol w:w="1852"/>
        <w:gridCol w:w="1859"/>
        <w:gridCol w:w="1854"/>
        <w:gridCol w:w="1857"/>
      </w:tblGrid>
      <w:tr w:rsidR="009573EA" w:rsidRPr="00097AD0" w14:paraId="253D3FE8" w14:textId="77777777" w:rsidTr="00664218">
        <w:tc>
          <w:tcPr>
            <w:tcW w:w="1870" w:type="dxa"/>
          </w:tcPr>
          <w:p w14:paraId="54DCE3CC" w14:textId="77777777" w:rsidR="009573EA" w:rsidRPr="00097AD0" w:rsidRDefault="009573EA" w:rsidP="00DB5385">
            <w:pPr>
              <w:spacing w:after="0" w:line="240" w:lineRule="auto"/>
              <w:rPr>
                <w:rFonts w:ascii="Times New Roman" w:hAnsi="Times New Roman" w:cs="Times New Roman"/>
                <w:b/>
                <w:sz w:val="20"/>
                <w:szCs w:val="24"/>
              </w:rPr>
            </w:pPr>
          </w:p>
        </w:tc>
        <w:tc>
          <w:tcPr>
            <w:tcW w:w="1870" w:type="dxa"/>
          </w:tcPr>
          <w:p w14:paraId="391BF5E8" w14:textId="77777777" w:rsidR="009573EA" w:rsidRPr="00097AD0" w:rsidRDefault="009573EA" w:rsidP="00DB5385">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Duel Text</w:t>
            </w:r>
          </w:p>
        </w:tc>
        <w:tc>
          <w:tcPr>
            <w:tcW w:w="1870" w:type="dxa"/>
          </w:tcPr>
          <w:p w14:paraId="00B5953C" w14:textId="77777777" w:rsidR="009573EA" w:rsidRPr="00097AD0" w:rsidRDefault="009573EA" w:rsidP="00DB5385">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Duel Legislative History</w:t>
            </w:r>
          </w:p>
        </w:tc>
        <w:tc>
          <w:tcPr>
            <w:tcW w:w="1870" w:type="dxa"/>
          </w:tcPr>
          <w:p w14:paraId="512ACB01" w14:textId="77777777" w:rsidR="009573EA" w:rsidRPr="00097AD0" w:rsidRDefault="009573EA" w:rsidP="00DB5385">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Duel Policy</w:t>
            </w:r>
          </w:p>
        </w:tc>
        <w:tc>
          <w:tcPr>
            <w:tcW w:w="1870" w:type="dxa"/>
          </w:tcPr>
          <w:p w14:paraId="71BAC5A5" w14:textId="77777777" w:rsidR="009573EA" w:rsidRPr="00097AD0" w:rsidRDefault="009573EA" w:rsidP="00DB5385">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Duel Practical</w:t>
            </w:r>
          </w:p>
        </w:tc>
      </w:tr>
      <w:tr w:rsidR="009573EA" w:rsidRPr="00097AD0" w14:paraId="3A9A847D" w14:textId="77777777" w:rsidTr="00816BCD">
        <w:trPr>
          <w:trHeight w:val="215"/>
        </w:trPr>
        <w:tc>
          <w:tcPr>
            <w:tcW w:w="1870" w:type="dxa"/>
          </w:tcPr>
          <w:p w14:paraId="39C96F96" w14:textId="77777777" w:rsidR="009573EA" w:rsidRPr="006F07ED" w:rsidRDefault="009573EA" w:rsidP="00DB5385">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All Cases</w:t>
            </w:r>
          </w:p>
        </w:tc>
        <w:tc>
          <w:tcPr>
            <w:tcW w:w="1870" w:type="dxa"/>
          </w:tcPr>
          <w:p w14:paraId="7FCAB231" w14:textId="77777777" w:rsidR="009573EA" w:rsidRPr="00097AD0" w:rsidRDefault="009573EA" w:rsidP="00DB5385">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67</w:t>
            </w:r>
          </w:p>
        </w:tc>
        <w:tc>
          <w:tcPr>
            <w:tcW w:w="1870" w:type="dxa"/>
          </w:tcPr>
          <w:p w14:paraId="1E2306CD" w14:textId="45482805" w:rsidR="009573EA"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19</w:t>
            </w:r>
          </w:p>
        </w:tc>
        <w:tc>
          <w:tcPr>
            <w:tcW w:w="1870" w:type="dxa"/>
          </w:tcPr>
          <w:p w14:paraId="40C8A9D5" w14:textId="77777777" w:rsidR="009573EA" w:rsidRPr="00097AD0" w:rsidRDefault="009573EA" w:rsidP="00DB5385">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86</w:t>
            </w:r>
          </w:p>
        </w:tc>
        <w:tc>
          <w:tcPr>
            <w:tcW w:w="1870" w:type="dxa"/>
          </w:tcPr>
          <w:p w14:paraId="6D283588" w14:textId="77777777" w:rsidR="009573EA" w:rsidRPr="00097AD0" w:rsidRDefault="009573EA" w:rsidP="00DB5385">
            <w:pPr>
              <w:spacing w:after="0" w:line="240" w:lineRule="auto"/>
              <w:rPr>
                <w:rFonts w:ascii="Times New Roman" w:hAnsi="Times New Roman" w:cs="Times New Roman"/>
                <w:sz w:val="20"/>
                <w:szCs w:val="24"/>
              </w:rPr>
            </w:pPr>
            <w:r w:rsidRPr="00097AD0">
              <w:rPr>
                <w:rFonts w:ascii="Times New Roman" w:hAnsi="Times New Roman" w:cs="Times New Roman"/>
                <w:sz w:val="20"/>
                <w:szCs w:val="24"/>
              </w:rPr>
              <w:t>37</w:t>
            </w:r>
          </w:p>
        </w:tc>
      </w:tr>
      <w:tr w:rsidR="00816BCD" w:rsidRPr="00097AD0" w14:paraId="451501F0" w14:textId="77777777" w:rsidTr="00816BCD">
        <w:trPr>
          <w:trHeight w:val="215"/>
        </w:trPr>
        <w:tc>
          <w:tcPr>
            <w:tcW w:w="1870" w:type="dxa"/>
          </w:tcPr>
          <w:p w14:paraId="281D5380" w14:textId="41E40B74" w:rsidR="00816BCD" w:rsidRPr="006F07ED" w:rsidRDefault="00DB573C" w:rsidP="00DB5385">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ULP Against Employers</w:t>
            </w:r>
          </w:p>
        </w:tc>
        <w:tc>
          <w:tcPr>
            <w:tcW w:w="1870" w:type="dxa"/>
          </w:tcPr>
          <w:p w14:paraId="08192FCB" w14:textId="46CF77C9" w:rsidR="00816BCD"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71</w:t>
            </w:r>
          </w:p>
        </w:tc>
        <w:tc>
          <w:tcPr>
            <w:tcW w:w="1870" w:type="dxa"/>
          </w:tcPr>
          <w:p w14:paraId="494B2D80" w14:textId="7C3431D6" w:rsidR="00816BCD"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13</w:t>
            </w:r>
          </w:p>
        </w:tc>
        <w:tc>
          <w:tcPr>
            <w:tcW w:w="1870" w:type="dxa"/>
          </w:tcPr>
          <w:p w14:paraId="641D6E86" w14:textId="32720445" w:rsidR="00816BCD"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91</w:t>
            </w:r>
          </w:p>
        </w:tc>
        <w:tc>
          <w:tcPr>
            <w:tcW w:w="1870" w:type="dxa"/>
          </w:tcPr>
          <w:p w14:paraId="58260184" w14:textId="6E9AF1F4" w:rsidR="00816BCD"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42**</w:t>
            </w:r>
          </w:p>
        </w:tc>
      </w:tr>
      <w:tr w:rsidR="00DB573C" w:rsidRPr="00097AD0" w14:paraId="4564AA3F" w14:textId="77777777" w:rsidTr="00816BCD">
        <w:trPr>
          <w:trHeight w:val="215"/>
        </w:trPr>
        <w:tc>
          <w:tcPr>
            <w:tcW w:w="1870" w:type="dxa"/>
          </w:tcPr>
          <w:p w14:paraId="04F7311D" w14:textId="64982F70" w:rsidR="00DB573C" w:rsidRPr="006F07ED" w:rsidRDefault="00DB573C" w:rsidP="00DB5385">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ULP Against Unions</w:t>
            </w:r>
          </w:p>
        </w:tc>
        <w:tc>
          <w:tcPr>
            <w:tcW w:w="1870" w:type="dxa"/>
          </w:tcPr>
          <w:p w14:paraId="1A23C78E" w14:textId="20333B47" w:rsidR="00DB573C"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64</w:t>
            </w:r>
          </w:p>
        </w:tc>
        <w:tc>
          <w:tcPr>
            <w:tcW w:w="1870" w:type="dxa"/>
          </w:tcPr>
          <w:p w14:paraId="69AB57E4" w14:textId="7968DFC4" w:rsidR="00DB573C"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23</w:t>
            </w:r>
          </w:p>
        </w:tc>
        <w:tc>
          <w:tcPr>
            <w:tcW w:w="1870" w:type="dxa"/>
          </w:tcPr>
          <w:p w14:paraId="6D57C6B4" w14:textId="5B1A8C7A" w:rsidR="00DB573C"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79</w:t>
            </w:r>
          </w:p>
        </w:tc>
        <w:tc>
          <w:tcPr>
            <w:tcW w:w="1870" w:type="dxa"/>
          </w:tcPr>
          <w:p w14:paraId="5B6ED16A" w14:textId="49410CC2" w:rsidR="00DB573C"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16**</w:t>
            </w:r>
          </w:p>
        </w:tc>
      </w:tr>
      <w:tr w:rsidR="00DB573C" w:rsidRPr="00097AD0" w14:paraId="00BEE0E2" w14:textId="77777777" w:rsidTr="00816BCD">
        <w:trPr>
          <w:trHeight w:val="215"/>
        </w:trPr>
        <w:tc>
          <w:tcPr>
            <w:tcW w:w="1870" w:type="dxa"/>
          </w:tcPr>
          <w:p w14:paraId="4D72855A" w14:textId="3D60D4C6" w:rsidR="00DB573C" w:rsidRPr="006F07ED" w:rsidRDefault="00DB573C" w:rsidP="00DB5385">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Election/Bargaining Unit</w:t>
            </w:r>
          </w:p>
        </w:tc>
        <w:tc>
          <w:tcPr>
            <w:tcW w:w="1870" w:type="dxa"/>
          </w:tcPr>
          <w:p w14:paraId="3D72BEC3" w14:textId="6875E3CA" w:rsidR="00DB573C"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69</w:t>
            </w:r>
          </w:p>
        </w:tc>
        <w:tc>
          <w:tcPr>
            <w:tcW w:w="1870" w:type="dxa"/>
          </w:tcPr>
          <w:p w14:paraId="760D1C59" w14:textId="475D5A50" w:rsidR="00DB573C"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28</w:t>
            </w:r>
          </w:p>
        </w:tc>
        <w:tc>
          <w:tcPr>
            <w:tcW w:w="1870" w:type="dxa"/>
          </w:tcPr>
          <w:p w14:paraId="7005768B" w14:textId="248C141E" w:rsidR="00DB573C"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78</w:t>
            </w:r>
          </w:p>
        </w:tc>
        <w:tc>
          <w:tcPr>
            <w:tcW w:w="1870" w:type="dxa"/>
          </w:tcPr>
          <w:p w14:paraId="1CA1A836" w14:textId="5F9356B3" w:rsidR="00DB573C" w:rsidRPr="00097AD0" w:rsidRDefault="00DB573C" w:rsidP="00DB5385">
            <w:pPr>
              <w:spacing w:after="0" w:line="240" w:lineRule="auto"/>
              <w:rPr>
                <w:rFonts w:ascii="Times New Roman" w:hAnsi="Times New Roman" w:cs="Times New Roman"/>
                <w:sz w:val="20"/>
                <w:szCs w:val="24"/>
              </w:rPr>
            </w:pPr>
            <w:r>
              <w:rPr>
                <w:rFonts w:ascii="Times New Roman" w:hAnsi="Times New Roman" w:cs="Times New Roman"/>
                <w:sz w:val="20"/>
                <w:szCs w:val="24"/>
              </w:rPr>
              <w:t>45**</w:t>
            </w:r>
          </w:p>
        </w:tc>
      </w:tr>
    </w:tbl>
    <w:p w14:paraId="4744DD45" w14:textId="4CA1D0BB" w:rsidR="009573EA" w:rsidRDefault="009573EA" w:rsidP="009573EA">
      <w:pPr>
        <w:spacing w:after="0" w:line="480" w:lineRule="auto"/>
        <w:ind w:firstLine="720"/>
        <w:rPr>
          <w:rFonts w:ascii="Times New Roman" w:hAnsi="Times New Roman" w:cs="Times New Roman"/>
          <w:sz w:val="20"/>
          <w:szCs w:val="24"/>
        </w:rPr>
      </w:pPr>
    </w:p>
    <w:p w14:paraId="0E7EA30E" w14:textId="77777777" w:rsidR="005E768D" w:rsidRDefault="005E768D" w:rsidP="00204F85">
      <w:pPr>
        <w:spacing w:after="0" w:line="480" w:lineRule="auto"/>
        <w:rPr>
          <w:rFonts w:ascii="Times New Roman" w:hAnsi="Times New Roman" w:cs="Times New Roman"/>
          <w:b/>
          <w:sz w:val="20"/>
          <w:szCs w:val="24"/>
        </w:rPr>
      </w:pPr>
    </w:p>
    <w:p w14:paraId="6ED8DCA3" w14:textId="77777777" w:rsidR="005E768D" w:rsidRDefault="005E768D" w:rsidP="00204F85">
      <w:pPr>
        <w:spacing w:after="0" w:line="480" w:lineRule="auto"/>
        <w:rPr>
          <w:rFonts w:ascii="Times New Roman" w:hAnsi="Times New Roman" w:cs="Times New Roman"/>
          <w:b/>
          <w:sz w:val="20"/>
          <w:szCs w:val="24"/>
        </w:rPr>
      </w:pPr>
    </w:p>
    <w:p w14:paraId="7C30F5EE" w14:textId="77777777" w:rsidR="005E768D" w:rsidRDefault="005E768D" w:rsidP="00204F85">
      <w:pPr>
        <w:spacing w:after="0" w:line="480" w:lineRule="auto"/>
        <w:rPr>
          <w:rFonts w:ascii="Times New Roman" w:hAnsi="Times New Roman" w:cs="Times New Roman"/>
          <w:b/>
          <w:sz w:val="20"/>
          <w:szCs w:val="24"/>
        </w:rPr>
      </w:pPr>
    </w:p>
    <w:p w14:paraId="28D62297" w14:textId="77777777" w:rsidR="005E768D" w:rsidRDefault="005E768D" w:rsidP="00204F85">
      <w:pPr>
        <w:spacing w:after="0" w:line="480" w:lineRule="auto"/>
        <w:rPr>
          <w:rFonts w:ascii="Times New Roman" w:hAnsi="Times New Roman" w:cs="Times New Roman"/>
          <w:b/>
          <w:sz w:val="20"/>
          <w:szCs w:val="24"/>
        </w:rPr>
      </w:pPr>
    </w:p>
    <w:p w14:paraId="0CD32BA5" w14:textId="14054288" w:rsidR="00204F85" w:rsidRPr="00204F85" w:rsidRDefault="00204F85" w:rsidP="00204F85">
      <w:pPr>
        <w:spacing w:after="0" w:line="480" w:lineRule="auto"/>
        <w:rPr>
          <w:rFonts w:ascii="Times New Roman" w:hAnsi="Times New Roman" w:cs="Times New Roman"/>
          <w:b/>
          <w:sz w:val="20"/>
          <w:szCs w:val="24"/>
        </w:rPr>
      </w:pPr>
      <w:r>
        <w:rPr>
          <w:rFonts w:ascii="Times New Roman" w:hAnsi="Times New Roman" w:cs="Times New Roman"/>
          <w:b/>
          <w:sz w:val="20"/>
          <w:szCs w:val="24"/>
        </w:rPr>
        <w:lastRenderedPageBreak/>
        <w:t>Table 17: Dueling Methodologies, by Majority Party and Administration</w:t>
      </w:r>
    </w:p>
    <w:tbl>
      <w:tblPr>
        <w:tblStyle w:val="TableGrid"/>
        <w:tblW w:w="0" w:type="auto"/>
        <w:tblLook w:val="04A0" w:firstRow="1" w:lastRow="0" w:firstColumn="1" w:lastColumn="0" w:noHBand="0" w:noVBand="1"/>
      </w:tblPr>
      <w:tblGrid>
        <w:gridCol w:w="1870"/>
        <w:gridCol w:w="1870"/>
        <w:gridCol w:w="1870"/>
        <w:gridCol w:w="1870"/>
        <w:gridCol w:w="1870"/>
      </w:tblGrid>
      <w:tr w:rsidR="00B54E15" w:rsidRPr="00097AD0" w14:paraId="3E2DA7E6" w14:textId="77777777" w:rsidTr="00AC3C31">
        <w:tc>
          <w:tcPr>
            <w:tcW w:w="1870" w:type="dxa"/>
          </w:tcPr>
          <w:p w14:paraId="05B2D77F" w14:textId="77777777" w:rsidR="00B54E15" w:rsidRPr="00097AD0" w:rsidRDefault="00B54E15" w:rsidP="00AC3C31">
            <w:pPr>
              <w:spacing w:after="0" w:line="240" w:lineRule="auto"/>
              <w:rPr>
                <w:rFonts w:ascii="Times New Roman" w:hAnsi="Times New Roman" w:cs="Times New Roman"/>
                <w:b/>
                <w:sz w:val="20"/>
                <w:szCs w:val="24"/>
              </w:rPr>
            </w:pPr>
          </w:p>
        </w:tc>
        <w:tc>
          <w:tcPr>
            <w:tcW w:w="1870" w:type="dxa"/>
          </w:tcPr>
          <w:p w14:paraId="3901D976" w14:textId="77777777" w:rsidR="00B54E15" w:rsidRPr="00097AD0" w:rsidRDefault="00B54E15" w:rsidP="00AC3C3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Duel Text</w:t>
            </w:r>
          </w:p>
        </w:tc>
        <w:tc>
          <w:tcPr>
            <w:tcW w:w="1870" w:type="dxa"/>
          </w:tcPr>
          <w:p w14:paraId="170051CC" w14:textId="77777777" w:rsidR="00B54E15" w:rsidRPr="00097AD0" w:rsidRDefault="00B54E15" w:rsidP="00AC3C3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Duel Legislative History</w:t>
            </w:r>
          </w:p>
        </w:tc>
        <w:tc>
          <w:tcPr>
            <w:tcW w:w="1870" w:type="dxa"/>
          </w:tcPr>
          <w:p w14:paraId="024EAEFE" w14:textId="77777777" w:rsidR="00B54E15" w:rsidRPr="00097AD0" w:rsidRDefault="00B54E15" w:rsidP="00AC3C3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Duel Policy</w:t>
            </w:r>
          </w:p>
        </w:tc>
        <w:tc>
          <w:tcPr>
            <w:tcW w:w="1870" w:type="dxa"/>
          </w:tcPr>
          <w:p w14:paraId="1F9BFC60" w14:textId="77777777" w:rsidR="00B54E15" w:rsidRPr="00097AD0" w:rsidRDefault="00B54E15" w:rsidP="00AC3C31">
            <w:pPr>
              <w:spacing w:after="0" w:line="240" w:lineRule="auto"/>
              <w:rPr>
                <w:rFonts w:ascii="Times New Roman" w:hAnsi="Times New Roman" w:cs="Times New Roman"/>
                <w:b/>
                <w:sz w:val="20"/>
                <w:szCs w:val="24"/>
              </w:rPr>
            </w:pPr>
            <w:r w:rsidRPr="00097AD0">
              <w:rPr>
                <w:rFonts w:ascii="Times New Roman" w:hAnsi="Times New Roman" w:cs="Times New Roman"/>
                <w:b/>
                <w:sz w:val="20"/>
                <w:szCs w:val="24"/>
              </w:rPr>
              <w:t>Duel Practical</w:t>
            </w:r>
          </w:p>
        </w:tc>
      </w:tr>
      <w:tr w:rsidR="00B54E15" w:rsidRPr="00097AD0" w14:paraId="50332AE3" w14:textId="77777777" w:rsidTr="00AC3C31">
        <w:trPr>
          <w:trHeight w:val="215"/>
        </w:trPr>
        <w:tc>
          <w:tcPr>
            <w:tcW w:w="1870" w:type="dxa"/>
          </w:tcPr>
          <w:p w14:paraId="788EF5CC" w14:textId="5DA83281" w:rsidR="00B54E15" w:rsidRPr="006F07ED" w:rsidRDefault="00B54E15" w:rsidP="00AC3C31">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Dem. Maj./Clinton</w:t>
            </w:r>
          </w:p>
        </w:tc>
        <w:tc>
          <w:tcPr>
            <w:tcW w:w="1870" w:type="dxa"/>
          </w:tcPr>
          <w:p w14:paraId="1F788BBF" w14:textId="094FF45D"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57***</w:t>
            </w:r>
          </w:p>
        </w:tc>
        <w:tc>
          <w:tcPr>
            <w:tcW w:w="1870" w:type="dxa"/>
          </w:tcPr>
          <w:p w14:paraId="6E95E2F2" w14:textId="77777777" w:rsidR="00B54E15" w:rsidRPr="00097AD0" w:rsidRDefault="00B54E15"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19</w:t>
            </w:r>
          </w:p>
        </w:tc>
        <w:tc>
          <w:tcPr>
            <w:tcW w:w="1870" w:type="dxa"/>
          </w:tcPr>
          <w:p w14:paraId="07303F79" w14:textId="4D7970E8"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76</w:t>
            </w:r>
          </w:p>
        </w:tc>
        <w:tc>
          <w:tcPr>
            <w:tcW w:w="1870" w:type="dxa"/>
          </w:tcPr>
          <w:p w14:paraId="60FFCB9D" w14:textId="3D965A6A"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26</w:t>
            </w:r>
          </w:p>
        </w:tc>
      </w:tr>
      <w:tr w:rsidR="00B54E15" w:rsidRPr="00097AD0" w14:paraId="470192D4" w14:textId="77777777" w:rsidTr="00AC3C31">
        <w:trPr>
          <w:trHeight w:val="215"/>
        </w:trPr>
        <w:tc>
          <w:tcPr>
            <w:tcW w:w="1870" w:type="dxa"/>
          </w:tcPr>
          <w:p w14:paraId="56013309" w14:textId="43BC3F7F" w:rsidR="00B54E15" w:rsidRPr="006F07ED" w:rsidRDefault="00B54E15" w:rsidP="00AC3C31">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Rep. Maj./Clinton</w:t>
            </w:r>
          </w:p>
        </w:tc>
        <w:tc>
          <w:tcPr>
            <w:tcW w:w="1870" w:type="dxa"/>
          </w:tcPr>
          <w:p w14:paraId="070FC1AE" w14:textId="4E35E949"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100***</w:t>
            </w:r>
          </w:p>
        </w:tc>
        <w:tc>
          <w:tcPr>
            <w:tcW w:w="1870" w:type="dxa"/>
          </w:tcPr>
          <w:p w14:paraId="0285E8C9" w14:textId="51D1070B"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67</w:t>
            </w:r>
          </w:p>
        </w:tc>
        <w:tc>
          <w:tcPr>
            <w:tcW w:w="1870" w:type="dxa"/>
          </w:tcPr>
          <w:p w14:paraId="66401FD0" w14:textId="10EFDC4D"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75</w:t>
            </w:r>
          </w:p>
        </w:tc>
        <w:tc>
          <w:tcPr>
            <w:tcW w:w="1870" w:type="dxa"/>
          </w:tcPr>
          <w:p w14:paraId="451162A1" w14:textId="4272DAA0"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25</w:t>
            </w:r>
          </w:p>
        </w:tc>
      </w:tr>
      <w:tr w:rsidR="00B54E15" w:rsidRPr="00097AD0" w14:paraId="4583C15C" w14:textId="77777777" w:rsidTr="002A5A06">
        <w:trPr>
          <w:trHeight w:val="224"/>
        </w:trPr>
        <w:tc>
          <w:tcPr>
            <w:tcW w:w="1870" w:type="dxa"/>
          </w:tcPr>
          <w:p w14:paraId="226AAEC7" w14:textId="5E0FBEE0" w:rsidR="00B54E15" w:rsidRPr="006F07ED" w:rsidRDefault="00B54E15" w:rsidP="00AC3C31">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Dem. Maj./Bush II</w:t>
            </w:r>
          </w:p>
        </w:tc>
        <w:tc>
          <w:tcPr>
            <w:tcW w:w="1870" w:type="dxa"/>
          </w:tcPr>
          <w:p w14:paraId="71BFC103" w14:textId="05437E46"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75***</w:t>
            </w:r>
          </w:p>
        </w:tc>
        <w:tc>
          <w:tcPr>
            <w:tcW w:w="1870" w:type="dxa"/>
          </w:tcPr>
          <w:p w14:paraId="645C7D2F" w14:textId="77469767"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8</w:t>
            </w:r>
          </w:p>
        </w:tc>
        <w:tc>
          <w:tcPr>
            <w:tcW w:w="1870" w:type="dxa"/>
          </w:tcPr>
          <w:p w14:paraId="4B3B5FE5" w14:textId="18088882"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92</w:t>
            </w:r>
          </w:p>
        </w:tc>
        <w:tc>
          <w:tcPr>
            <w:tcW w:w="1870" w:type="dxa"/>
          </w:tcPr>
          <w:p w14:paraId="3FDABCA4" w14:textId="35225FC4"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25**</w:t>
            </w:r>
          </w:p>
        </w:tc>
      </w:tr>
      <w:tr w:rsidR="00B54E15" w:rsidRPr="00097AD0" w14:paraId="0B85A412" w14:textId="77777777" w:rsidTr="00AC3C31">
        <w:trPr>
          <w:trHeight w:val="215"/>
        </w:trPr>
        <w:tc>
          <w:tcPr>
            <w:tcW w:w="1870" w:type="dxa"/>
          </w:tcPr>
          <w:p w14:paraId="6A9DC1D5" w14:textId="1CB222EB" w:rsidR="00B54E15" w:rsidRPr="006F07ED" w:rsidRDefault="00B54E15" w:rsidP="00AC3C31">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Rep. Maj./Bush II</w:t>
            </w:r>
          </w:p>
        </w:tc>
        <w:tc>
          <w:tcPr>
            <w:tcW w:w="1870" w:type="dxa"/>
          </w:tcPr>
          <w:p w14:paraId="4121F94C" w14:textId="4049119F"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100***</w:t>
            </w:r>
          </w:p>
        </w:tc>
        <w:tc>
          <w:tcPr>
            <w:tcW w:w="1870" w:type="dxa"/>
          </w:tcPr>
          <w:p w14:paraId="4F65A82F" w14:textId="0AE88E20"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19</w:t>
            </w:r>
          </w:p>
        </w:tc>
        <w:tc>
          <w:tcPr>
            <w:tcW w:w="1870" w:type="dxa"/>
          </w:tcPr>
          <w:p w14:paraId="09F1E92C" w14:textId="0C87E5E3"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96</w:t>
            </w:r>
          </w:p>
        </w:tc>
        <w:tc>
          <w:tcPr>
            <w:tcW w:w="1870" w:type="dxa"/>
          </w:tcPr>
          <w:p w14:paraId="208AE526" w14:textId="61E8A582" w:rsidR="00B54E15" w:rsidRPr="00097AD0"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56**</w:t>
            </w:r>
          </w:p>
        </w:tc>
      </w:tr>
      <w:tr w:rsidR="00B54E15" w:rsidRPr="00097AD0" w14:paraId="3DBE7E78" w14:textId="77777777" w:rsidTr="002A5A06">
        <w:trPr>
          <w:trHeight w:val="215"/>
        </w:trPr>
        <w:tc>
          <w:tcPr>
            <w:tcW w:w="1870" w:type="dxa"/>
          </w:tcPr>
          <w:p w14:paraId="2D072BE5" w14:textId="50068AA6" w:rsidR="00B54E15" w:rsidRPr="006F07ED" w:rsidRDefault="00B54E15" w:rsidP="00AC3C31">
            <w:pPr>
              <w:spacing w:after="0" w:line="240" w:lineRule="auto"/>
              <w:rPr>
                <w:rFonts w:ascii="Times New Roman" w:hAnsi="Times New Roman" w:cs="Times New Roman"/>
                <w:b/>
                <w:sz w:val="20"/>
                <w:szCs w:val="24"/>
              </w:rPr>
            </w:pPr>
            <w:r w:rsidRPr="006F07ED">
              <w:rPr>
                <w:rFonts w:ascii="Times New Roman" w:hAnsi="Times New Roman" w:cs="Times New Roman"/>
                <w:b/>
                <w:sz w:val="20"/>
                <w:szCs w:val="24"/>
              </w:rPr>
              <w:t>Dem. Maj./Obama</w:t>
            </w:r>
          </w:p>
        </w:tc>
        <w:tc>
          <w:tcPr>
            <w:tcW w:w="1870" w:type="dxa"/>
          </w:tcPr>
          <w:p w14:paraId="072BB907" w14:textId="62891720" w:rsidR="00B54E15"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60***</w:t>
            </w:r>
          </w:p>
        </w:tc>
        <w:tc>
          <w:tcPr>
            <w:tcW w:w="1870" w:type="dxa"/>
          </w:tcPr>
          <w:p w14:paraId="3365E3F0" w14:textId="16A109B7" w:rsidR="00B54E15"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20</w:t>
            </w:r>
          </w:p>
        </w:tc>
        <w:tc>
          <w:tcPr>
            <w:tcW w:w="1870" w:type="dxa"/>
          </w:tcPr>
          <w:p w14:paraId="66E62FF9" w14:textId="548AF1A2" w:rsidR="00B54E15"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86</w:t>
            </w:r>
          </w:p>
        </w:tc>
        <w:tc>
          <w:tcPr>
            <w:tcW w:w="1870" w:type="dxa"/>
          </w:tcPr>
          <w:p w14:paraId="27CB4FBB" w14:textId="02C0BF7E" w:rsidR="00B54E15" w:rsidRDefault="002A5A06" w:rsidP="00AC3C31">
            <w:pPr>
              <w:spacing w:after="0" w:line="240" w:lineRule="auto"/>
              <w:rPr>
                <w:rFonts w:ascii="Times New Roman" w:hAnsi="Times New Roman" w:cs="Times New Roman"/>
                <w:sz w:val="20"/>
                <w:szCs w:val="24"/>
              </w:rPr>
            </w:pPr>
            <w:r>
              <w:rPr>
                <w:rFonts w:ascii="Times New Roman" w:hAnsi="Times New Roman" w:cs="Times New Roman"/>
                <w:sz w:val="20"/>
                <w:szCs w:val="24"/>
              </w:rPr>
              <w:t>40**</w:t>
            </w:r>
          </w:p>
        </w:tc>
      </w:tr>
    </w:tbl>
    <w:p w14:paraId="22B1450D" w14:textId="77777777" w:rsidR="00B54E15" w:rsidRPr="00097AD0" w:rsidRDefault="00B54E15" w:rsidP="002A5A06">
      <w:pPr>
        <w:spacing w:after="0" w:line="480" w:lineRule="auto"/>
        <w:rPr>
          <w:rFonts w:ascii="Times New Roman" w:hAnsi="Times New Roman" w:cs="Times New Roman"/>
          <w:sz w:val="20"/>
          <w:szCs w:val="24"/>
        </w:rPr>
      </w:pPr>
    </w:p>
    <w:p w14:paraId="4D67E97B" w14:textId="3388438F" w:rsidR="0020157B" w:rsidRPr="00757B71" w:rsidRDefault="00647A77" w:rsidP="00E160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Likewise, majorities and dissents battle over the use of policy. In the case about the notice requirement for striking nurses, the Board and the dissent battled over the primacy of text over policy.</w:t>
      </w:r>
      <w:r>
        <w:rPr>
          <w:rStyle w:val="FootnoteReference"/>
          <w:rFonts w:ascii="Times New Roman" w:hAnsi="Times New Roman" w:cs="Times New Roman"/>
          <w:sz w:val="24"/>
          <w:szCs w:val="24"/>
        </w:rPr>
        <w:footnoteReference w:id="241"/>
      </w:r>
      <w:r>
        <w:rPr>
          <w:rFonts w:ascii="Times New Roman" w:hAnsi="Times New Roman" w:cs="Times New Roman"/>
          <w:sz w:val="24"/>
          <w:szCs w:val="24"/>
        </w:rPr>
        <w:t xml:space="preserve"> Although the Board majority discussed the policy considerations that animated its interpretation, it made clear that the text alone was dispositive in that the striking nurses had a mandatory duty to give notice under the plain language of the text.</w:t>
      </w:r>
      <w:r>
        <w:rPr>
          <w:rStyle w:val="FootnoteReference"/>
          <w:rFonts w:ascii="Times New Roman" w:hAnsi="Times New Roman" w:cs="Times New Roman"/>
          <w:sz w:val="24"/>
          <w:szCs w:val="24"/>
        </w:rPr>
        <w:footnoteReference w:id="242"/>
      </w:r>
      <w:r>
        <w:rPr>
          <w:rFonts w:ascii="Times New Roman" w:hAnsi="Times New Roman" w:cs="Times New Roman"/>
          <w:sz w:val="24"/>
          <w:szCs w:val="24"/>
        </w:rPr>
        <w:t xml:space="preserve"> It reiterated its own policy argument that Congress deliberately created the notice requirement to be mandatory so as to ensure that a sudden strike did not impair patient health.</w:t>
      </w:r>
      <w:r>
        <w:rPr>
          <w:rStyle w:val="FootnoteReference"/>
          <w:rFonts w:ascii="Times New Roman" w:hAnsi="Times New Roman" w:cs="Times New Roman"/>
          <w:sz w:val="24"/>
          <w:szCs w:val="24"/>
        </w:rPr>
        <w:footnoteReference w:id="243"/>
      </w:r>
      <w:r>
        <w:rPr>
          <w:rFonts w:ascii="Times New Roman" w:hAnsi="Times New Roman" w:cs="Times New Roman"/>
          <w:sz w:val="24"/>
          <w:szCs w:val="24"/>
        </w:rPr>
        <w:t xml:space="preserve"> The Democratic dissenters, on the other hand, wanted to interpret the Act more loosely, arguing that it is “[l]ooking beyond the text [of a statute] for guidance is perfectly proper when the result it apparently decrees is difficult to fathom or where it seems inconsistent with Congress’ intent.”</w:t>
      </w:r>
      <w:r>
        <w:rPr>
          <w:rStyle w:val="FootnoteReference"/>
          <w:rFonts w:ascii="Times New Roman" w:hAnsi="Times New Roman" w:cs="Times New Roman"/>
          <w:sz w:val="24"/>
          <w:szCs w:val="24"/>
        </w:rPr>
        <w:footnoteReference w:id="244"/>
      </w:r>
      <w:r>
        <w:rPr>
          <w:rFonts w:ascii="Times New Roman" w:hAnsi="Times New Roman" w:cs="Times New Roman"/>
          <w:sz w:val="24"/>
          <w:szCs w:val="24"/>
        </w:rPr>
        <w:t xml:space="preserve"> The dissenters thought it “</w:t>
      </w:r>
      <w:r w:rsidR="000F366D">
        <w:rPr>
          <w:rFonts w:ascii="Times New Roman" w:hAnsi="Times New Roman" w:cs="Times New Roman"/>
          <w:sz w:val="24"/>
          <w:szCs w:val="24"/>
        </w:rPr>
        <w:t>absurd” that Congress “intended to put employees’ jobs in peril simply because their union was not absolutely punctual.”</w:t>
      </w:r>
      <w:r w:rsidR="000F366D">
        <w:rPr>
          <w:rStyle w:val="FootnoteReference"/>
          <w:rFonts w:ascii="Times New Roman" w:hAnsi="Times New Roman" w:cs="Times New Roman"/>
          <w:sz w:val="24"/>
          <w:szCs w:val="24"/>
        </w:rPr>
        <w:footnoteReference w:id="245"/>
      </w:r>
      <w:r w:rsidR="000F366D">
        <w:rPr>
          <w:rFonts w:ascii="Times New Roman" w:hAnsi="Times New Roman" w:cs="Times New Roman"/>
          <w:sz w:val="24"/>
          <w:szCs w:val="24"/>
        </w:rPr>
        <w:t xml:space="preserve"> As such, they advanced a rule of reason approach to guide interpretation of section 8(g).</w:t>
      </w:r>
      <w:r w:rsidR="000F366D">
        <w:rPr>
          <w:rStyle w:val="FootnoteReference"/>
          <w:rFonts w:ascii="Times New Roman" w:hAnsi="Times New Roman" w:cs="Times New Roman"/>
          <w:sz w:val="24"/>
          <w:szCs w:val="24"/>
        </w:rPr>
        <w:footnoteReference w:id="246"/>
      </w:r>
      <w:r w:rsidR="000F366D">
        <w:rPr>
          <w:rFonts w:ascii="Times New Roman" w:hAnsi="Times New Roman" w:cs="Times New Roman"/>
          <w:sz w:val="24"/>
          <w:szCs w:val="24"/>
        </w:rPr>
        <w:t xml:space="preserve"> They argued that the majority could not advance any reason why a short delay would impair patient care: “Where a union’s delay in striking is so short that an institution’s arrangements for continuity of care are almost certainly still in place… application </w:t>
      </w:r>
      <w:r w:rsidR="000F366D">
        <w:rPr>
          <w:rFonts w:ascii="Times New Roman" w:hAnsi="Times New Roman" w:cs="Times New Roman"/>
          <w:sz w:val="24"/>
          <w:szCs w:val="24"/>
        </w:rPr>
        <w:lastRenderedPageBreak/>
        <w:t xml:space="preserve">of the loss-of-statute provision is simply </w:t>
      </w:r>
      <w:r w:rsidR="000F366D" w:rsidRPr="00757B71">
        <w:rPr>
          <w:rFonts w:ascii="Times New Roman" w:hAnsi="Times New Roman" w:cs="Times New Roman"/>
          <w:sz w:val="24"/>
          <w:szCs w:val="24"/>
        </w:rPr>
        <w:t>punitive.”</w:t>
      </w:r>
      <w:r w:rsidR="000F366D" w:rsidRPr="00757B71">
        <w:rPr>
          <w:rStyle w:val="FootnoteReference"/>
          <w:rFonts w:ascii="Times New Roman" w:hAnsi="Times New Roman" w:cs="Times New Roman"/>
          <w:sz w:val="24"/>
          <w:szCs w:val="24"/>
        </w:rPr>
        <w:footnoteReference w:id="247"/>
      </w:r>
      <w:r w:rsidR="000F366D" w:rsidRPr="00757B71">
        <w:rPr>
          <w:rFonts w:ascii="Times New Roman" w:hAnsi="Times New Roman" w:cs="Times New Roman"/>
          <w:sz w:val="24"/>
          <w:szCs w:val="24"/>
        </w:rPr>
        <w:t xml:space="preserve"> They ended with the notion that “Congress made the policy choice” in advancing a “rule of reason” and as such the Board was duty bound to honor that choice.</w:t>
      </w:r>
      <w:r w:rsidR="000F366D" w:rsidRPr="00757B71">
        <w:rPr>
          <w:rStyle w:val="FootnoteReference"/>
          <w:rFonts w:ascii="Times New Roman" w:hAnsi="Times New Roman" w:cs="Times New Roman"/>
          <w:sz w:val="24"/>
          <w:szCs w:val="24"/>
        </w:rPr>
        <w:footnoteReference w:id="248"/>
      </w:r>
    </w:p>
    <w:p w14:paraId="0D9483D1" w14:textId="24E83BEC" w:rsidR="00EC1704" w:rsidRPr="00CA3E50" w:rsidRDefault="00EC1704" w:rsidP="00E160F0">
      <w:pPr>
        <w:spacing w:after="0" w:line="480" w:lineRule="auto"/>
        <w:ind w:firstLine="720"/>
        <w:rPr>
          <w:rFonts w:ascii="Times New Roman" w:hAnsi="Times New Roman" w:cs="Times New Roman"/>
          <w:sz w:val="24"/>
          <w:szCs w:val="24"/>
        </w:rPr>
      </w:pPr>
      <w:r w:rsidRPr="00CA3E50">
        <w:rPr>
          <w:rFonts w:ascii="Times New Roman" w:hAnsi="Times New Roman" w:cs="Times New Roman"/>
          <w:sz w:val="24"/>
          <w:szCs w:val="24"/>
        </w:rPr>
        <w:t>Finally, both majority and dissent duel over practical considerations. To 95% confidence, there has been an increase over time with the Board more frequently dueling over practical considerations than it did during the Clinton administration.  Part of this may be due to the fact that the Board seems to interpret cases more with a policy-based</w:t>
      </w:r>
      <w:r w:rsidR="006F07ED" w:rsidRPr="00CA3E50">
        <w:rPr>
          <w:rFonts w:ascii="Times New Roman" w:hAnsi="Times New Roman" w:cs="Times New Roman"/>
          <w:sz w:val="24"/>
          <w:szCs w:val="24"/>
        </w:rPr>
        <w:t xml:space="preserve"> focus</w:t>
      </w:r>
      <w:r w:rsidRPr="00CA3E50">
        <w:rPr>
          <w:rFonts w:ascii="Times New Roman" w:hAnsi="Times New Roman" w:cs="Times New Roman"/>
          <w:sz w:val="24"/>
          <w:szCs w:val="24"/>
        </w:rPr>
        <w:t xml:space="preserve">, and as such, the dissent tends to use practical reasoning to attack the policy-based focus of the majority opinion. Another reason may be due to the personal proclivities of the Obama Board, as Board members Miscimarra and Johnson frequently write long dissents where they discuss practical consideration, as one among many reasons for their dispute with the majority. </w:t>
      </w:r>
    </w:p>
    <w:p w14:paraId="41FEE427" w14:textId="5DDFB479" w:rsidR="00BC1B4B" w:rsidRPr="00DB5385" w:rsidRDefault="00F75B38" w:rsidP="00DB5385">
      <w:pPr>
        <w:pStyle w:val="ListParagraph"/>
        <w:numPr>
          <w:ilvl w:val="0"/>
          <w:numId w:val="19"/>
        </w:numPr>
        <w:spacing w:after="0" w:line="480" w:lineRule="auto"/>
        <w:rPr>
          <w:rFonts w:ascii="Times New Roman" w:hAnsi="Times New Roman" w:cs="Times New Roman"/>
          <w:b/>
          <w:sz w:val="24"/>
          <w:szCs w:val="24"/>
        </w:rPr>
      </w:pPr>
      <w:r w:rsidRPr="00DB5385">
        <w:rPr>
          <w:rFonts w:ascii="Times New Roman" w:hAnsi="Times New Roman" w:cs="Times New Roman"/>
          <w:b/>
          <w:sz w:val="24"/>
          <w:szCs w:val="24"/>
        </w:rPr>
        <w:t>Appellate Court Statutory Review</w:t>
      </w:r>
    </w:p>
    <w:p w14:paraId="35466BE8" w14:textId="0FA187BC" w:rsidR="006F07ED" w:rsidRDefault="000F3BC5" w:rsidP="00AD4095">
      <w:pPr>
        <w:spacing w:after="0" w:line="480" w:lineRule="auto"/>
        <w:rPr>
          <w:rFonts w:ascii="Times New Roman" w:hAnsi="Times New Roman" w:cs="Times New Roman"/>
          <w:sz w:val="24"/>
          <w:szCs w:val="24"/>
        </w:rPr>
      </w:pPr>
      <w:r w:rsidRPr="00FC6F7D">
        <w:rPr>
          <w:rFonts w:ascii="Times New Roman" w:hAnsi="Times New Roman" w:cs="Times New Roman"/>
          <w:sz w:val="24"/>
          <w:szCs w:val="24"/>
        </w:rPr>
        <w:tab/>
        <w:t xml:space="preserve">I next looked at the case history to </w:t>
      </w:r>
      <w:r w:rsidR="00276BB2">
        <w:rPr>
          <w:rFonts w:ascii="Times New Roman" w:hAnsi="Times New Roman" w:cs="Times New Roman"/>
          <w:sz w:val="24"/>
          <w:szCs w:val="24"/>
        </w:rPr>
        <w:t>review very briefly</w:t>
      </w:r>
      <w:r w:rsidRPr="00FC6F7D">
        <w:rPr>
          <w:rFonts w:ascii="Times New Roman" w:hAnsi="Times New Roman" w:cs="Times New Roman"/>
          <w:sz w:val="24"/>
          <w:szCs w:val="24"/>
        </w:rPr>
        <w:t xml:space="preserve"> how appellate courts </w:t>
      </w:r>
      <w:r w:rsidR="00824049">
        <w:rPr>
          <w:rFonts w:ascii="Times New Roman" w:hAnsi="Times New Roman" w:cs="Times New Roman"/>
          <w:sz w:val="24"/>
          <w:szCs w:val="24"/>
        </w:rPr>
        <w:t xml:space="preserve">later ruled on the same cases. </w:t>
      </w:r>
      <w:r w:rsidR="00AD4095">
        <w:rPr>
          <w:rFonts w:ascii="Times New Roman" w:hAnsi="Times New Roman" w:cs="Times New Roman"/>
          <w:sz w:val="24"/>
          <w:szCs w:val="24"/>
        </w:rPr>
        <w:t xml:space="preserve">I only address the matter in a preliminary way here as it is the subject of another </w:t>
      </w:r>
      <w:r w:rsidR="006F07ED">
        <w:rPr>
          <w:rFonts w:ascii="Times New Roman" w:hAnsi="Times New Roman" w:cs="Times New Roman"/>
          <w:sz w:val="24"/>
          <w:szCs w:val="24"/>
        </w:rPr>
        <w:t xml:space="preserve">more detailed </w:t>
      </w:r>
      <w:r w:rsidR="00AD4095">
        <w:rPr>
          <w:rFonts w:ascii="Times New Roman" w:hAnsi="Times New Roman" w:cs="Times New Roman"/>
          <w:sz w:val="24"/>
          <w:szCs w:val="24"/>
        </w:rPr>
        <w:t>article I am writing on appellate court review of NLRB decisions</w:t>
      </w:r>
      <w:r w:rsidR="00D70F92">
        <w:rPr>
          <w:rFonts w:ascii="Times New Roman" w:hAnsi="Times New Roman" w:cs="Times New Roman"/>
          <w:sz w:val="24"/>
          <w:szCs w:val="24"/>
        </w:rPr>
        <w:t xml:space="preserve"> where the issue is addressed in a more in-depth and comprehensive fashion</w:t>
      </w:r>
      <w:r w:rsidR="00AD4095">
        <w:rPr>
          <w:rFonts w:ascii="Times New Roman" w:hAnsi="Times New Roman" w:cs="Times New Roman"/>
          <w:sz w:val="24"/>
          <w:szCs w:val="24"/>
        </w:rPr>
        <w:t>.</w:t>
      </w:r>
      <w:r w:rsidR="00AD4095">
        <w:rPr>
          <w:rStyle w:val="FootnoteReference"/>
          <w:rFonts w:ascii="Times New Roman" w:hAnsi="Times New Roman" w:cs="Times New Roman"/>
          <w:sz w:val="24"/>
          <w:szCs w:val="24"/>
        </w:rPr>
        <w:footnoteReference w:id="249"/>
      </w:r>
      <w:r w:rsidR="00AD4095">
        <w:rPr>
          <w:rFonts w:ascii="Times New Roman" w:hAnsi="Times New Roman" w:cs="Times New Roman"/>
          <w:sz w:val="24"/>
          <w:szCs w:val="24"/>
        </w:rPr>
        <w:t xml:space="preserve"> </w:t>
      </w:r>
      <w:r w:rsidR="0042462A">
        <w:rPr>
          <w:rFonts w:ascii="Times New Roman" w:hAnsi="Times New Roman" w:cs="Times New Roman"/>
          <w:sz w:val="24"/>
          <w:szCs w:val="24"/>
        </w:rPr>
        <w:t xml:space="preserve">There is a robust literature on appellate court review of agency decisions under </w:t>
      </w:r>
      <w:r w:rsidR="0042462A" w:rsidRPr="00101E6B">
        <w:rPr>
          <w:rFonts w:ascii="Times New Roman" w:hAnsi="Times New Roman" w:cs="Times New Roman"/>
          <w:i/>
          <w:sz w:val="24"/>
          <w:szCs w:val="24"/>
        </w:rPr>
        <w:t>Chevron</w:t>
      </w:r>
      <w:r w:rsidR="00AA09A7">
        <w:rPr>
          <w:rFonts w:ascii="Times New Roman" w:hAnsi="Times New Roman" w:cs="Times New Roman"/>
          <w:sz w:val="24"/>
          <w:szCs w:val="24"/>
        </w:rPr>
        <w:t xml:space="preserve">. </w:t>
      </w:r>
      <w:r w:rsidR="00350AFF">
        <w:rPr>
          <w:rFonts w:ascii="Times New Roman" w:hAnsi="Times New Roman" w:cs="Times New Roman"/>
          <w:sz w:val="24"/>
          <w:szCs w:val="24"/>
        </w:rPr>
        <w:t xml:space="preserve">This study is unique in that it focuses exclusively on how the statutory methodologies used by the appellate court mirror or duel with those used by the Board.  In this section, </w:t>
      </w:r>
      <w:r w:rsidR="00DB5385">
        <w:rPr>
          <w:rFonts w:ascii="Times New Roman" w:hAnsi="Times New Roman" w:cs="Times New Roman"/>
          <w:sz w:val="24"/>
          <w:szCs w:val="24"/>
        </w:rPr>
        <w:t>in Part II.E</w:t>
      </w:r>
      <w:r w:rsidR="00193548">
        <w:rPr>
          <w:rFonts w:ascii="Times New Roman" w:hAnsi="Times New Roman" w:cs="Times New Roman"/>
          <w:sz w:val="24"/>
          <w:szCs w:val="24"/>
        </w:rPr>
        <w:t xml:space="preserve">.i, </w:t>
      </w:r>
      <w:r w:rsidR="00350AFF">
        <w:rPr>
          <w:rFonts w:ascii="Times New Roman" w:hAnsi="Times New Roman" w:cs="Times New Roman"/>
          <w:sz w:val="24"/>
          <w:szCs w:val="24"/>
        </w:rPr>
        <w:t xml:space="preserve">I </w:t>
      </w:r>
      <w:r w:rsidR="006F07ED">
        <w:rPr>
          <w:rFonts w:ascii="Times New Roman" w:hAnsi="Times New Roman" w:cs="Times New Roman"/>
          <w:sz w:val="24"/>
          <w:szCs w:val="24"/>
        </w:rPr>
        <w:t xml:space="preserve">first </w:t>
      </w:r>
      <w:r w:rsidR="00551DDD">
        <w:rPr>
          <w:rFonts w:ascii="Times New Roman" w:hAnsi="Times New Roman" w:cs="Times New Roman"/>
          <w:sz w:val="24"/>
          <w:szCs w:val="24"/>
        </w:rPr>
        <w:t xml:space="preserve">discuss </w:t>
      </w:r>
      <w:r w:rsidR="00193548">
        <w:rPr>
          <w:rFonts w:ascii="Times New Roman" w:hAnsi="Times New Roman" w:cs="Times New Roman"/>
          <w:sz w:val="24"/>
          <w:szCs w:val="24"/>
        </w:rPr>
        <w:t xml:space="preserve">the </w:t>
      </w:r>
      <w:r w:rsidR="00824049">
        <w:rPr>
          <w:rFonts w:ascii="Times New Roman" w:hAnsi="Times New Roman" w:cs="Times New Roman"/>
          <w:sz w:val="24"/>
          <w:szCs w:val="24"/>
        </w:rPr>
        <w:t>summary statistics</w:t>
      </w:r>
      <w:r w:rsidR="00551DDD">
        <w:rPr>
          <w:rFonts w:ascii="Times New Roman" w:hAnsi="Times New Roman" w:cs="Times New Roman"/>
          <w:sz w:val="24"/>
          <w:szCs w:val="24"/>
        </w:rPr>
        <w:t xml:space="preserve"> and detail the methodology</w:t>
      </w:r>
      <w:r w:rsidR="00824049">
        <w:rPr>
          <w:rFonts w:ascii="Times New Roman" w:hAnsi="Times New Roman" w:cs="Times New Roman"/>
          <w:sz w:val="24"/>
          <w:szCs w:val="24"/>
        </w:rPr>
        <w:t xml:space="preserve">. </w:t>
      </w:r>
      <w:r w:rsidR="006F07ED">
        <w:rPr>
          <w:rFonts w:ascii="Times New Roman" w:hAnsi="Times New Roman" w:cs="Times New Roman"/>
          <w:sz w:val="24"/>
          <w:szCs w:val="24"/>
        </w:rPr>
        <w:t xml:space="preserve">Then, in Part II.E.ii, I </w:t>
      </w:r>
      <w:r w:rsidR="00193F3C">
        <w:rPr>
          <w:rFonts w:ascii="Times New Roman" w:hAnsi="Times New Roman" w:cs="Times New Roman"/>
          <w:sz w:val="24"/>
          <w:szCs w:val="24"/>
        </w:rPr>
        <w:t xml:space="preserve">analyze briefly </w:t>
      </w:r>
      <w:r w:rsidR="006F07ED">
        <w:rPr>
          <w:rFonts w:ascii="Times New Roman" w:hAnsi="Times New Roman" w:cs="Times New Roman"/>
          <w:sz w:val="24"/>
          <w:szCs w:val="24"/>
        </w:rPr>
        <w:t>the statutory methods used by appeals courts and how they “duel” with those of the Board.</w:t>
      </w:r>
    </w:p>
    <w:p w14:paraId="7F79E9C6" w14:textId="77777777" w:rsidR="006F07ED" w:rsidRPr="00F91F85" w:rsidRDefault="006F07ED" w:rsidP="006F07ED">
      <w:pPr>
        <w:pStyle w:val="ListParagraph"/>
        <w:numPr>
          <w:ilvl w:val="0"/>
          <w:numId w:val="31"/>
        </w:numPr>
        <w:spacing w:after="0" w:line="480" w:lineRule="auto"/>
        <w:rPr>
          <w:rFonts w:ascii="Times New Roman" w:hAnsi="Times New Roman" w:cs="Times New Roman"/>
          <w:b/>
          <w:sz w:val="24"/>
          <w:szCs w:val="24"/>
        </w:rPr>
      </w:pPr>
      <w:r w:rsidRPr="00F91F85">
        <w:rPr>
          <w:rFonts w:ascii="Times New Roman" w:hAnsi="Times New Roman" w:cs="Times New Roman"/>
          <w:b/>
          <w:sz w:val="24"/>
          <w:szCs w:val="24"/>
        </w:rPr>
        <w:lastRenderedPageBreak/>
        <w:t>Summary Statistics</w:t>
      </w:r>
      <w:r w:rsidRPr="00F91F85">
        <w:rPr>
          <w:rFonts w:ascii="Times New Roman" w:hAnsi="Times New Roman" w:cs="Times New Roman"/>
          <w:b/>
          <w:sz w:val="24"/>
          <w:szCs w:val="24"/>
        </w:rPr>
        <w:tab/>
      </w:r>
    </w:p>
    <w:p w14:paraId="3EE4C99D" w14:textId="77777777" w:rsidR="00193F3C" w:rsidRDefault="00193F3C" w:rsidP="00193F3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Scholars studying the issue find that appellate courts overall largely defer to </w:t>
      </w:r>
    </w:p>
    <w:p w14:paraId="11ED4E3C" w14:textId="709AD3EC" w:rsidR="006F07ED" w:rsidRPr="00193F3C" w:rsidRDefault="00193F3C" w:rsidP="00193F3C">
      <w:pPr>
        <w:spacing w:after="0" w:line="480" w:lineRule="auto"/>
        <w:rPr>
          <w:rFonts w:ascii="Times New Roman" w:hAnsi="Times New Roman" w:cs="Times New Roman"/>
          <w:sz w:val="24"/>
          <w:szCs w:val="24"/>
        </w:rPr>
      </w:pPr>
      <w:r>
        <w:rPr>
          <w:rFonts w:ascii="Times New Roman" w:hAnsi="Times New Roman" w:cs="Times New Roman"/>
          <w:sz w:val="24"/>
          <w:szCs w:val="24"/>
        </w:rPr>
        <w:t>agencies</w:t>
      </w:r>
      <w:r w:rsidRPr="00193F3C">
        <w:rPr>
          <w:rFonts w:ascii="Times New Roman" w:hAnsi="Times New Roman" w:cs="Times New Roman"/>
          <w:sz w:val="24"/>
          <w:szCs w:val="24"/>
        </w:rPr>
        <w:t>.</w:t>
      </w:r>
      <w:bookmarkStart w:id="24" w:name="_Ref460638487"/>
      <w:r>
        <w:rPr>
          <w:rStyle w:val="FootnoteReference"/>
          <w:rFonts w:ascii="Times New Roman" w:hAnsi="Times New Roman" w:cs="Times New Roman"/>
          <w:sz w:val="24"/>
          <w:szCs w:val="24"/>
        </w:rPr>
        <w:footnoteReference w:id="250"/>
      </w:r>
      <w:bookmarkEnd w:id="24"/>
      <w:r w:rsidR="00757B71">
        <w:rPr>
          <w:rFonts w:ascii="Times New Roman" w:hAnsi="Times New Roman" w:cs="Times New Roman"/>
          <w:sz w:val="24"/>
          <w:szCs w:val="24"/>
        </w:rPr>
        <w:t xml:space="preserve"> The r</w:t>
      </w:r>
      <w:r w:rsidRPr="00193F3C">
        <w:rPr>
          <w:rFonts w:ascii="Times New Roman" w:hAnsi="Times New Roman" w:cs="Times New Roman"/>
          <w:sz w:val="24"/>
          <w:szCs w:val="24"/>
        </w:rPr>
        <w:t>esults here indicate that courts fail to apply deference standards in a consistent fashion.</w:t>
      </w:r>
      <w:r>
        <w:rPr>
          <w:rStyle w:val="FootnoteReference"/>
          <w:rFonts w:ascii="Times New Roman" w:hAnsi="Times New Roman" w:cs="Times New Roman"/>
          <w:sz w:val="24"/>
          <w:szCs w:val="24"/>
        </w:rPr>
        <w:footnoteReference w:id="251"/>
      </w:r>
      <w:r w:rsidR="00757B71">
        <w:rPr>
          <w:rFonts w:ascii="Times New Roman" w:hAnsi="Times New Roman" w:cs="Times New Roman"/>
          <w:sz w:val="24"/>
          <w:szCs w:val="24"/>
        </w:rPr>
        <w:t xml:space="preserve"> </w:t>
      </w:r>
      <w:r w:rsidR="006F07ED" w:rsidRPr="00193F3C">
        <w:rPr>
          <w:rFonts w:ascii="Times New Roman" w:hAnsi="Times New Roman" w:cs="Times New Roman"/>
          <w:sz w:val="24"/>
          <w:szCs w:val="24"/>
        </w:rPr>
        <w:t xml:space="preserve">Agencies largely operate under two deference regimes: </w:t>
      </w:r>
      <w:r w:rsidR="006F07ED" w:rsidRPr="00193F3C">
        <w:rPr>
          <w:rFonts w:ascii="Times New Roman" w:hAnsi="Times New Roman" w:cs="Times New Roman"/>
          <w:i/>
          <w:sz w:val="24"/>
          <w:szCs w:val="24"/>
        </w:rPr>
        <w:t>Chevron</w:t>
      </w:r>
      <w:r w:rsidR="006F07ED">
        <w:rPr>
          <w:rStyle w:val="FootnoteReference"/>
          <w:rFonts w:ascii="Times New Roman" w:hAnsi="Times New Roman" w:cs="Times New Roman"/>
          <w:sz w:val="24"/>
          <w:szCs w:val="24"/>
        </w:rPr>
        <w:footnoteReference w:id="252"/>
      </w:r>
      <w:r w:rsidR="006F07ED" w:rsidRPr="00193F3C">
        <w:rPr>
          <w:rFonts w:ascii="Times New Roman" w:hAnsi="Times New Roman" w:cs="Times New Roman"/>
          <w:sz w:val="24"/>
          <w:szCs w:val="24"/>
        </w:rPr>
        <w:t xml:space="preserve"> or the less generous </w:t>
      </w:r>
      <w:r w:rsidR="006F07ED" w:rsidRPr="00193F3C">
        <w:rPr>
          <w:rFonts w:ascii="Times New Roman" w:hAnsi="Times New Roman" w:cs="Times New Roman"/>
          <w:i/>
          <w:sz w:val="24"/>
          <w:szCs w:val="24"/>
        </w:rPr>
        <w:t>Skidmore</w:t>
      </w:r>
      <w:r w:rsidR="006F07ED" w:rsidRPr="00EC5DB0">
        <w:rPr>
          <w:rStyle w:val="FootnoteReference"/>
          <w:rFonts w:ascii="Times New Roman" w:hAnsi="Times New Roman" w:cs="Times New Roman"/>
          <w:sz w:val="24"/>
          <w:szCs w:val="24"/>
        </w:rPr>
        <w:footnoteReference w:id="253"/>
      </w:r>
      <w:r w:rsidR="006F07ED" w:rsidRPr="00193F3C">
        <w:rPr>
          <w:rFonts w:ascii="Times New Roman" w:hAnsi="Times New Roman" w:cs="Times New Roman"/>
          <w:sz w:val="24"/>
          <w:szCs w:val="24"/>
        </w:rPr>
        <w:t>standard where courts defer t</w:t>
      </w:r>
      <w:r w:rsidR="00757B71">
        <w:rPr>
          <w:rFonts w:ascii="Times New Roman" w:hAnsi="Times New Roman" w:cs="Times New Roman"/>
          <w:sz w:val="24"/>
          <w:szCs w:val="24"/>
        </w:rPr>
        <w:t xml:space="preserve">o agencies on a sliding scale. </w:t>
      </w:r>
      <w:r w:rsidR="006F07ED" w:rsidRPr="00193F3C">
        <w:rPr>
          <w:rFonts w:ascii="Times New Roman" w:hAnsi="Times New Roman" w:cs="Times New Roman"/>
          <w:sz w:val="24"/>
          <w:szCs w:val="24"/>
        </w:rPr>
        <w:t xml:space="preserve">There has been much confusion over how to apply </w:t>
      </w:r>
      <w:r w:rsidR="006F07ED" w:rsidRPr="00193F3C">
        <w:rPr>
          <w:rFonts w:ascii="Times New Roman" w:hAnsi="Times New Roman" w:cs="Times New Roman"/>
          <w:i/>
          <w:sz w:val="24"/>
          <w:szCs w:val="24"/>
        </w:rPr>
        <w:t>Chevron</w:t>
      </w:r>
      <w:r w:rsidR="006F07ED" w:rsidRPr="00193F3C">
        <w:rPr>
          <w:rFonts w:ascii="Times New Roman" w:hAnsi="Times New Roman" w:cs="Times New Roman"/>
          <w:sz w:val="24"/>
          <w:szCs w:val="24"/>
        </w:rPr>
        <w:t xml:space="preserve"> and the results in the present bear out that the courts seem conflicted over which deference regime to apply.</w:t>
      </w:r>
      <w:bookmarkStart w:id="25" w:name="_Ref460678589"/>
      <w:r w:rsidR="006F07ED">
        <w:rPr>
          <w:rStyle w:val="FootnoteReference"/>
          <w:rFonts w:ascii="Times New Roman" w:hAnsi="Times New Roman" w:cs="Times New Roman"/>
          <w:sz w:val="24"/>
          <w:szCs w:val="24"/>
        </w:rPr>
        <w:footnoteReference w:id="254"/>
      </w:r>
      <w:bookmarkEnd w:id="25"/>
      <w:r w:rsidR="00551DDD" w:rsidRPr="00193F3C">
        <w:rPr>
          <w:rFonts w:ascii="Times New Roman" w:hAnsi="Times New Roman" w:cs="Times New Roman"/>
          <w:sz w:val="24"/>
          <w:szCs w:val="24"/>
        </w:rPr>
        <w:t xml:space="preserve"> </w:t>
      </w:r>
      <w:r w:rsidR="006F07ED" w:rsidRPr="00193F3C">
        <w:rPr>
          <w:rFonts w:ascii="Times New Roman" w:hAnsi="Times New Roman" w:cs="Times New Roman"/>
          <w:sz w:val="24"/>
          <w:szCs w:val="24"/>
        </w:rPr>
        <w:t>As Fisk and Malamud argue, appellate courts often apply an entirely different deference regime</w:t>
      </w:r>
      <w:r w:rsidR="00F91F85" w:rsidRPr="00193F3C">
        <w:rPr>
          <w:rFonts w:ascii="Times New Roman" w:hAnsi="Times New Roman" w:cs="Times New Roman"/>
          <w:sz w:val="24"/>
          <w:szCs w:val="24"/>
        </w:rPr>
        <w:t xml:space="preserve"> in NLRB cases.</w:t>
      </w:r>
      <w:r w:rsidR="00674D5F">
        <w:rPr>
          <w:rStyle w:val="FootnoteReference"/>
          <w:rFonts w:ascii="Times New Roman" w:hAnsi="Times New Roman" w:cs="Times New Roman"/>
          <w:sz w:val="24"/>
          <w:szCs w:val="24"/>
        </w:rPr>
        <w:footnoteReference w:id="255"/>
      </w:r>
      <w:r w:rsidR="006F07ED" w:rsidRPr="00193F3C">
        <w:rPr>
          <w:rFonts w:ascii="Times New Roman" w:hAnsi="Times New Roman" w:cs="Times New Roman"/>
          <w:sz w:val="24"/>
          <w:szCs w:val="24"/>
        </w:rPr>
        <w:t xml:space="preserve"> They contend that courts typically cite the </w:t>
      </w:r>
      <w:r w:rsidR="006F07ED" w:rsidRPr="00193F3C">
        <w:rPr>
          <w:rFonts w:ascii="Times New Roman" w:hAnsi="Times New Roman" w:cs="Times New Roman"/>
          <w:i/>
          <w:sz w:val="24"/>
          <w:szCs w:val="24"/>
        </w:rPr>
        <w:t>Fall River</w:t>
      </w:r>
      <w:r w:rsidR="006F07ED">
        <w:rPr>
          <w:rStyle w:val="FootnoteReference"/>
          <w:rFonts w:ascii="Times New Roman" w:hAnsi="Times New Roman" w:cs="Times New Roman"/>
          <w:i/>
          <w:sz w:val="24"/>
          <w:szCs w:val="24"/>
        </w:rPr>
        <w:footnoteReference w:id="256"/>
      </w:r>
      <w:r w:rsidR="006F07ED" w:rsidRPr="00193F3C">
        <w:rPr>
          <w:rFonts w:ascii="Times New Roman" w:hAnsi="Times New Roman" w:cs="Times New Roman"/>
          <w:i/>
          <w:sz w:val="24"/>
          <w:szCs w:val="24"/>
        </w:rPr>
        <w:t xml:space="preserve"> </w:t>
      </w:r>
      <w:r w:rsidR="006F07ED" w:rsidRPr="00193F3C">
        <w:rPr>
          <w:rFonts w:ascii="Times New Roman" w:hAnsi="Times New Roman" w:cs="Times New Roman"/>
          <w:sz w:val="24"/>
          <w:szCs w:val="24"/>
        </w:rPr>
        <w:t xml:space="preserve">standard as to whether the Board’s decision is “rational and consistent” with the Act, a less deferential standard than </w:t>
      </w:r>
      <w:r w:rsidR="006F07ED" w:rsidRPr="00193F3C">
        <w:rPr>
          <w:rFonts w:ascii="Times New Roman" w:hAnsi="Times New Roman" w:cs="Times New Roman"/>
          <w:i/>
          <w:sz w:val="24"/>
          <w:szCs w:val="24"/>
        </w:rPr>
        <w:t>Chevron</w:t>
      </w:r>
      <w:r w:rsidR="006F07ED" w:rsidRPr="00193F3C">
        <w:rPr>
          <w:rFonts w:ascii="Times New Roman" w:hAnsi="Times New Roman" w:cs="Times New Roman"/>
          <w:sz w:val="24"/>
          <w:szCs w:val="24"/>
        </w:rPr>
        <w:t>.</w:t>
      </w:r>
      <w:r w:rsidR="006F07ED">
        <w:rPr>
          <w:rStyle w:val="FootnoteReference"/>
          <w:rFonts w:ascii="Times New Roman" w:hAnsi="Times New Roman" w:cs="Times New Roman"/>
          <w:sz w:val="24"/>
          <w:szCs w:val="24"/>
        </w:rPr>
        <w:footnoteReference w:id="257"/>
      </w:r>
      <w:r w:rsidRPr="00193F3C">
        <w:rPr>
          <w:rFonts w:ascii="Times New Roman" w:hAnsi="Times New Roman" w:cs="Times New Roman"/>
          <w:sz w:val="24"/>
          <w:szCs w:val="24"/>
        </w:rPr>
        <w:t xml:space="preserve"> </w:t>
      </w:r>
      <w:r w:rsidR="006F07ED" w:rsidRPr="00193F3C">
        <w:rPr>
          <w:rFonts w:ascii="Times New Roman" w:hAnsi="Times New Roman" w:cs="Times New Roman"/>
          <w:sz w:val="24"/>
          <w:szCs w:val="24"/>
        </w:rPr>
        <w:t>This standard makes it easier to find clear congressional intent under</w:t>
      </w:r>
      <w:r w:rsidR="00F91F85" w:rsidRPr="00193F3C">
        <w:rPr>
          <w:rFonts w:ascii="Times New Roman" w:hAnsi="Times New Roman" w:cs="Times New Roman"/>
          <w:sz w:val="24"/>
          <w:szCs w:val="24"/>
        </w:rPr>
        <w:t xml:space="preserve"> Chevron</w:t>
      </w:r>
      <w:r w:rsidR="006F07ED" w:rsidRPr="00193F3C">
        <w:rPr>
          <w:rFonts w:ascii="Times New Roman" w:hAnsi="Times New Roman" w:cs="Times New Roman"/>
          <w:sz w:val="24"/>
          <w:szCs w:val="24"/>
        </w:rPr>
        <w:t xml:space="preserve"> Step 1 and then reverse the agency without deferring.</w:t>
      </w:r>
      <w:r w:rsidR="006F07ED">
        <w:rPr>
          <w:rStyle w:val="FootnoteReference"/>
          <w:rFonts w:ascii="Times New Roman" w:hAnsi="Times New Roman" w:cs="Times New Roman"/>
          <w:sz w:val="24"/>
          <w:szCs w:val="24"/>
        </w:rPr>
        <w:footnoteReference w:id="258"/>
      </w:r>
    </w:p>
    <w:p w14:paraId="10CA48A2" w14:textId="60A5DA05" w:rsidR="006F07ED" w:rsidRDefault="00F91F85" w:rsidP="00193F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courts here apply a myriad of deference regimes.</w:t>
      </w:r>
      <w:r w:rsidR="00193F3C">
        <w:rPr>
          <w:rStyle w:val="FootnoteReference"/>
          <w:rFonts w:ascii="Times New Roman" w:hAnsi="Times New Roman" w:cs="Times New Roman"/>
          <w:sz w:val="24"/>
          <w:szCs w:val="24"/>
        </w:rPr>
        <w:footnoteReference w:id="259"/>
      </w:r>
      <w:r w:rsidR="00193F3C">
        <w:rPr>
          <w:rFonts w:ascii="Times New Roman" w:hAnsi="Times New Roman" w:cs="Times New Roman"/>
          <w:sz w:val="24"/>
          <w:szCs w:val="24"/>
        </w:rPr>
        <w:t xml:space="preserve"> </w:t>
      </w:r>
      <w:r>
        <w:rPr>
          <w:rFonts w:ascii="Times New Roman" w:hAnsi="Times New Roman" w:cs="Times New Roman"/>
          <w:sz w:val="24"/>
          <w:szCs w:val="24"/>
        </w:rPr>
        <w:t xml:space="preserve">Of note is the fact that the court of appeals rarely even cited to </w:t>
      </w:r>
      <w:r w:rsidRPr="009573EA">
        <w:rPr>
          <w:rFonts w:ascii="Times New Roman" w:hAnsi="Times New Roman" w:cs="Times New Roman"/>
          <w:i/>
          <w:sz w:val="24"/>
          <w:szCs w:val="24"/>
        </w:rPr>
        <w:t>Chevron</w:t>
      </w:r>
      <w:r>
        <w:rPr>
          <w:rFonts w:ascii="Times New Roman" w:hAnsi="Times New Roman" w:cs="Times New Roman"/>
          <w:sz w:val="24"/>
          <w:szCs w:val="24"/>
        </w:rPr>
        <w:t xml:space="preserve"> or any </w:t>
      </w:r>
      <w:r w:rsidRPr="00C71918">
        <w:rPr>
          <w:rFonts w:ascii="Times New Roman" w:hAnsi="Times New Roman" w:cs="Times New Roman"/>
          <w:i/>
          <w:sz w:val="24"/>
          <w:szCs w:val="24"/>
        </w:rPr>
        <w:t>Chevron</w:t>
      </w:r>
      <w:r w:rsidR="00757B71">
        <w:rPr>
          <w:rFonts w:ascii="Times New Roman" w:hAnsi="Times New Roman" w:cs="Times New Roman"/>
          <w:sz w:val="24"/>
          <w:szCs w:val="24"/>
        </w:rPr>
        <w:t>-style deference regime.</w:t>
      </w:r>
      <w:r w:rsidR="00551DDD">
        <w:rPr>
          <w:rFonts w:ascii="Times New Roman" w:hAnsi="Times New Roman" w:cs="Times New Roman"/>
          <w:sz w:val="24"/>
          <w:szCs w:val="24"/>
        </w:rPr>
        <w:t xml:space="preserve"> O</w:t>
      </w:r>
      <w:r>
        <w:rPr>
          <w:rFonts w:ascii="Times New Roman" w:hAnsi="Times New Roman" w:cs="Times New Roman"/>
          <w:sz w:val="24"/>
          <w:szCs w:val="24"/>
        </w:rPr>
        <w:t xml:space="preserve">nly 32% of the appellate court cases cited </w:t>
      </w:r>
      <w:r w:rsidRPr="00C71918">
        <w:rPr>
          <w:rFonts w:ascii="Times New Roman" w:hAnsi="Times New Roman" w:cs="Times New Roman"/>
          <w:i/>
          <w:sz w:val="24"/>
          <w:szCs w:val="24"/>
        </w:rPr>
        <w:t>Chevron</w:t>
      </w:r>
      <w:r>
        <w:rPr>
          <w:rFonts w:ascii="Times New Roman" w:hAnsi="Times New Roman" w:cs="Times New Roman"/>
          <w:sz w:val="24"/>
          <w:szCs w:val="24"/>
        </w:rPr>
        <w:t xml:space="preserve"> and another 10% cited to a s</w:t>
      </w:r>
      <w:r w:rsidR="00551DDD">
        <w:rPr>
          <w:rFonts w:ascii="Times New Roman" w:hAnsi="Times New Roman" w:cs="Times New Roman"/>
          <w:sz w:val="24"/>
          <w:szCs w:val="24"/>
        </w:rPr>
        <w:t xml:space="preserve">imilar standard in another </w:t>
      </w:r>
      <w:r w:rsidR="00551DDD">
        <w:rPr>
          <w:rFonts w:ascii="Times New Roman" w:hAnsi="Times New Roman" w:cs="Times New Roman"/>
          <w:sz w:val="24"/>
          <w:szCs w:val="24"/>
        </w:rPr>
        <w:lastRenderedPageBreak/>
        <w:t>case</w:t>
      </w:r>
      <w:r w:rsidRPr="009573EA">
        <w:rPr>
          <w:rFonts w:ascii="Times New Roman" w:hAnsi="Times New Roman" w:cs="Times New Roman"/>
          <w:i/>
          <w:sz w:val="24"/>
          <w:szCs w:val="24"/>
        </w:rPr>
        <w:t>.</w:t>
      </w:r>
      <w:r w:rsidRPr="00B861F2">
        <w:rPr>
          <w:rStyle w:val="FootnoteReference"/>
          <w:rFonts w:ascii="Times New Roman" w:hAnsi="Times New Roman" w:cs="Times New Roman"/>
          <w:sz w:val="24"/>
          <w:szCs w:val="24"/>
        </w:rPr>
        <w:footnoteReference w:id="260"/>
      </w:r>
      <w:r w:rsidRPr="00B861F2">
        <w:rPr>
          <w:rFonts w:ascii="Times New Roman" w:hAnsi="Times New Roman" w:cs="Times New Roman"/>
          <w:sz w:val="24"/>
          <w:szCs w:val="24"/>
        </w:rPr>
        <w:t xml:space="preserve"> </w:t>
      </w:r>
      <w:r>
        <w:rPr>
          <w:rFonts w:ascii="Times New Roman" w:hAnsi="Times New Roman" w:cs="Times New Roman"/>
          <w:sz w:val="24"/>
          <w:szCs w:val="24"/>
        </w:rPr>
        <w:t>Most of the statutory interpretation cases made some vague reference to “reasonable interpr</w:t>
      </w:r>
      <w:r w:rsidR="00551DDD">
        <w:rPr>
          <w:rFonts w:ascii="Times New Roman" w:hAnsi="Times New Roman" w:cs="Times New Roman"/>
          <w:sz w:val="24"/>
          <w:szCs w:val="24"/>
        </w:rPr>
        <w:t xml:space="preserve">etation” of the statute but only a plurality </w:t>
      </w:r>
      <w:r>
        <w:rPr>
          <w:rFonts w:ascii="Times New Roman" w:hAnsi="Times New Roman" w:cs="Times New Roman"/>
          <w:sz w:val="24"/>
          <w:szCs w:val="24"/>
        </w:rPr>
        <w:t xml:space="preserve">actually cited to </w:t>
      </w:r>
      <w:r w:rsidRPr="009573EA">
        <w:rPr>
          <w:rFonts w:ascii="Times New Roman" w:hAnsi="Times New Roman" w:cs="Times New Roman"/>
          <w:i/>
          <w:sz w:val="24"/>
          <w:szCs w:val="24"/>
        </w:rPr>
        <w:t>Chevron</w:t>
      </w:r>
      <w:r>
        <w:rPr>
          <w:rFonts w:ascii="Times New Roman" w:hAnsi="Times New Roman" w:cs="Times New Roman"/>
          <w:sz w:val="24"/>
          <w:szCs w:val="24"/>
        </w:rPr>
        <w:t xml:space="preserve"> or expressly engaged in a </w:t>
      </w:r>
      <w:r w:rsidRPr="009573EA">
        <w:rPr>
          <w:rFonts w:ascii="Times New Roman" w:hAnsi="Times New Roman" w:cs="Times New Roman"/>
          <w:i/>
          <w:sz w:val="24"/>
          <w:szCs w:val="24"/>
        </w:rPr>
        <w:t>Chevron</w:t>
      </w:r>
      <w:r>
        <w:rPr>
          <w:rFonts w:ascii="Times New Roman" w:hAnsi="Times New Roman" w:cs="Times New Roman"/>
          <w:sz w:val="24"/>
          <w:szCs w:val="24"/>
        </w:rPr>
        <w:t xml:space="preserve"> step-wise analysis even if they cited </w:t>
      </w:r>
      <w:r w:rsidRPr="009A2804">
        <w:rPr>
          <w:rFonts w:ascii="Times New Roman" w:hAnsi="Times New Roman" w:cs="Times New Roman"/>
          <w:i/>
          <w:sz w:val="24"/>
          <w:szCs w:val="24"/>
        </w:rPr>
        <w:t>Chevron</w:t>
      </w:r>
      <w:r>
        <w:rPr>
          <w:rFonts w:ascii="Times New Roman" w:hAnsi="Times New Roman" w:cs="Times New Roman"/>
          <w:sz w:val="24"/>
          <w:szCs w:val="24"/>
        </w:rPr>
        <w:t xml:space="preserve"> or a </w:t>
      </w:r>
      <w:r w:rsidRPr="009A2804">
        <w:rPr>
          <w:rFonts w:ascii="Times New Roman" w:hAnsi="Times New Roman" w:cs="Times New Roman"/>
          <w:i/>
          <w:sz w:val="24"/>
          <w:szCs w:val="24"/>
        </w:rPr>
        <w:t>Chevron</w:t>
      </w:r>
      <w:r>
        <w:rPr>
          <w:rFonts w:ascii="Times New Roman" w:hAnsi="Times New Roman" w:cs="Times New Roman"/>
          <w:sz w:val="24"/>
          <w:szCs w:val="24"/>
        </w:rPr>
        <w:t>-like case for the standard. Some cases even used an arbitrary and capricious standard</w:t>
      </w:r>
      <w:r w:rsidR="00551DDD">
        <w:rPr>
          <w:rFonts w:ascii="Times New Roman" w:hAnsi="Times New Roman" w:cs="Times New Roman"/>
          <w:sz w:val="24"/>
          <w:szCs w:val="24"/>
        </w:rPr>
        <w:t xml:space="preserve"> or the substantial evidence standard</w:t>
      </w:r>
      <w:r>
        <w:rPr>
          <w:rFonts w:ascii="Times New Roman" w:hAnsi="Times New Roman" w:cs="Times New Roman"/>
          <w:sz w:val="24"/>
          <w:szCs w:val="24"/>
        </w:rPr>
        <w:t xml:space="preserve">. A few courts expressly stated that they may not agree with the Board’s decision but still must nonetheless defer. Further, when courts did cite and apply </w:t>
      </w:r>
      <w:r w:rsidRPr="009573EA">
        <w:rPr>
          <w:rFonts w:ascii="Times New Roman" w:hAnsi="Times New Roman" w:cs="Times New Roman"/>
          <w:i/>
          <w:sz w:val="24"/>
          <w:szCs w:val="24"/>
        </w:rPr>
        <w:t>Chevron</w:t>
      </w:r>
      <w:r>
        <w:rPr>
          <w:rFonts w:ascii="Times New Roman" w:hAnsi="Times New Roman" w:cs="Times New Roman"/>
          <w:sz w:val="24"/>
          <w:szCs w:val="24"/>
        </w:rPr>
        <w:t>, they upheld the agency interpretation about half of the time, finding it a permissible interpretation of the statute.</w:t>
      </w:r>
      <w:r w:rsidRPr="00FC6F7D">
        <w:rPr>
          <w:rFonts w:ascii="Times New Roman" w:hAnsi="Times New Roman" w:cs="Times New Roman"/>
          <w:sz w:val="24"/>
          <w:szCs w:val="24"/>
        </w:rPr>
        <w:t xml:space="preserve"> </w:t>
      </w:r>
    </w:p>
    <w:p w14:paraId="6235C835" w14:textId="3BE30F2F" w:rsidR="00AD4095" w:rsidRDefault="00B76A54" w:rsidP="006F07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About 29</w:t>
      </w:r>
      <w:r w:rsidR="000F3BC5" w:rsidRPr="00FC6F7D">
        <w:rPr>
          <w:rFonts w:ascii="Times New Roman" w:hAnsi="Times New Roman" w:cs="Times New Roman"/>
          <w:sz w:val="24"/>
          <w:szCs w:val="24"/>
        </w:rPr>
        <w:t>% of the cases</w:t>
      </w:r>
      <w:r w:rsidR="00AD4095">
        <w:rPr>
          <w:rFonts w:ascii="Times New Roman" w:hAnsi="Times New Roman" w:cs="Times New Roman"/>
          <w:sz w:val="24"/>
          <w:szCs w:val="24"/>
        </w:rPr>
        <w:t xml:space="preserve"> </w:t>
      </w:r>
      <w:r w:rsidR="00F82331">
        <w:rPr>
          <w:rFonts w:ascii="Times New Roman" w:hAnsi="Times New Roman" w:cs="Times New Roman"/>
          <w:sz w:val="24"/>
          <w:szCs w:val="24"/>
        </w:rPr>
        <w:t>in this particular</w:t>
      </w:r>
      <w:r w:rsidR="00AD4095">
        <w:rPr>
          <w:rFonts w:ascii="Times New Roman" w:hAnsi="Times New Roman" w:cs="Times New Roman"/>
          <w:sz w:val="24"/>
          <w:szCs w:val="24"/>
        </w:rPr>
        <w:t xml:space="preserve"> database (but 41% of the appeal-eligible cases)</w:t>
      </w:r>
      <w:r w:rsidR="000F3BC5" w:rsidRPr="00FC6F7D">
        <w:rPr>
          <w:rFonts w:ascii="Times New Roman" w:hAnsi="Times New Roman" w:cs="Times New Roman"/>
          <w:sz w:val="24"/>
          <w:szCs w:val="24"/>
        </w:rPr>
        <w:t xml:space="preserve"> were </w:t>
      </w:r>
      <w:r w:rsidR="00101E6B">
        <w:rPr>
          <w:rFonts w:ascii="Times New Roman" w:hAnsi="Times New Roman" w:cs="Times New Roman"/>
          <w:sz w:val="24"/>
          <w:szCs w:val="24"/>
        </w:rPr>
        <w:t xml:space="preserve">eventually </w:t>
      </w:r>
      <w:r w:rsidR="000F3BC5" w:rsidRPr="00FC6F7D">
        <w:rPr>
          <w:rFonts w:ascii="Times New Roman" w:hAnsi="Times New Roman" w:cs="Times New Roman"/>
          <w:sz w:val="24"/>
          <w:szCs w:val="24"/>
        </w:rPr>
        <w:t>appealed</w:t>
      </w:r>
      <w:r w:rsidR="00101E6B">
        <w:rPr>
          <w:rFonts w:ascii="Times New Roman" w:hAnsi="Times New Roman" w:cs="Times New Roman"/>
          <w:sz w:val="24"/>
          <w:szCs w:val="24"/>
        </w:rPr>
        <w:t xml:space="preserve"> to the federal courts of appeals</w:t>
      </w:r>
      <w:r w:rsidR="000F3BC5" w:rsidRPr="00FC6F7D">
        <w:rPr>
          <w:rFonts w:ascii="Times New Roman" w:hAnsi="Times New Roman" w:cs="Times New Roman"/>
          <w:sz w:val="24"/>
          <w:szCs w:val="24"/>
        </w:rPr>
        <w:t>, and surprisingly, appellate courts reversed t</w:t>
      </w:r>
      <w:r w:rsidR="00F82331">
        <w:rPr>
          <w:rFonts w:ascii="Times New Roman" w:hAnsi="Times New Roman" w:cs="Times New Roman"/>
          <w:sz w:val="24"/>
          <w:szCs w:val="24"/>
        </w:rPr>
        <w:t xml:space="preserve">he statutory interpretation in </w:t>
      </w:r>
      <w:r w:rsidR="00D70F92">
        <w:rPr>
          <w:rFonts w:ascii="Times New Roman" w:hAnsi="Times New Roman" w:cs="Times New Roman"/>
          <w:sz w:val="24"/>
          <w:szCs w:val="24"/>
        </w:rPr>
        <w:t>about 60%</w:t>
      </w:r>
      <w:r>
        <w:rPr>
          <w:rFonts w:ascii="Times New Roman" w:hAnsi="Times New Roman" w:cs="Times New Roman"/>
          <w:sz w:val="24"/>
          <w:szCs w:val="24"/>
        </w:rPr>
        <w:t xml:space="preserve"> </w:t>
      </w:r>
      <w:r w:rsidR="000F3BC5" w:rsidRPr="00FC6F7D">
        <w:rPr>
          <w:rFonts w:ascii="Times New Roman" w:hAnsi="Times New Roman" w:cs="Times New Roman"/>
          <w:sz w:val="24"/>
          <w:szCs w:val="24"/>
        </w:rPr>
        <w:t xml:space="preserve">of </w:t>
      </w:r>
      <w:r w:rsidR="00F82331">
        <w:rPr>
          <w:rFonts w:ascii="Times New Roman" w:hAnsi="Times New Roman" w:cs="Times New Roman"/>
          <w:sz w:val="24"/>
          <w:szCs w:val="24"/>
        </w:rPr>
        <w:t>those</w:t>
      </w:r>
      <w:r w:rsidR="00DF64D9">
        <w:rPr>
          <w:rFonts w:ascii="Times New Roman" w:hAnsi="Times New Roman" w:cs="Times New Roman"/>
          <w:sz w:val="24"/>
          <w:szCs w:val="24"/>
        </w:rPr>
        <w:t xml:space="preserve"> </w:t>
      </w:r>
      <w:r w:rsidR="000F3BC5" w:rsidRPr="00FC6F7D">
        <w:rPr>
          <w:rFonts w:ascii="Times New Roman" w:hAnsi="Times New Roman" w:cs="Times New Roman"/>
          <w:sz w:val="24"/>
          <w:szCs w:val="24"/>
        </w:rPr>
        <w:t>cases</w:t>
      </w:r>
      <w:r w:rsidR="009573EA">
        <w:rPr>
          <w:rFonts w:ascii="Times New Roman" w:hAnsi="Times New Roman" w:cs="Times New Roman"/>
          <w:sz w:val="24"/>
          <w:szCs w:val="24"/>
        </w:rPr>
        <w:t xml:space="preserve"> —</w:t>
      </w:r>
      <w:r w:rsidR="00C303AF">
        <w:rPr>
          <w:rFonts w:ascii="Times New Roman" w:hAnsi="Times New Roman" w:cs="Times New Roman"/>
          <w:sz w:val="24"/>
          <w:szCs w:val="24"/>
        </w:rPr>
        <w:t>a disproportionate amount considering</w:t>
      </w:r>
      <w:r w:rsidR="009F48D6">
        <w:rPr>
          <w:rFonts w:ascii="Times New Roman" w:hAnsi="Times New Roman" w:cs="Times New Roman"/>
          <w:sz w:val="24"/>
          <w:szCs w:val="24"/>
        </w:rPr>
        <w:t xml:space="preserve"> and a number that should be considered with the limitations of the database</w:t>
      </w:r>
      <w:r w:rsidR="000F3BC5" w:rsidRPr="00FC6F7D">
        <w:rPr>
          <w:rFonts w:ascii="Times New Roman" w:hAnsi="Times New Roman" w:cs="Times New Roman"/>
          <w:sz w:val="24"/>
          <w:szCs w:val="24"/>
        </w:rPr>
        <w:t>.</w:t>
      </w:r>
      <w:r w:rsidR="009C0D6E">
        <w:rPr>
          <w:rStyle w:val="FootnoteReference"/>
          <w:rFonts w:ascii="Times New Roman" w:hAnsi="Times New Roman" w:cs="Times New Roman"/>
          <w:sz w:val="24"/>
          <w:szCs w:val="24"/>
        </w:rPr>
        <w:footnoteReference w:id="261"/>
      </w:r>
      <w:r w:rsidR="000F3BC5" w:rsidRPr="00FC6F7D">
        <w:rPr>
          <w:rFonts w:ascii="Times New Roman" w:hAnsi="Times New Roman" w:cs="Times New Roman"/>
          <w:sz w:val="24"/>
          <w:szCs w:val="24"/>
        </w:rPr>
        <w:t xml:space="preserve"> Given the fact that under </w:t>
      </w:r>
      <w:r w:rsidR="000F3BC5" w:rsidRPr="009573EA">
        <w:rPr>
          <w:rFonts w:ascii="Times New Roman" w:hAnsi="Times New Roman" w:cs="Times New Roman"/>
          <w:i/>
          <w:sz w:val="24"/>
          <w:szCs w:val="24"/>
        </w:rPr>
        <w:t>Chevron</w:t>
      </w:r>
      <w:r w:rsidR="000F3BC5" w:rsidRPr="00FC6F7D">
        <w:rPr>
          <w:rFonts w:ascii="Times New Roman" w:hAnsi="Times New Roman" w:cs="Times New Roman"/>
          <w:sz w:val="24"/>
          <w:szCs w:val="24"/>
        </w:rPr>
        <w:t xml:space="preserve">, courts should defer to reasonable interpretations of the statute, it is striking that appellate courts so often overturn statutory interpretations of the Board. </w:t>
      </w:r>
      <w:r w:rsidR="00101E6B">
        <w:rPr>
          <w:rFonts w:ascii="Times New Roman" w:hAnsi="Times New Roman" w:cs="Times New Roman"/>
          <w:sz w:val="24"/>
          <w:szCs w:val="24"/>
        </w:rPr>
        <w:t>This alarm must of course be taken with a grain of salt given that the sample size is small</w:t>
      </w:r>
      <w:r w:rsidR="00C71918">
        <w:rPr>
          <w:rFonts w:ascii="Times New Roman" w:hAnsi="Times New Roman" w:cs="Times New Roman"/>
          <w:sz w:val="24"/>
          <w:szCs w:val="24"/>
        </w:rPr>
        <w:t xml:space="preserve"> and the limitations of this particular sample</w:t>
      </w:r>
      <w:r w:rsidR="00101E6B">
        <w:rPr>
          <w:rFonts w:ascii="Times New Roman" w:hAnsi="Times New Roman" w:cs="Times New Roman"/>
          <w:sz w:val="24"/>
          <w:szCs w:val="24"/>
        </w:rPr>
        <w:t>, but nonetheless, it raises an issue as to whether courts even properly know how to review the policymaking decisions of the Board.</w:t>
      </w:r>
      <w:r w:rsidR="00FD3355">
        <w:rPr>
          <w:rFonts w:ascii="Times New Roman" w:hAnsi="Times New Roman" w:cs="Times New Roman"/>
          <w:sz w:val="24"/>
          <w:szCs w:val="24"/>
        </w:rPr>
        <w:t xml:space="preserve"> </w:t>
      </w:r>
    </w:p>
    <w:p w14:paraId="274292C7" w14:textId="3560305F" w:rsidR="00101E6B" w:rsidRDefault="000F3BC5" w:rsidP="000F3BC5">
      <w:pPr>
        <w:spacing w:after="0" w:line="480" w:lineRule="auto"/>
        <w:rPr>
          <w:rFonts w:ascii="Times New Roman" w:hAnsi="Times New Roman" w:cs="Times New Roman"/>
          <w:sz w:val="24"/>
          <w:szCs w:val="24"/>
        </w:rPr>
      </w:pPr>
      <w:r w:rsidRPr="00FC6F7D">
        <w:rPr>
          <w:rFonts w:ascii="Times New Roman" w:hAnsi="Times New Roman" w:cs="Times New Roman"/>
          <w:sz w:val="24"/>
          <w:szCs w:val="24"/>
        </w:rPr>
        <w:lastRenderedPageBreak/>
        <w:tab/>
      </w:r>
      <w:r w:rsidR="00551DDD">
        <w:rPr>
          <w:rFonts w:ascii="Times New Roman" w:hAnsi="Times New Roman" w:cs="Times New Roman"/>
          <w:sz w:val="24"/>
          <w:szCs w:val="24"/>
        </w:rPr>
        <w:t>The figures here should be taken cognizant of certain limitations</w:t>
      </w:r>
      <w:r w:rsidR="00824049">
        <w:rPr>
          <w:rFonts w:ascii="Times New Roman" w:hAnsi="Times New Roman" w:cs="Times New Roman"/>
          <w:sz w:val="24"/>
          <w:szCs w:val="24"/>
        </w:rPr>
        <w:t xml:space="preserve">. </w:t>
      </w:r>
      <w:r w:rsidR="00101E6B">
        <w:rPr>
          <w:rFonts w:ascii="Times New Roman" w:hAnsi="Times New Roman" w:cs="Times New Roman"/>
          <w:sz w:val="24"/>
          <w:szCs w:val="24"/>
        </w:rPr>
        <w:t xml:space="preserve">That </w:t>
      </w:r>
      <w:r w:rsidR="00551DDD">
        <w:rPr>
          <w:rFonts w:ascii="Times New Roman" w:hAnsi="Times New Roman" w:cs="Times New Roman"/>
          <w:sz w:val="24"/>
          <w:szCs w:val="24"/>
        </w:rPr>
        <w:t xml:space="preserve">26% of the courts were appealed </w:t>
      </w:r>
      <w:r w:rsidR="00101E6B">
        <w:rPr>
          <w:rFonts w:ascii="Times New Roman" w:hAnsi="Times New Roman" w:cs="Times New Roman"/>
          <w:sz w:val="24"/>
          <w:szCs w:val="24"/>
        </w:rPr>
        <w:t>number is a bi</w:t>
      </w:r>
      <w:r w:rsidR="00824049">
        <w:rPr>
          <w:rFonts w:ascii="Times New Roman" w:hAnsi="Times New Roman" w:cs="Times New Roman"/>
          <w:sz w:val="24"/>
          <w:szCs w:val="24"/>
        </w:rPr>
        <w:t xml:space="preserve">t misleading in some respects. </w:t>
      </w:r>
      <w:r w:rsidR="00101E6B">
        <w:rPr>
          <w:rFonts w:ascii="Times New Roman" w:hAnsi="Times New Roman" w:cs="Times New Roman"/>
          <w:sz w:val="24"/>
          <w:szCs w:val="24"/>
        </w:rPr>
        <w:t>First, election representation and bargaining unit cases cannot be appealed to the federal courts,</w:t>
      </w:r>
      <w:r w:rsidR="001D3D8F">
        <w:rPr>
          <w:rStyle w:val="FootnoteReference"/>
          <w:rFonts w:ascii="Times New Roman" w:hAnsi="Times New Roman" w:cs="Times New Roman"/>
          <w:sz w:val="24"/>
          <w:szCs w:val="24"/>
        </w:rPr>
        <w:footnoteReference w:id="262"/>
      </w:r>
      <w:r w:rsidR="00101E6B">
        <w:rPr>
          <w:rFonts w:ascii="Times New Roman" w:hAnsi="Times New Roman" w:cs="Times New Roman"/>
          <w:sz w:val="24"/>
          <w:szCs w:val="24"/>
        </w:rPr>
        <w:t xml:space="preserve"> so given that those cases make up about 26% of the database, we are not able to make any conclusions about those ca</w:t>
      </w:r>
      <w:r w:rsidR="00AA09A7">
        <w:rPr>
          <w:rFonts w:ascii="Times New Roman" w:hAnsi="Times New Roman" w:cs="Times New Roman"/>
          <w:sz w:val="24"/>
          <w:szCs w:val="24"/>
        </w:rPr>
        <w:t xml:space="preserve">ses. </w:t>
      </w:r>
      <w:r w:rsidR="00101E6B">
        <w:rPr>
          <w:rFonts w:ascii="Times New Roman" w:hAnsi="Times New Roman" w:cs="Times New Roman"/>
          <w:sz w:val="24"/>
          <w:szCs w:val="24"/>
        </w:rPr>
        <w:t>Second, since the database only includes cases in which the Board engaged in statutory interpretation, there may be some cases in which the Board merely issued a summary decision blessing the ALJ opinion, and the court, on review, ruled on a s</w:t>
      </w:r>
      <w:r w:rsidR="00824049">
        <w:rPr>
          <w:rFonts w:ascii="Times New Roman" w:hAnsi="Times New Roman" w:cs="Times New Roman"/>
          <w:sz w:val="24"/>
          <w:szCs w:val="24"/>
        </w:rPr>
        <w:t>tatutory interpretation issue.</w:t>
      </w:r>
      <w:r w:rsidR="00A47E4B">
        <w:rPr>
          <w:rStyle w:val="FootnoteReference"/>
          <w:rFonts w:ascii="Times New Roman" w:hAnsi="Times New Roman" w:cs="Times New Roman"/>
          <w:sz w:val="24"/>
          <w:szCs w:val="24"/>
        </w:rPr>
        <w:footnoteReference w:id="263"/>
      </w:r>
      <w:r w:rsidR="00824049">
        <w:rPr>
          <w:rFonts w:ascii="Times New Roman" w:hAnsi="Times New Roman" w:cs="Times New Roman"/>
          <w:sz w:val="24"/>
          <w:szCs w:val="24"/>
        </w:rPr>
        <w:t xml:space="preserve"> </w:t>
      </w:r>
      <w:r w:rsidR="00C71918">
        <w:rPr>
          <w:rFonts w:ascii="Times New Roman" w:hAnsi="Times New Roman" w:cs="Times New Roman"/>
          <w:sz w:val="24"/>
          <w:szCs w:val="24"/>
        </w:rPr>
        <w:t>In still other cases, t</w:t>
      </w:r>
      <w:r w:rsidR="00CD6173">
        <w:rPr>
          <w:rFonts w:ascii="Times New Roman" w:hAnsi="Times New Roman" w:cs="Times New Roman"/>
          <w:sz w:val="24"/>
          <w:szCs w:val="24"/>
        </w:rPr>
        <w:t xml:space="preserve">he Board may feel that the statutory issue is a closed one, </w:t>
      </w:r>
      <w:r w:rsidR="00C71918">
        <w:rPr>
          <w:rFonts w:ascii="Times New Roman" w:hAnsi="Times New Roman" w:cs="Times New Roman"/>
          <w:sz w:val="24"/>
          <w:szCs w:val="24"/>
        </w:rPr>
        <w:t xml:space="preserve">and thus not discuss the issue in the opinion, </w:t>
      </w:r>
      <w:r w:rsidR="00CD6173">
        <w:rPr>
          <w:rFonts w:ascii="Times New Roman" w:hAnsi="Times New Roman" w:cs="Times New Roman"/>
          <w:sz w:val="24"/>
          <w:szCs w:val="24"/>
        </w:rPr>
        <w:t>but the courts, who are not bound by the Board’s precedent, may feel differently</w:t>
      </w:r>
      <w:r w:rsidR="00C71918">
        <w:rPr>
          <w:rFonts w:ascii="Times New Roman" w:hAnsi="Times New Roman" w:cs="Times New Roman"/>
          <w:sz w:val="24"/>
          <w:szCs w:val="24"/>
        </w:rPr>
        <w:t>. As such, t</w:t>
      </w:r>
      <w:r w:rsidR="00CD6173">
        <w:rPr>
          <w:rFonts w:ascii="Times New Roman" w:hAnsi="Times New Roman" w:cs="Times New Roman"/>
          <w:sz w:val="24"/>
          <w:szCs w:val="24"/>
        </w:rPr>
        <w:t>he losing litigants could raise statutory arguments on appeal that were defeated</w:t>
      </w:r>
      <w:r w:rsidR="00C71918">
        <w:rPr>
          <w:rFonts w:ascii="Times New Roman" w:hAnsi="Times New Roman" w:cs="Times New Roman"/>
          <w:sz w:val="24"/>
          <w:szCs w:val="24"/>
        </w:rPr>
        <w:t xml:space="preserve"> or ignored</w:t>
      </w:r>
      <w:r w:rsidR="00CD6173">
        <w:rPr>
          <w:rFonts w:ascii="Times New Roman" w:hAnsi="Times New Roman" w:cs="Times New Roman"/>
          <w:sz w:val="24"/>
          <w:szCs w:val="24"/>
        </w:rPr>
        <w:t xml:space="preserve"> by the Board. </w:t>
      </w:r>
      <w:r w:rsidR="00101E6B">
        <w:rPr>
          <w:rFonts w:ascii="Times New Roman" w:hAnsi="Times New Roman" w:cs="Times New Roman"/>
          <w:sz w:val="24"/>
          <w:szCs w:val="24"/>
        </w:rPr>
        <w:t>These cases would no</w:t>
      </w:r>
      <w:r w:rsidR="00824049">
        <w:rPr>
          <w:rFonts w:ascii="Times New Roman" w:hAnsi="Times New Roman" w:cs="Times New Roman"/>
          <w:sz w:val="24"/>
          <w:szCs w:val="24"/>
        </w:rPr>
        <w:t>t be included in the analysis</w:t>
      </w:r>
      <w:r w:rsidR="00DC7C64">
        <w:rPr>
          <w:rFonts w:ascii="Times New Roman" w:hAnsi="Times New Roman" w:cs="Times New Roman"/>
          <w:sz w:val="24"/>
          <w:szCs w:val="24"/>
        </w:rPr>
        <w:t xml:space="preserve"> because the Board </w:t>
      </w:r>
      <w:r w:rsidR="00CD6173">
        <w:rPr>
          <w:rFonts w:ascii="Times New Roman" w:hAnsi="Times New Roman" w:cs="Times New Roman"/>
          <w:sz w:val="24"/>
          <w:szCs w:val="24"/>
        </w:rPr>
        <w:t>did not interpret the statute in its opinion</w:t>
      </w:r>
      <w:r w:rsidR="00824049">
        <w:rPr>
          <w:rFonts w:ascii="Times New Roman" w:hAnsi="Times New Roman" w:cs="Times New Roman"/>
          <w:sz w:val="24"/>
          <w:szCs w:val="24"/>
        </w:rPr>
        <w:t>.</w:t>
      </w:r>
      <w:r w:rsidR="00DC7C64">
        <w:rPr>
          <w:rStyle w:val="FootnoteReference"/>
          <w:rFonts w:ascii="Times New Roman" w:hAnsi="Times New Roman" w:cs="Times New Roman"/>
          <w:sz w:val="24"/>
          <w:szCs w:val="24"/>
        </w:rPr>
        <w:footnoteReference w:id="264"/>
      </w:r>
      <w:r w:rsidR="00824049">
        <w:rPr>
          <w:rFonts w:ascii="Times New Roman" w:hAnsi="Times New Roman" w:cs="Times New Roman"/>
          <w:sz w:val="24"/>
          <w:szCs w:val="24"/>
        </w:rPr>
        <w:t xml:space="preserve"> </w:t>
      </w:r>
      <w:r w:rsidR="00CD6173">
        <w:rPr>
          <w:rFonts w:ascii="Times New Roman" w:hAnsi="Times New Roman" w:cs="Times New Roman"/>
          <w:sz w:val="24"/>
          <w:szCs w:val="24"/>
        </w:rPr>
        <w:t xml:space="preserve">Further, the data may be </w:t>
      </w:r>
      <w:r w:rsidR="00101E6B">
        <w:rPr>
          <w:rFonts w:ascii="Times New Roman" w:hAnsi="Times New Roman" w:cs="Times New Roman"/>
          <w:sz w:val="24"/>
          <w:szCs w:val="24"/>
        </w:rPr>
        <w:t xml:space="preserve">censored in that I included </w:t>
      </w:r>
      <w:r w:rsidR="00CD6173">
        <w:rPr>
          <w:rFonts w:ascii="Times New Roman" w:hAnsi="Times New Roman" w:cs="Times New Roman"/>
          <w:sz w:val="24"/>
          <w:szCs w:val="24"/>
        </w:rPr>
        <w:t xml:space="preserve">Board </w:t>
      </w:r>
      <w:r w:rsidR="00101E6B">
        <w:rPr>
          <w:rFonts w:ascii="Times New Roman" w:hAnsi="Times New Roman" w:cs="Times New Roman"/>
          <w:sz w:val="24"/>
          <w:szCs w:val="24"/>
        </w:rPr>
        <w:t>statutory interpretations u</w:t>
      </w:r>
      <w:r w:rsidR="009573EA">
        <w:rPr>
          <w:rFonts w:ascii="Times New Roman" w:hAnsi="Times New Roman" w:cs="Times New Roman"/>
          <w:sz w:val="24"/>
          <w:szCs w:val="24"/>
        </w:rPr>
        <w:t>p to August</w:t>
      </w:r>
      <w:r w:rsidR="00101E6B">
        <w:rPr>
          <w:rFonts w:ascii="Times New Roman" w:hAnsi="Times New Roman" w:cs="Times New Roman"/>
          <w:sz w:val="24"/>
          <w:szCs w:val="24"/>
        </w:rPr>
        <w:t xml:space="preserve"> 2016, so some of the cases in the last few years may not have made their way t</w:t>
      </w:r>
      <w:r w:rsidR="00BA2D93">
        <w:rPr>
          <w:rFonts w:ascii="Times New Roman" w:hAnsi="Times New Roman" w:cs="Times New Roman"/>
          <w:sz w:val="24"/>
          <w:szCs w:val="24"/>
        </w:rPr>
        <w:t>hrough the appeal process yet</w:t>
      </w:r>
      <w:r w:rsidR="00DC7C64">
        <w:rPr>
          <w:rFonts w:ascii="Times New Roman" w:hAnsi="Times New Roman" w:cs="Times New Roman"/>
          <w:sz w:val="24"/>
          <w:szCs w:val="24"/>
        </w:rPr>
        <w:t xml:space="preserve"> to merit a decision from the appeals court</w:t>
      </w:r>
      <w:r w:rsidR="00BA2D93">
        <w:rPr>
          <w:rFonts w:ascii="Times New Roman" w:hAnsi="Times New Roman" w:cs="Times New Roman"/>
          <w:sz w:val="24"/>
          <w:szCs w:val="24"/>
        </w:rPr>
        <w:t xml:space="preserve">. </w:t>
      </w:r>
      <w:r w:rsidR="00CD6173">
        <w:rPr>
          <w:rFonts w:ascii="Times New Roman" w:hAnsi="Times New Roman" w:cs="Times New Roman"/>
          <w:sz w:val="24"/>
          <w:szCs w:val="24"/>
        </w:rPr>
        <w:t>Finally</w:t>
      </w:r>
      <w:r w:rsidR="00101E6B">
        <w:rPr>
          <w:rFonts w:ascii="Times New Roman" w:hAnsi="Times New Roman" w:cs="Times New Roman"/>
          <w:sz w:val="24"/>
          <w:szCs w:val="24"/>
        </w:rPr>
        <w:t>, in many cases the appellate courts engage in statutory interpretation when they are not suppose</w:t>
      </w:r>
      <w:r w:rsidR="00DC7C64">
        <w:rPr>
          <w:rFonts w:ascii="Times New Roman" w:hAnsi="Times New Roman" w:cs="Times New Roman"/>
          <w:sz w:val="24"/>
          <w:szCs w:val="24"/>
        </w:rPr>
        <w:t>d</w:t>
      </w:r>
      <w:r w:rsidR="00101E6B">
        <w:rPr>
          <w:rFonts w:ascii="Times New Roman" w:hAnsi="Times New Roman" w:cs="Times New Roman"/>
          <w:sz w:val="24"/>
          <w:szCs w:val="24"/>
        </w:rPr>
        <w:t xml:space="preserve"> to, that is, even </w:t>
      </w:r>
      <w:r w:rsidR="00DC7C64">
        <w:rPr>
          <w:rFonts w:ascii="Times New Roman" w:hAnsi="Times New Roman" w:cs="Times New Roman"/>
          <w:sz w:val="24"/>
          <w:szCs w:val="24"/>
        </w:rPr>
        <w:t>neither the</w:t>
      </w:r>
      <w:r w:rsidR="00101E6B">
        <w:rPr>
          <w:rFonts w:ascii="Times New Roman" w:hAnsi="Times New Roman" w:cs="Times New Roman"/>
          <w:sz w:val="24"/>
          <w:szCs w:val="24"/>
        </w:rPr>
        <w:t xml:space="preserve"> Board</w:t>
      </w:r>
      <w:r w:rsidR="00DC7C64">
        <w:rPr>
          <w:rFonts w:ascii="Times New Roman" w:hAnsi="Times New Roman" w:cs="Times New Roman"/>
          <w:sz w:val="24"/>
          <w:szCs w:val="24"/>
        </w:rPr>
        <w:t xml:space="preserve"> nor the ALJ</w:t>
      </w:r>
      <w:r w:rsidR="00101E6B">
        <w:rPr>
          <w:rFonts w:ascii="Times New Roman" w:hAnsi="Times New Roman" w:cs="Times New Roman"/>
          <w:sz w:val="24"/>
          <w:szCs w:val="24"/>
        </w:rPr>
        <w:t xml:space="preserve"> did not do a statutory interpretation analysis, the court, instead of relying on the substa</w:t>
      </w:r>
      <w:r w:rsidR="00DC7C64">
        <w:rPr>
          <w:rFonts w:ascii="Times New Roman" w:hAnsi="Times New Roman" w:cs="Times New Roman"/>
          <w:sz w:val="24"/>
          <w:szCs w:val="24"/>
        </w:rPr>
        <w:t>ntial evidence standard, decides</w:t>
      </w:r>
      <w:r w:rsidR="00101E6B">
        <w:rPr>
          <w:rFonts w:ascii="Times New Roman" w:hAnsi="Times New Roman" w:cs="Times New Roman"/>
          <w:sz w:val="24"/>
          <w:szCs w:val="24"/>
        </w:rPr>
        <w:t xml:space="preserve"> instead to embark on a full-fledged stat</w:t>
      </w:r>
      <w:r w:rsidR="0032159B">
        <w:rPr>
          <w:rFonts w:ascii="Times New Roman" w:hAnsi="Times New Roman" w:cs="Times New Roman"/>
          <w:sz w:val="24"/>
          <w:szCs w:val="24"/>
        </w:rPr>
        <w:t>utory interpretation analysis</w:t>
      </w:r>
      <w:r w:rsidR="00DC7C64">
        <w:rPr>
          <w:rFonts w:ascii="Times New Roman" w:hAnsi="Times New Roman" w:cs="Times New Roman"/>
          <w:sz w:val="24"/>
          <w:szCs w:val="24"/>
        </w:rPr>
        <w:t xml:space="preserve"> to decide the case</w:t>
      </w:r>
      <w:r w:rsidR="0032159B">
        <w:rPr>
          <w:rFonts w:ascii="Times New Roman" w:hAnsi="Times New Roman" w:cs="Times New Roman"/>
          <w:sz w:val="24"/>
          <w:szCs w:val="24"/>
        </w:rPr>
        <w:t xml:space="preserve">. </w:t>
      </w:r>
      <w:r w:rsidR="00101E6B">
        <w:rPr>
          <w:rFonts w:ascii="Times New Roman" w:hAnsi="Times New Roman" w:cs="Times New Roman"/>
          <w:sz w:val="24"/>
          <w:szCs w:val="24"/>
        </w:rPr>
        <w:t xml:space="preserve">To the extent there was no hint of statutory interpretation in a Board decision the database would </w:t>
      </w:r>
      <w:r w:rsidR="00DC7C64">
        <w:rPr>
          <w:rFonts w:ascii="Times New Roman" w:hAnsi="Times New Roman" w:cs="Times New Roman"/>
          <w:sz w:val="24"/>
          <w:szCs w:val="24"/>
        </w:rPr>
        <w:t xml:space="preserve">not </w:t>
      </w:r>
      <w:r w:rsidR="00DC7C64">
        <w:rPr>
          <w:rFonts w:ascii="Times New Roman" w:hAnsi="Times New Roman" w:cs="Times New Roman"/>
          <w:sz w:val="24"/>
          <w:szCs w:val="24"/>
        </w:rPr>
        <w:lastRenderedPageBreak/>
        <w:t>cover</w:t>
      </w:r>
      <w:r w:rsidR="00101E6B">
        <w:rPr>
          <w:rFonts w:ascii="Times New Roman" w:hAnsi="Times New Roman" w:cs="Times New Roman"/>
          <w:sz w:val="24"/>
          <w:szCs w:val="24"/>
        </w:rPr>
        <w:t xml:space="preserve"> these “mistaken” statutory interpretation cases</w:t>
      </w:r>
      <w:r w:rsidR="00DC7C64">
        <w:rPr>
          <w:rFonts w:ascii="Times New Roman" w:hAnsi="Times New Roman" w:cs="Times New Roman"/>
          <w:sz w:val="24"/>
          <w:szCs w:val="24"/>
        </w:rPr>
        <w:t>.</w:t>
      </w:r>
      <w:r w:rsidR="002D37A8">
        <w:rPr>
          <w:rStyle w:val="FootnoteReference"/>
          <w:rFonts w:ascii="Times New Roman" w:hAnsi="Times New Roman" w:cs="Times New Roman"/>
          <w:sz w:val="24"/>
          <w:szCs w:val="24"/>
        </w:rPr>
        <w:footnoteReference w:id="265"/>
      </w:r>
      <w:r w:rsidR="00101E6B">
        <w:rPr>
          <w:rFonts w:ascii="Times New Roman" w:hAnsi="Times New Roman" w:cs="Times New Roman"/>
          <w:sz w:val="24"/>
          <w:szCs w:val="24"/>
        </w:rPr>
        <w:t xml:space="preserve"> </w:t>
      </w:r>
      <w:r w:rsidR="00B76A54">
        <w:rPr>
          <w:rFonts w:ascii="Times New Roman" w:hAnsi="Times New Roman" w:cs="Times New Roman"/>
          <w:sz w:val="24"/>
          <w:szCs w:val="24"/>
        </w:rPr>
        <w:t>Nonetheless, even though the data may be limited, we can at least follow the path forward to see what happened to our cases at the courts of appeals and whether the court engaged in a similar type of statutory methodology.</w:t>
      </w:r>
    </w:p>
    <w:p w14:paraId="462C872D" w14:textId="38C9A101" w:rsidR="00193F3C" w:rsidRPr="00193F3C" w:rsidRDefault="00193F3C" w:rsidP="00193F3C">
      <w:pPr>
        <w:pStyle w:val="ListParagraph"/>
        <w:numPr>
          <w:ilvl w:val="0"/>
          <w:numId w:val="31"/>
        </w:numPr>
        <w:spacing w:after="0" w:line="480" w:lineRule="auto"/>
        <w:rPr>
          <w:rFonts w:ascii="Times New Roman" w:hAnsi="Times New Roman" w:cs="Times New Roman"/>
          <w:b/>
          <w:sz w:val="24"/>
          <w:szCs w:val="24"/>
        </w:rPr>
      </w:pPr>
      <w:r w:rsidRPr="00193F3C">
        <w:rPr>
          <w:rFonts w:ascii="Times New Roman" w:hAnsi="Times New Roman" w:cs="Times New Roman"/>
          <w:b/>
          <w:sz w:val="24"/>
          <w:szCs w:val="24"/>
        </w:rPr>
        <w:t>Appellate Court “Dueling”</w:t>
      </w:r>
    </w:p>
    <w:p w14:paraId="60E86DFB" w14:textId="6384B003" w:rsidR="00350AFF" w:rsidRDefault="00101E6B" w:rsidP="000F3BC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these caveats in order, we turn </w:t>
      </w:r>
      <w:r w:rsidR="007D2D68">
        <w:rPr>
          <w:rFonts w:ascii="Times New Roman" w:hAnsi="Times New Roman" w:cs="Times New Roman"/>
          <w:sz w:val="24"/>
          <w:szCs w:val="24"/>
        </w:rPr>
        <w:t xml:space="preserve">briefly </w:t>
      </w:r>
      <w:r>
        <w:rPr>
          <w:rFonts w:ascii="Times New Roman" w:hAnsi="Times New Roman" w:cs="Times New Roman"/>
          <w:sz w:val="24"/>
          <w:szCs w:val="24"/>
        </w:rPr>
        <w:t>to our data to see how in fact courts rule on the statutory methodologies used by the Board.</w:t>
      </w:r>
      <w:r w:rsidR="0032159B">
        <w:rPr>
          <w:rFonts w:ascii="Times New Roman" w:hAnsi="Times New Roman" w:cs="Times New Roman"/>
          <w:sz w:val="24"/>
          <w:szCs w:val="24"/>
        </w:rPr>
        <w:t xml:space="preserve"> </w:t>
      </w:r>
      <w:r w:rsidR="00A47E4B">
        <w:rPr>
          <w:rFonts w:ascii="Times New Roman" w:hAnsi="Times New Roman" w:cs="Times New Roman"/>
          <w:sz w:val="24"/>
          <w:szCs w:val="24"/>
        </w:rPr>
        <w:t xml:space="preserve">As shown in </w:t>
      </w:r>
      <w:r w:rsidR="00757B71">
        <w:rPr>
          <w:rFonts w:ascii="Times New Roman" w:hAnsi="Times New Roman" w:cs="Times New Roman"/>
          <w:sz w:val="24"/>
          <w:szCs w:val="24"/>
        </w:rPr>
        <w:t xml:space="preserve">Figures 17 and 18, </w:t>
      </w:r>
      <w:r w:rsidR="00A47E4B">
        <w:rPr>
          <w:rFonts w:ascii="Times New Roman" w:hAnsi="Times New Roman" w:cs="Times New Roman"/>
          <w:sz w:val="24"/>
          <w:szCs w:val="24"/>
        </w:rPr>
        <w:t>t</w:t>
      </w:r>
      <w:r w:rsidR="00B76A54">
        <w:rPr>
          <w:rFonts w:ascii="Times New Roman" w:hAnsi="Times New Roman" w:cs="Times New Roman"/>
          <w:sz w:val="24"/>
          <w:szCs w:val="24"/>
        </w:rPr>
        <w:t xml:space="preserve">he court most often disagreed with the purposive </w:t>
      </w:r>
      <w:r w:rsidR="0032159B">
        <w:rPr>
          <w:rFonts w:ascii="Times New Roman" w:hAnsi="Times New Roman" w:cs="Times New Roman"/>
          <w:sz w:val="24"/>
          <w:szCs w:val="24"/>
        </w:rPr>
        <w:t xml:space="preserve">analysis of the Board; </w:t>
      </w:r>
      <w:r w:rsidR="00B76A54">
        <w:rPr>
          <w:rFonts w:ascii="Times New Roman" w:hAnsi="Times New Roman" w:cs="Times New Roman"/>
          <w:sz w:val="24"/>
          <w:szCs w:val="24"/>
        </w:rPr>
        <w:t>in about 55% of cases in which the court differed from the Board, the court rested its decisio</w:t>
      </w:r>
      <w:r w:rsidR="0032159B">
        <w:rPr>
          <w:rFonts w:ascii="Times New Roman" w:hAnsi="Times New Roman" w:cs="Times New Roman"/>
          <w:sz w:val="24"/>
          <w:szCs w:val="24"/>
        </w:rPr>
        <w:t>n primarily on textual grounds.</w:t>
      </w:r>
      <w:r w:rsidR="00B76A54">
        <w:rPr>
          <w:rFonts w:ascii="Times New Roman" w:hAnsi="Times New Roman" w:cs="Times New Roman"/>
          <w:sz w:val="24"/>
          <w:szCs w:val="24"/>
        </w:rPr>
        <w:t xml:space="preserve"> </w:t>
      </w:r>
      <w:r w:rsidR="000F3BC5" w:rsidRPr="00FC6F7D">
        <w:rPr>
          <w:rFonts w:ascii="Times New Roman" w:hAnsi="Times New Roman" w:cs="Times New Roman"/>
          <w:sz w:val="24"/>
          <w:szCs w:val="24"/>
        </w:rPr>
        <w:t>In nearly all of the cases where this happened, the appellate court largely adopted the reasoning of the dissent from the Board. Moreover, most cases concerned a liberal Board decision being overturned in a conservative manner using a textualist approach</w:t>
      </w:r>
      <w:r w:rsidR="00CA20C9">
        <w:rPr>
          <w:rFonts w:ascii="Times New Roman" w:hAnsi="Times New Roman" w:cs="Times New Roman"/>
          <w:sz w:val="24"/>
          <w:szCs w:val="24"/>
        </w:rPr>
        <w:t xml:space="preserve"> as shown in both Figures 17 and 18</w:t>
      </w:r>
      <w:r w:rsidR="00757B71">
        <w:rPr>
          <w:rFonts w:ascii="Times New Roman" w:hAnsi="Times New Roman" w:cs="Times New Roman"/>
          <w:sz w:val="24"/>
          <w:szCs w:val="24"/>
        </w:rPr>
        <w:t xml:space="preserve">. </w:t>
      </w:r>
      <w:r w:rsidR="000F3BC5" w:rsidRPr="00FC6F7D">
        <w:rPr>
          <w:rFonts w:ascii="Times New Roman" w:hAnsi="Times New Roman" w:cs="Times New Roman"/>
          <w:sz w:val="24"/>
          <w:szCs w:val="24"/>
        </w:rPr>
        <w:t xml:space="preserve">This is not altogether surprising given that the appellate courts are more conservative in orientation that liberal given their composition. </w:t>
      </w:r>
      <w:r w:rsidR="00B76A54">
        <w:rPr>
          <w:rFonts w:ascii="Times New Roman" w:hAnsi="Times New Roman" w:cs="Times New Roman"/>
          <w:sz w:val="24"/>
          <w:szCs w:val="24"/>
        </w:rPr>
        <w:t xml:space="preserve">Nonetheless, that the appeals court </w:t>
      </w:r>
      <w:r w:rsidR="009573EA">
        <w:rPr>
          <w:rFonts w:ascii="Times New Roman" w:hAnsi="Times New Roman" w:cs="Times New Roman"/>
          <w:sz w:val="24"/>
          <w:szCs w:val="24"/>
        </w:rPr>
        <w:t>would decide so many of these —</w:t>
      </w:r>
      <w:r w:rsidR="00B76A54">
        <w:rPr>
          <w:rFonts w:ascii="Times New Roman" w:hAnsi="Times New Roman" w:cs="Times New Roman"/>
          <w:sz w:val="24"/>
          <w:szCs w:val="24"/>
        </w:rPr>
        <w:t xml:space="preserve">sometimes even under </w:t>
      </w:r>
      <w:r w:rsidR="00C71918">
        <w:rPr>
          <w:rFonts w:ascii="Times New Roman" w:hAnsi="Times New Roman" w:cs="Times New Roman"/>
          <w:sz w:val="24"/>
          <w:szCs w:val="24"/>
        </w:rPr>
        <w:t xml:space="preserve">what amounts to </w:t>
      </w:r>
      <w:r w:rsidR="00B76A54">
        <w:rPr>
          <w:rFonts w:ascii="Times New Roman" w:hAnsi="Times New Roman" w:cs="Times New Roman"/>
          <w:sz w:val="24"/>
          <w:szCs w:val="24"/>
        </w:rPr>
        <w:t xml:space="preserve">a </w:t>
      </w:r>
      <w:r w:rsidR="00B76A54" w:rsidRPr="009573EA">
        <w:rPr>
          <w:rFonts w:ascii="Times New Roman" w:hAnsi="Times New Roman" w:cs="Times New Roman"/>
          <w:i/>
          <w:sz w:val="24"/>
          <w:szCs w:val="24"/>
        </w:rPr>
        <w:t>Chevron</w:t>
      </w:r>
      <w:r w:rsidR="00757B71">
        <w:rPr>
          <w:rFonts w:ascii="Times New Roman" w:hAnsi="Times New Roman" w:cs="Times New Roman"/>
          <w:sz w:val="24"/>
          <w:szCs w:val="24"/>
        </w:rPr>
        <w:t xml:space="preserve"> Step 1—</w:t>
      </w:r>
      <w:r w:rsidR="00B76A54">
        <w:rPr>
          <w:rFonts w:ascii="Times New Roman" w:hAnsi="Times New Roman" w:cs="Times New Roman"/>
          <w:sz w:val="24"/>
          <w:szCs w:val="24"/>
        </w:rPr>
        <w:t>analysis raises alarm bells as to whe</w:t>
      </w:r>
      <w:r w:rsidR="002D37A8">
        <w:rPr>
          <w:rFonts w:ascii="Times New Roman" w:hAnsi="Times New Roman" w:cs="Times New Roman"/>
          <w:sz w:val="24"/>
          <w:szCs w:val="24"/>
        </w:rPr>
        <w:t>ther the court itself is overst</w:t>
      </w:r>
      <w:r w:rsidR="00B76A54">
        <w:rPr>
          <w:rFonts w:ascii="Times New Roman" w:hAnsi="Times New Roman" w:cs="Times New Roman"/>
          <w:sz w:val="24"/>
          <w:szCs w:val="24"/>
        </w:rPr>
        <w:t>ep</w:t>
      </w:r>
      <w:r w:rsidR="00AD4095">
        <w:rPr>
          <w:rFonts w:ascii="Times New Roman" w:hAnsi="Times New Roman" w:cs="Times New Roman"/>
          <w:sz w:val="24"/>
          <w:szCs w:val="24"/>
        </w:rPr>
        <w:t>p</w:t>
      </w:r>
      <w:r w:rsidR="00B76A54">
        <w:rPr>
          <w:rFonts w:ascii="Times New Roman" w:hAnsi="Times New Roman" w:cs="Times New Roman"/>
          <w:sz w:val="24"/>
          <w:szCs w:val="24"/>
        </w:rPr>
        <w:t>ing its authority and using polic</w:t>
      </w:r>
      <w:r w:rsidR="0032159B">
        <w:rPr>
          <w:rFonts w:ascii="Times New Roman" w:hAnsi="Times New Roman" w:cs="Times New Roman"/>
          <w:sz w:val="24"/>
          <w:szCs w:val="24"/>
        </w:rPr>
        <w:t>ymaking to overturn the Board</w:t>
      </w:r>
      <w:r w:rsidR="00A47E4B">
        <w:rPr>
          <w:rFonts w:ascii="Times New Roman" w:hAnsi="Times New Roman" w:cs="Times New Roman"/>
          <w:sz w:val="24"/>
          <w:szCs w:val="24"/>
        </w:rPr>
        <w:t xml:space="preserve"> saying that the text is clear</w:t>
      </w:r>
      <w:r w:rsidR="0032159B">
        <w:rPr>
          <w:rFonts w:ascii="Times New Roman" w:hAnsi="Times New Roman" w:cs="Times New Roman"/>
          <w:sz w:val="24"/>
          <w:szCs w:val="24"/>
        </w:rPr>
        <w:t xml:space="preserve">. </w:t>
      </w:r>
      <w:r w:rsidR="00757B71">
        <w:rPr>
          <w:rFonts w:ascii="Times New Roman" w:hAnsi="Times New Roman" w:cs="Times New Roman"/>
          <w:sz w:val="24"/>
          <w:szCs w:val="24"/>
        </w:rPr>
        <w:t xml:space="preserve">In over half of the cases where the appellate courts reversed, it relied on the text or the legislative history and the text as the basis for its opinion. </w:t>
      </w:r>
      <w:r w:rsidR="007D2D68">
        <w:rPr>
          <w:rFonts w:ascii="Times New Roman" w:hAnsi="Times New Roman" w:cs="Times New Roman"/>
          <w:sz w:val="24"/>
          <w:szCs w:val="24"/>
        </w:rPr>
        <w:t>In anot</w:t>
      </w:r>
      <w:r w:rsidR="006D55AC">
        <w:rPr>
          <w:rFonts w:ascii="Times New Roman" w:hAnsi="Times New Roman" w:cs="Times New Roman"/>
          <w:sz w:val="24"/>
          <w:szCs w:val="24"/>
        </w:rPr>
        <w:t xml:space="preserve">her quarter of cases, the courts relied on a caselaw/policy-based argument to reverse the Board. </w:t>
      </w:r>
      <w:r w:rsidR="00757B71">
        <w:rPr>
          <w:rFonts w:ascii="Times New Roman" w:hAnsi="Times New Roman" w:cs="Times New Roman"/>
          <w:sz w:val="24"/>
          <w:szCs w:val="24"/>
        </w:rPr>
        <w:t xml:space="preserve">Further, as noted in Figure 17, in a small number of cases, the courts applied the substantial evidence standard to decide the case, side-stepping the statutory interpretation </w:t>
      </w:r>
      <w:r w:rsidR="00757B71">
        <w:rPr>
          <w:rFonts w:ascii="Times New Roman" w:hAnsi="Times New Roman" w:cs="Times New Roman"/>
          <w:sz w:val="24"/>
          <w:szCs w:val="24"/>
        </w:rPr>
        <w:lastRenderedPageBreak/>
        <w:t>altogether</w:t>
      </w:r>
      <w:r w:rsidR="006D55AC">
        <w:rPr>
          <w:rFonts w:ascii="Times New Roman" w:hAnsi="Times New Roman" w:cs="Times New Roman"/>
          <w:sz w:val="24"/>
          <w:szCs w:val="24"/>
        </w:rPr>
        <w:t>.</w:t>
      </w:r>
      <w:r w:rsidR="007D2D68">
        <w:rPr>
          <w:rFonts w:ascii="Times New Roman" w:hAnsi="Times New Roman" w:cs="Times New Roman"/>
          <w:sz w:val="24"/>
          <w:szCs w:val="24"/>
        </w:rPr>
        <w:t xml:space="preserve"> In all, the results underscore the lack of consistency by the appellate courts in interpreting NLRB cases.</w:t>
      </w:r>
    </w:p>
    <w:p w14:paraId="2A3C098A" w14:textId="77777777" w:rsidR="00D1653A" w:rsidRDefault="00D1653A" w:rsidP="000F3BC5">
      <w:pPr>
        <w:spacing w:after="0" w:line="480" w:lineRule="auto"/>
        <w:rPr>
          <w:rFonts w:ascii="Times New Roman" w:hAnsi="Times New Roman" w:cs="Times New Roman"/>
          <w:b/>
          <w:sz w:val="24"/>
          <w:szCs w:val="24"/>
        </w:rPr>
      </w:pPr>
    </w:p>
    <w:p w14:paraId="5C46C75A" w14:textId="77777777" w:rsidR="00D1653A" w:rsidRDefault="00D1653A" w:rsidP="000F3BC5">
      <w:pPr>
        <w:spacing w:after="0" w:line="480" w:lineRule="auto"/>
        <w:rPr>
          <w:rFonts w:ascii="Times New Roman" w:hAnsi="Times New Roman" w:cs="Times New Roman"/>
          <w:b/>
          <w:sz w:val="24"/>
          <w:szCs w:val="24"/>
        </w:rPr>
      </w:pPr>
    </w:p>
    <w:p w14:paraId="05D70501" w14:textId="072D7206" w:rsidR="00CA20C9" w:rsidRPr="00CA20C9" w:rsidRDefault="00CA20C9" w:rsidP="000F3BC5">
      <w:pPr>
        <w:spacing w:after="0" w:line="480" w:lineRule="auto"/>
        <w:rPr>
          <w:rFonts w:ascii="Times New Roman" w:hAnsi="Times New Roman" w:cs="Times New Roman"/>
          <w:b/>
          <w:sz w:val="24"/>
          <w:szCs w:val="24"/>
        </w:rPr>
      </w:pPr>
      <w:r>
        <w:rPr>
          <w:rFonts w:ascii="Times New Roman" w:hAnsi="Times New Roman" w:cs="Times New Roman"/>
          <w:b/>
          <w:sz w:val="24"/>
          <w:szCs w:val="24"/>
        </w:rPr>
        <w:t>Figure 17</w:t>
      </w:r>
    </w:p>
    <w:p w14:paraId="276DF72F" w14:textId="77777777" w:rsidR="005E768D" w:rsidRDefault="00C20D22" w:rsidP="00CA20C9">
      <w:pPr>
        <w:spacing w:after="0" w:line="480" w:lineRule="auto"/>
        <w:rPr>
          <w:rFonts w:ascii="Times New Roman" w:hAnsi="Times New Roman" w:cs="Times New Roman"/>
          <w:sz w:val="24"/>
          <w:szCs w:val="24"/>
        </w:rPr>
      </w:pPr>
      <w:r w:rsidRPr="00C20D22">
        <w:rPr>
          <w:rFonts w:ascii="Times New Roman" w:hAnsi="Times New Roman" w:cs="Times New Roman"/>
          <w:noProof/>
          <w:sz w:val="24"/>
          <w:szCs w:val="24"/>
        </w:rPr>
        <w:drawing>
          <wp:inline distT="0" distB="0" distL="0" distR="0" wp14:anchorId="20950299" wp14:editId="0F9158F7">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29200" cy="3657600"/>
                    </a:xfrm>
                    <a:prstGeom prst="rect">
                      <a:avLst/>
                    </a:prstGeom>
                  </pic:spPr>
                </pic:pic>
              </a:graphicData>
            </a:graphic>
          </wp:inline>
        </w:drawing>
      </w:r>
    </w:p>
    <w:p w14:paraId="7BEB6276" w14:textId="77777777" w:rsidR="005E768D" w:rsidRDefault="005E768D" w:rsidP="00CA20C9">
      <w:pPr>
        <w:spacing w:after="0" w:line="480" w:lineRule="auto"/>
        <w:rPr>
          <w:rFonts w:ascii="Times New Roman" w:hAnsi="Times New Roman" w:cs="Times New Roman"/>
          <w:sz w:val="24"/>
          <w:szCs w:val="24"/>
        </w:rPr>
      </w:pPr>
    </w:p>
    <w:p w14:paraId="139DB9F0" w14:textId="77777777" w:rsidR="005E768D" w:rsidRDefault="005E768D" w:rsidP="00CA20C9">
      <w:pPr>
        <w:spacing w:after="0" w:line="480" w:lineRule="auto"/>
        <w:rPr>
          <w:rFonts w:ascii="Times New Roman" w:hAnsi="Times New Roman" w:cs="Times New Roman"/>
          <w:sz w:val="24"/>
          <w:szCs w:val="24"/>
        </w:rPr>
      </w:pPr>
    </w:p>
    <w:p w14:paraId="46D28477" w14:textId="77777777" w:rsidR="005E768D" w:rsidRDefault="005E768D" w:rsidP="00CA20C9">
      <w:pPr>
        <w:spacing w:after="0" w:line="480" w:lineRule="auto"/>
        <w:rPr>
          <w:rFonts w:ascii="Times New Roman" w:hAnsi="Times New Roman" w:cs="Times New Roman"/>
          <w:sz w:val="24"/>
          <w:szCs w:val="24"/>
        </w:rPr>
      </w:pPr>
    </w:p>
    <w:p w14:paraId="18D576F2" w14:textId="77777777" w:rsidR="005E768D" w:rsidRDefault="005E768D" w:rsidP="00CA20C9">
      <w:pPr>
        <w:spacing w:after="0" w:line="480" w:lineRule="auto"/>
        <w:rPr>
          <w:rFonts w:ascii="Times New Roman" w:hAnsi="Times New Roman" w:cs="Times New Roman"/>
          <w:sz w:val="24"/>
          <w:szCs w:val="24"/>
        </w:rPr>
      </w:pPr>
    </w:p>
    <w:p w14:paraId="36696844" w14:textId="77777777" w:rsidR="005E768D" w:rsidRDefault="005E768D" w:rsidP="00CA20C9">
      <w:pPr>
        <w:spacing w:after="0" w:line="480" w:lineRule="auto"/>
        <w:rPr>
          <w:rFonts w:ascii="Times New Roman" w:hAnsi="Times New Roman" w:cs="Times New Roman"/>
          <w:sz w:val="24"/>
          <w:szCs w:val="24"/>
        </w:rPr>
      </w:pPr>
    </w:p>
    <w:p w14:paraId="3570C914" w14:textId="77777777" w:rsidR="005E768D" w:rsidRDefault="005E768D" w:rsidP="00CA20C9">
      <w:pPr>
        <w:spacing w:after="0" w:line="480" w:lineRule="auto"/>
        <w:rPr>
          <w:rFonts w:ascii="Times New Roman" w:hAnsi="Times New Roman" w:cs="Times New Roman"/>
          <w:sz w:val="24"/>
          <w:szCs w:val="24"/>
        </w:rPr>
      </w:pPr>
    </w:p>
    <w:p w14:paraId="7021FD54" w14:textId="77777777" w:rsidR="005E768D" w:rsidRDefault="005E768D" w:rsidP="00CA20C9">
      <w:pPr>
        <w:spacing w:after="0" w:line="480" w:lineRule="auto"/>
        <w:rPr>
          <w:rFonts w:ascii="Times New Roman" w:hAnsi="Times New Roman" w:cs="Times New Roman"/>
          <w:sz w:val="24"/>
          <w:szCs w:val="24"/>
        </w:rPr>
      </w:pPr>
    </w:p>
    <w:p w14:paraId="5B820313" w14:textId="77777777" w:rsidR="005E768D" w:rsidRDefault="005E768D" w:rsidP="00CA20C9">
      <w:pPr>
        <w:spacing w:after="0" w:line="480" w:lineRule="auto"/>
        <w:rPr>
          <w:rFonts w:ascii="Times New Roman" w:hAnsi="Times New Roman" w:cs="Times New Roman"/>
          <w:sz w:val="24"/>
          <w:szCs w:val="24"/>
        </w:rPr>
      </w:pPr>
    </w:p>
    <w:p w14:paraId="4B5DCC7C" w14:textId="31D88C10" w:rsidR="00462C59" w:rsidRPr="007D2D68" w:rsidRDefault="00CA20C9" w:rsidP="00CA20C9">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Figure 18</w:t>
      </w:r>
    </w:p>
    <w:p w14:paraId="3E648ECF" w14:textId="0B60F6EE" w:rsidR="00CA20C9" w:rsidRPr="00CA20C9" w:rsidRDefault="00CA20C9" w:rsidP="00CA20C9">
      <w:pPr>
        <w:spacing w:after="0" w:line="480" w:lineRule="auto"/>
        <w:rPr>
          <w:rFonts w:ascii="Times New Roman" w:hAnsi="Times New Roman" w:cs="Times New Roman"/>
          <w:b/>
          <w:sz w:val="24"/>
          <w:szCs w:val="24"/>
        </w:rPr>
      </w:pPr>
      <w:r w:rsidRPr="00462C59">
        <w:rPr>
          <w:rFonts w:ascii="Times New Roman" w:hAnsi="Times New Roman" w:cs="Times New Roman"/>
          <w:noProof/>
          <w:sz w:val="24"/>
          <w:szCs w:val="24"/>
        </w:rPr>
        <w:drawing>
          <wp:inline distT="0" distB="0" distL="0" distR="0" wp14:anchorId="21EDB6C5" wp14:editId="378960C9">
            <wp:extent cx="5029200" cy="3619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29200" cy="3619500"/>
                    </a:xfrm>
                    <a:prstGeom prst="rect">
                      <a:avLst/>
                    </a:prstGeom>
                  </pic:spPr>
                </pic:pic>
              </a:graphicData>
            </a:graphic>
          </wp:inline>
        </w:drawing>
      </w:r>
    </w:p>
    <w:p w14:paraId="471A68B6" w14:textId="293034E5" w:rsidR="00F75B38" w:rsidRPr="00A0394F" w:rsidRDefault="00E160F0" w:rsidP="00A0394F">
      <w:pPr>
        <w:pStyle w:val="ListParagraph"/>
        <w:numPr>
          <w:ilvl w:val="0"/>
          <w:numId w:val="22"/>
        </w:numPr>
        <w:spacing w:after="0" w:line="480" w:lineRule="auto"/>
        <w:rPr>
          <w:rFonts w:ascii="Times New Roman" w:hAnsi="Times New Roman" w:cs="Times New Roman"/>
          <w:b/>
          <w:sz w:val="24"/>
          <w:szCs w:val="24"/>
        </w:rPr>
      </w:pPr>
      <w:r w:rsidRPr="00A0394F">
        <w:rPr>
          <w:rFonts w:ascii="Times New Roman" w:hAnsi="Times New Roman" w:cs="Times New Roman"/>
          <w:b/>
          <w:sz w:val="24"/>
          <w:szCs w:val="24"/>
        </w:rPr>
        <w:t>How Should the Board</w:t>
      </w:r>
      <w:r w:rsidR="00DB5385" w:rsidRPr="00A0394F">
        <w:rPr>
          <w:rFonts w:ascii="Times New Roman" w:hAnsi="Times New Roman" w:cs="Times New Roman"/>
          <w:b/>
          <w:sz w:val="24"/>
          <w:szCs w:val="24"/>
        </w:rPr>
        <w:t xml:space="preserve"> and Appellate Courts</w:t>
      </w:r>
      <w:r w:rsidRPr="00A0394F">
        <w:rPr>
          <w:rFonts w:ascii="Times New Roman" w:hAnsi="Times New Roman" w:cs="Times New Roman"/>
          <w:b/>
          <w:sz w:val="24"/>
          <w:szCs w:val="24"/>
        </w:rPr>
        <w:t xml:space="preserve"> Review Statutes?</w:t>
      </w:r>
    </w:p>
    <w:p w14:paraId="636F3191" w14:textId="54066812" w:rsidR="001B4CDA" w:rsidRDefault="00E00557" w:rsidP="001B4C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can we say about how the Board interp</w:t>
      </w:r>
      <w:r w:rsidR="00302EE7">
        <w:rPr>
          <w:rFonts w:ascii="Times New Roman" w:hAnsi="Times New Roman" w:cs="Times New Roman"/>
          <w:sz w:val="24"/>
          <w:szCs w:val="24"/>
        </w:rPr>
        <w:t>rets statutes and what lessons</w:t>
      </w:r>
      <w:r>
        <w:rPr>
          <w:rFonts w:ascii="Times New Roman" w:hAnsi="Times New Roman" w:cs="Times New Roman"/>
          <w:sz w:val="24"/>
          <w:szCs w:val="24"/>
        </w:rPr>
        <w:t xml:space="preserve"> can </w:t>
      </w:r>
      <w:r w:rsidR="00302EE7">
        <w:rPr>
          <w:rFonts w:ascii="Times New Roman" w:hAnsi="Times New Roman" w:cs="Times New Roman"/>
          <w:sz w:val="24"/>
          <w:szCs w:val="24"/>
        </w:rPr>
        <w:t xml:space="preserve">we </w:t>
      </w:r>
      <w:r>
        <w:rPr>
          <w:rFonts w:ascii="Times New Roman" w:hAnsi="Times New Roman" w:cs="Times New Roman"/>
          <w:sz w:val="24"/>
          <w:szCs w:val="24"/>
        </w:rPr>
        <w:t>glean for administ</w:t>
      </w:r>
      <w:r w:rsidR="009573EA">
        <w:rPr>
          <w:rFonts w:ascii="Times New Roman" w:hAnsi="Times New Roman" w:cs="Times New Roman"/>
          <w:sz w:val="24"/>
          <w:szCs w:val="24"/>
        </w:rPr>
        <w:t>rative agencies more generally?</w:t>
      </w:r>
      <w:r>
        <w:rPr>
          <w:rFonts w:ascii="Times New Roman" w:hAnsi="Times New Roman" w:cs="Times New Roman"/>
          <w:sz w:val="24"/>
          <w:szCs w:val="24"/>
        </w:rPr>
        <w:t xml:space="preserve"> </w:t>
      </w:r>
      <w:r w:rsidR="00F75B38" w:rsidRPr="00FC6F7D">
        <w:rPr>
          <w:rFonts w:ascii="Times New Roman" w:hAnsi="Times New Roman" w:cs="Times New Roman"/>
          <w:sz w:val="24"/>
          <w:szCs w:val="24"/>
        </w:rPr>
        <w:t xml:space="preserve">The </w:t>
      </w:r>
      <w:r w:rsidR="00BC1B4B" w:rsidRPr="00FC6F7D">
        <w:rPr>
          <w:rFonts w:ascii="Times New Roman" w:hAnsi="Times New Roman" w:cs="Times New Roman"/>
          <w:sz w:val="24"/>
          <w:szCs w:val="24"/>
        </w:rPr>
        <w:t xml:space="preserve">results </w:t>
      </w:r>
      <w:r w:rsidR="00A0394F">
        <w:rPr>
          <w:rFonts w:ascii="Times New Roman" w:hAnsi="Times New Roman" w:cs="Times New Roman"/>
          <w:sz w:val="24"/>
          <w:szCs w:val="24"/>
        </w:rPr>
        <w:t xml:space="preserve">here </w:t>
      </w:r>
      <w:r w:rsidR="00BC1B4B" w:rsidRPr="00FC6F7D">
        <w:rPr>
          <w:rFonts w:ascii="Times New Roman" w:hAnsi="Times New Roman" w:cs="Times New Roman"/>
          <w:sz w:val="24"/>
          <w:szCs w:val="24"/>
        </w:rPr>
        <w:t>provide support to the Llewell</w:t>
      </w:r>
      <w:r w:rsidR="00F75B38" w:rsidRPr="00FC6F7D">
        <w:rPr>
          <w:rFonts w:ascii="Times New Roman" w:hAnsi="Times New Roman" w:cs="Times New Roman"/>
          <w:sz w:val="24"/>
          <w:szCs w:val="24"/>
        </w:rPr>
        <w:t>y</w:t>
      </w:r>
      <w:r w:rsidR="00BC1B4B" w:rsidRPr="00FC6F7D">
        <w:rPr>
          <w:rFonts w:ascii="Times New Roman" w:hAnsi="Times New Roman" w:cs="Times New Roman"/>
          <w:sz w:val="24"/>
          <w:szCs w:val="24"/>
        </w:rPr>
        <w:t>n view that si</w:t>
      </w:r>
      <w:r w:rsidR="00F75B38" w:rsidRPr="00FC6F7D">
        <w:rPr>
          <w:rFonts w:ascii="Times New Roman" w:hAnsi="Times New Roman" w:cs="Times New Roman"/>
          <w:sz w:val="24"/>
          <w:szCs w:val="24"/>
        </w:rPr>
        <w:t xml:space="preserve">nce the canons do not constrain </w:t>
      </w:r>
      <w:r w:rsidR="00A0394F">
        <w:rPr>
          <w:rFonts w:ascii="Times New Roman" w:hAnsi="Times New Roman" w:cs="Times New Roman"/>
          <w:sz w:val="24"/>
          <w:szCs w:val="24"/>
        </w:rPr>
        <w:t>voting against</w:t>
      </w:r>
      <w:r w:rsidR="00BC1B4B" w:rsidRPr="00FC6F7D">
        <w:rPr>
          <w:rFonts w:ascii="Times New Roman" w:hAnsi="Times New Roman" w:cs="Times New Roman"/>
          <w:sz w:val="24"/>
          <w:szCs w:val="24"/>
        </w:rPr>
        <w:t xml:space="preserve"> prefer</w:t>
      </w:r>
      <w:r w:rsidR="00F75B38" w:rsidRPr="00FC6F7D">
        <w:rPr>
          <w:rFonts w:ascii="Times New Roman" w:hAnsi="Times New Roman" w:cs="Times New Roman"/>
          <w:sz w:val="24"/>
          <w:szCs w:val="24"/>
        </w:rPr>
        <w:t xml:space="preserve">ences, Board members </w:t>
      </w:r>
      <w:r w:rsidR="00A0394F">
        <w:rPr>
          <w:rFonts w:ascii="Times New Roman" w:hAnsi="Times New Roman" w:cs="Times New Roman"/>
          <w:sz w:val="24"/>
          <w:szCs w:val="24"/>
        </w:rPr>
        <w:t xml:space="preserve">may not be </w:t>
      </w:r>
      <w:r w:rsidR="00243B4B">
        <w:rPr>
          <w:rFonts w:ascii="Times New Roman" w:hAnsi="Times New Roman" w:cs="Times New Roman"/>
          <w:sz w:val="24"/>
          <w:szCs w:val="24"/>
        </w:rPr>
        <w:t xml:space="preserve">basing their decisions on </w:t>
      </w:r>
      <w:r w:rsidR="00BC1B4B" w:rsidRPr="00FC6F7D">
        <w:rPr>
          <w:rFonts w:ascii="Times New Roman" w:hAnsi="Times New Roman" w:cs="Times New Roman"/>
          <w:sz w:val="24"/>
          <w:szCs w:val="24"/>
        </w:rPr>
        <w:t>neutral legal rules</w:t>
      </w:r>
      <w:r w:rsidR="00F75B38" w:rsidRPr="00FC6F7D">
        <w:rPr>
          <w:rFonts w:ascii="Times New Roman" w:hAnsi="Times New Roman" w:cs="Times New Roman"/>
          <w:sz w:val="24"/>
          <w:szCs w:val="24"/>
        </w:rPr>
        <w:t>.</w:t>
      </w:r>
      <w:r w:rsidR="00BC1B4B" w:rsidRPr="00FC6F7D">
        <w:rPr>
          <w:rStyle w:val="FootnoteReference"/>
          <w:rFonts w:ascii="Times New Roman" w:hAnsi="Times New Roman" w:cs="Times New Roman"/>
          <w:sz w:val="24"/>
          <w:szCs w:val="24"/>
        </w:rPr>
        <w:footnoteReference w:id="266"/>
      </w:r>
      <w:r w:rsidR="0032159B">
        <w:rPr>
          <w:rFonts w:ascii="Times New Roman" w:hAnsi="Times New Roman" w:cs="Times New Roman"/>
          <w:sz w:val="24"/>
          <w:szCs w:val="24"/>
        </w:rPr>
        <w:t xml:space="preserve"> </w:t>
      </w:r>
      <w:r w:rsidR="00A0394F">
        <w:rPr>
          <w:rFonts w:ascii="Times New Roman" w:hAnsi="Times New Roman" w:cs="Times New Roman"/>
          <w:sz w:val="24"/>
          <w:szCs w:val="24"/>
        </w:rPr>
        <w:t>In all, it seems that</w:t>
      </w:r>
      <w:r w:rsidR="00BC1B4B" w:rsidRPr="00FC6F7D">
        <w:rPr>
          <w:rFonts w:ascii="Times New Roman" w:hAnsi="Times New Roman" w:cs="Times New Roman"/>
          <w:sz w:val="24"/>
          <w:szCs w:val="24"/>
        </w:rPr>
        <w:t xml:space="preserve"> </w:t>
      </w:r>
      <w:r w:rsidR="00A0394F">
        <w:rPr>
          <w:rFonts w:ascii="Times New Roman" w:hAnsi="Times New Roman" w:cs="Times New Roman"/>
          <w:sz w:val="24"/>
          <w:szCs w:val="24"/>
        </w:rPr>
        <w:t>Board members strategically employ the canons to advance policy views</w:t>
      </w:r>
      <w:r w:rsidR="00BC1B4B" w:rsidRPr="00FC6F7D">
        <w:rPr>
          <w:rFonts w:ascii="Times New Roman" w:hAnsi="Times New Roman" w:cs="Times New Roman"/>
          <w:sz w:val="24"/>
          <w:szCs w:val="24"/>
        </w:rPr>
        <w:t>.</w:t>
      </w:r>
      <w:r w:rsidR="00BC1B4B" w:rsidRPr="00FC6F7D">
        <w:rPr>
          <w:rStyle w:val="FootnoteReference"/>
          <w:rFonts w:ascii="Times New Roman" w:hAnsi="Times New Roman" w:cs="Times New Roman"/>
          <w:sz w:val="24"/>
          <w:szCs w:val="24"/>
        </w:rPr>
        <w:footnoteReference w:id="267"/>
      </w:r>
      <w:r w:rsidR="00F75B38" w:rsidRPr="00FC6F7D">
        <w:rPr>
          <w:rFonts w:ascii="Times New Roman" w:hAnsi="Times New Roman" w:cs="Times New Roman"/>
          <w:sz w:val="24"/>
          <w:szCs w:val="24"/>
        </w:rPr>
        <w:t xml:space="preserve"> </w:t>
      </w:r>
      <w:r w:rsidR="00AC73F0" w:rsidRPr="00FC6F7D">
        <w:rPr>
          <w:rFonts w:ascii="Times New Roman" w:hAnsi="Times New Roman" w:cs="Times New Roman"/>
          <w:sz w:val="24"/>
          <w:szCs w:val="24"/>
        </w:rPr>
        <w:t xml:space="preserve">The fact that Board </w:t>
      </w:r>
      <w:r>
        <w:rPr>
          <w:rFonts w:ascii="Times New Roman" w:hAnsi="Times New Roman" w:cs="Times New Roman"/>
          <w:sz w:val="24"/>
          <w:szCs w:val="24"/>
        </w:rPr>
        <w:t>members often use the same statutory methodology</w:t>
      </w:r>
      <w:r w:rsidR="00AC73F0" w:rsidRPr="00FC6F7D">
        <w:rPr>
          <w:rFonts w:ascii="Times New Roman" w:hAnsi="Times New Roman" w:cs="Times New Roman"/>
          <w:sz w:val="24"/>
          <w:szCs w:val="24"/>
        </w:rPr>
        <w:t xml:space="preserve"> to advance </w:t>
      </w:r>
      <w:r>
        <w:rPr>
          <w:rFonts w:ascii="Times New Roman" w:hAnsi="Times New Roman" w:cs="Times New Roman"/>
          <w:sz w:val="24"/>
          <w:szCs w:val="24"/>
        </w:rPr>
        <w:t>opposing points</w:t>
      </w:r>
      <w:r w:rsidR="00AC73F0" w:rsidRPr="00FC6F7D">
        <w:rPr>
          <w:rFonts w:ascii="Times New Roman" w:hAnsi="Times New Roman" w:cs="Times New Roman"/>
          <w:sz w:val="24"/>
          <w:szCs w:val="24"/>
        </w:rPr>
        <w:t xml:space="preserve"> lends support to textualists who bemoan the unpredictability that purposive interpretive canons imply. But the results here </w:t>
      </w:r>
      <w:r w:rsidR="00AD5D61">
        <w:rPr>
          <w:rFonts w:ascii="Times New Roman" w:hAnsi="Times New Roman" w:cs="Times New Roman"/>
          <w:sz w:val="24"/>
          <w:szCs w:val="24"/>
        </w:rPr>
        <w:lastRenderedPageBreak/>
        <w:t>undermine</w:t>
      </w:r>
      <w:r w:rsidR="00A0394F">
        <w:rPr>
          <w:rFonts w:ascii="Times New Roman" w:hAnsi="Times New Roman" w:cs="Times New Roman"/>
          <w:sz w:val="24"/>
          <w:szCs w:val="24"/>
        </w:rPr>
        <w:t xml:space="preserve"> the textualist approach as well</w:t>
      </w:r>
      <w:r w:rsidR="00BF0CF0">
        <w:rPr>
          <w:rFonts w:ascii="Times New Roman" w:hAnsi="Times New Roman" w:cs="Times New Roman"/>
          <w:sz w:val="24"/>
          <w:szCs w:val="24"/>
        </w:rPr>
        <w:t xml:space="preserve">; a </w:t>
      </w:r>
      <w:r w:rsidR="00AC73F0" w:rsidRPr="00FC6F7D">
        <w:rPr>
          <w:rFonts w:ascii="Times New Roman" w:hAnsi="Times New Roman" w:cs="Times New Roman"/>
          <w:sz w:val="24"/>
          <w:szCs w:val="24"/>
        </w:rPr>
        <w:t>statute can be r</w:t>
      </w:r>
      <w:r w:rsidR="00AC4652">
        <w:rPr>
          <w:rFonts w:ascii="Times New Roman" w:hAnsi="Times New Roman" w:cs="Times New Roman"/>
          <w:sz w:val="24"/>
          <w:szCs w:val="24"/>
        </w:rPr>
        <w:t xml:space="preserve">ead so that its terms are </w:t>
      </w:r>
      <w:r w:rsidR="00AC73F0" w:rsidRPr="00FC6F7D">
        <w:rPr>
          <w:rFonts w:ascii="Times New Roman" w:hAnsi="Times New Roman" w:cs="Times New Roman"/>
          <w:sz w:val="24"/>
          <w:szCs w:val="24"/>
        </w:rPr>
        <w:t>construed broadly or narrowly</w:t>
      </w:r>
      <w:r w:rsidR="0032159B">
        <w:rPr>
          <w:rFonts w:ascii="Times New Roman" w:hAnsi="Times New Roman" w:cs="Times New Roman"/>
          <w:sz w:val="24"/>
          <w:szCs w:val="24"/>
        </w:rPr>
        <w:t>.</w:t>
      </w:r>
      <w:r w:rsidR="00A0394F">
        <w:rPr>
          <w:rStyle w:val="FootnoteReference"/>
          <w:rFonts w:ascii="Times New Roman" w:hAnsi="Times New Roman" w:cs="Times New Roman"/>
          <w:sz w:val="24"/>
          <w:szCs w:val="24"/>
        </w:rPr>
        <w:footnoteReference w:id="268"/>
      </w:r>
      <w:r w:rsidR="00A0394F">
        <w:rPr>
          <w:rFonts w:ascii="Times New Roman" w:hAnsi="Times New Roman" w:cs="Times New Roman"/>
          <w:sz w:val="24"/>
          <w:szCs w:val="24"/>
        </w:rPr>
        <w:t xml:space="preserve"> </w:t>
      </w:r>
      <w:r w:rsidR="00AD5D61">
        <w:rPr>
          <w:rFonts w:ascii="Times New Roman" w:hAnsi="Times New Roman" w:cs="Times New Roman"/>
          <w:sz w:val="24"/>
          <w:szCs w:val="24"/>
        </w:rPr>
        <w:t xml:space="preserve">This leads to the question: </w:t>
      </w:r>
      <w:r w:rsidR="00DB5385">
        <w:rPr>
          <w:rFonts w:ascii="Times New Roman" w:hAnsi="Times New Roman" w:cs="Times New Roman"/>
          <w:sz w:val="24"/>
          <w:szCs w:val="24"/>
        </w:rPr>
        <w:t xml:space="preserve">How should the Board </w:t>
      </w:r>
      <w:r w:rsidR="00AD5D61">
        <w:rPr>
          <w:rFonts w:ascii="Times New Roman" w:hAnsi="Times New Roman" w:cs="Times New Roman"/>
          <w:sz w:val="24"/>
          <w:szCs w:val="24"/>
        </w:rPr>
        <w:t xml:space="preserve">(and policy-oriented administrative agencies in general) </w:t>
      </w:r>
      <w:r w:rsidR="00DB5385">
        <w:rPr>
          <w:rFonts w:ascii="Times New Roman" w:hAnsi="Times New Roman" w:cs="Times New Roman"/>
          <w:sz w:val="24"/>
          <w:szCs w:val="24"/>
        </w:rPr>
        <w:t>interpret statutes? In turn, how sho</w:t>
      </w:r>
      <w:r w:rsidR="00AD5D61">
        <w:rPr>
          <w:rFonts w:ascii="Times New Roman" w:hAnsi="Times New Roman" w:cs="Times New Roman"/>
          <w:sz w:val="24"/>
          <w:szCs w:val="24"/>
        </w:rPr>
        <w:t>uld appellate courts review the decisions of a policymaking body</w:t>
      </w:r>
      <w:r w:rsidR="00DB5385">
        <w:rPr>
          <w:rFonts w:ascii="Times New Roman" w:hAnsi="Times New Roman" w:cs="Times New Roman"/>
          <w:sz w:val="24"/>
          <w:szCs w:val="24"/>
        </w:rPr>
        <w:t xml:space="preserve">? </w:t>
      </w:r>
    </w:p>
    <w:p w14:paraId="469AC65F" w14:textId="44CC2790" w:rsidR="00561F6F" w:rsidRPr="007A219C" w:rsidRDefault="006E2CC2" w:rsidP="007A219C">
      <w:pPr>
        <w:pStyle w:val="ListParagraph"/>
        <w:numPr>
          <w:ilvl w:val="0"/>
          <w:numId w:val="21"/>
        </w:numPr>
        <w:spacing w:after="0" w:line="480" w:lineRule="auto"/>
        <w:rPr>
          <w:rFonts w:ascii="Times New Roman" w:hAnsi="Times New Roman" w:cs="Times New Roman"/>
          <w:b/>
          <w:sz w:val="24"/>
          <w:szCs w:val="24"/>
        </w:rPr>
      </w:pPr>
      <w:r>
        <w:rPr>
          <w:rFonts w:ascii="Times New Roman" w:hAnsi="Times New Roman" w:cs="Times New Roman"/>
          <w:b/>
          <w:sz w:val="24"/>
          <w:szCs w:val="24"/>
        </w:rPr>
        <w:t>How Should the Board Interpret Statutes?</w:t>
      </w:r>
    </w:p>
    <w:p w14:paraId="37E3D7AA" w14:textId="77777777" w:rsidR="00AC4652" w:rsidRDefault="00AC4652" w:rsidP="00AC4652">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Given the prevalence of purposivism at the Board and the tendency of Board members to selectively use whatever technique accomplishes the given result, what can we say about how statutory interpretation should</w:t>
      </w:r>
      <w:r>
        <w:rPr>
          <w:rFonts w:ascii="Times New Roman" w:hAnsi="Times New Roman" w:cs="Times New Roman"/>
          <w:sz w:val="24"/>
          <w:szCs w:val="24"/>
        </w:rPr>
        <w:t xml:space="preserve"> ideally be done at the Board? </w:t>
      </w:r>
      <w:r w:rsidRPr="00FC6F7D">
        <w:rPr>
          <w:rFonts w:ascii="Times New Roman" w:hAnsi="Times New Roman" w:cs="Times New Roman"/>
          <w:sz w:val="24"/>
          <w:szCs w:val="24"/>
        </w:rPr>
        <w:t xml:space="preserve">The answer may come down to what one views as the role of </w:t>
      </w:r>
      <w:r>
        <w:rPr>
          <w:rFonts w:ascii="Times New Roman" w:hAnsi="Times New Roman" w:cs="Times New Roman"/>
          <w:sz w:val="24"/>
          <w:szCs w:val="24"/>
        </w:rPr>
        <w:t xml:space="preserve">a given administrative agency. </w:t>
      </w:r>
      <w:r w:rsidRPr="00FC6F7D">
        <w:rPr>
          <w:rFonts w:ascii="Times New Roman" w:hAnsi="Times New Roman" w:cs="Times New Roman"/>
          <w:sz w:val="24"/>
          <w:szCs w:val="24"/>
        </w:rPr>
        <w:t>Should it be a faithful delegate of the political principals or should it be the “guardian” of the interpretation of the relevant overarching</w:t>
      </w:r>
      <w:r>
        <w:rPr>
          <w:rFonts w:ascii="Times New Roman" w:hAnsi="Times New Roman" w:cs="Times New Roman"/>
          <w:sz w:val="24"/>
          <w:szCs w:val="24"/>
        </w:rPr>
        <w:t xml:space="preserve"> statute or is the answer lie in some mixture of the two? </w:t>
      </w:r>
    </w:p>
    <w:p w14:paraId="6489479F" w14:textId="3ADCD12F" w:rsidR="00AC4652" w:rsidRDefault="00AC4652" w:rsidP="00B770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pure</w:t>
      </w:r>
      <w:r w:rsidRPr="00AC4652">
        <w:rPr>
          <w:rFonts w:ascii="Times New Roman" w:hAnsi="Times New Roman" w:cs="Times New Roman"/>
          <w:sz w:val="24"/>
          <w:szCs w:val="24"/>
        </w:rPr>
        <w:t xml:space="preserve"> textualist reading of the NLRA seems at odds with the NLRB’s structure and purpose. If the text itself were the primary criteria for interpreting the NLRB, what indeed would be the purpose of having a specialized body? Why not just have the cases heard in the regular district courts? If the political system is not going to take advantage of the specialized expertise of the NLRB, it would seem superfluous for the NLRB to interpret statutes in ways that are inconsistent with its very being. Textualism may especially be an approach that is inimical to interpretation of labor statutes in particular given how the labor movement has advanced so much in the last eighty years. Strict adherence to a text constructed by congressional leaders who intended to curb a labor-friendly Board </w:t>
      </w:r>
      <w:r w:rsidR="003E00DA">
        <w:rPr>
          <w:rFonts w:ascii="Times New Roman" w:hAnsi="Times New Roman" w:cs="Times New Roman"/>
          <w:sz w:val="24"/>
          <w:szCs w:val="24"/>
        </w:rPr>
        <w:t xml:space="preserve">75 years ago </w:t>
      </w:r>
      <w:r w:rsidRPr="00AC4652">
        <w:rPr>
          <w:rFonts w:ascii="Times New Roman" w:hAnsi="Times New Roman" w:cs="Times New Roman"/>
          <w:sz w:val="24"/>
          <w:szCs w:val="24"/>
        </w:rPr>
        <w:t>may constrain the Board in how it approaches policymaking and updating labor policy to current economic conditions.</w:t>
      </w:r>
      <w:r>
        <w:rPr>
          <w:rStyle w:val="FootnoteReference"/>
          <w:rFonts w:ascii="Times New Roman" w:hAnsi="Times New Roman" w:cs="Times New Roman"/>
          <w:sz w:val="24"/>
          <w:szCs w:val="24"/>
        </w:rPr>
        <w:footnoteReference w:id="269"/>
      </w:r>
      <w:r w:rsidRPr="00AC4652">
        <w:rPr>
          <w:rFonts w:ascii="Times New Roman" w:hAnsi="Times New Roman" w:cs="Times New Roman"/>
          <w:sz w:val="24"/>
          <w:szCs w:val="24"/>
        </w:rPr>
        <w:t xml:space="preserve"> </w:t>
      </w:r>
      <w:r w:rsidRPr="00AC4652">
        <w:rPr>
          <w:rFonts w:ascii="Times New Roman" w:hAnsi="Times New Roman" w:cs="Times New Roman"/>
          <w:sz w:val="24"/>
          <w:szCs w:val="24"/>
        </w:rPr>
        <w:lastRenderedPageBreak/>
        <w:t>Moreover, a textualist approach seems at odds with the Board’s frequent flip-flops on important issues of policy. If the few words of the NLRA actually have a clear and unambiguous meaning, onc</w:t>
      </w:r>
      <w:r w:rsidR="007F18CB">
        <w:rPr>
          <w:rFonts w:ascii="Times New Roman" w:hAnsi="Times New Roman" w:cs="Times New Roman"/>
          <w:sz w:val="24"/>
          <w:szCs w:val="24"/>
        </w:rPr>
        <w:t>e the five-</w:t>
      </w:r>
      <w:r w:rsidRPr="00AC4652">
        <w:rPr>
          <w:rFonts w:ascii="Times New Roman" w:hAnsi="Times New Roman" w:cs="Times New Roman"/>
          <w:sz w:val="24"/>
          <w:szCs w:val="24"/>
        </w:rPr>
        <w:t>member Board interprets a term, it would be unnecessary for the Board to engage in statutory interpretation of that term again. The issue would be settled, and there would be no flips-flops. Frequent flip flops seem only compatible with a purposive approach. Moreover, Cass Sunstein and Adrian Vermeule have argued that attention to institutional considerations shows why agencies should be given authority to abandon textualism even if the courts use it.</w:t>
      </w:r>
      <w:r>
        <w:rPr>
          <w:rStyle w:val="FootnoteReference"/>
          <w:rFonts w:ascii="Times New Roman" w:hAnsi="Times New Roman" w:cs="Times New Roman"/>
          <w:sz w:val="24"/>
          <w:szCs w:val="24"/>
        </w:rPr>
        <w:footnoteReference w:id="270"/>
      </w:r>
      <w:r w:rsidR="003D0112">
        <w:rPr>
          <w:rFonts w:ascii="Times New Roman" w:hAnsi="Times New Roman" w:cs="Times New Roman"/>
          <w:sz w:val="24"/>
          <w:szCs w:val="24"/>
        </w:rPr>
        <w:t xml:space="preserve"> </w:t>
      </w:r>
      <w:r>
        <w:rPr>
          <w:rFonts w:ascii="Times New Roman" w:hAnsi="Times New Roman" w:cs="Times New Roman"/>
          <w:sz w:val="24"/>
          <w:szCs w:val="24"/>
        </w:rPr>
        <w:t xml:space="preserve">To the extent the Board engages in a textualist approach, it should look to the text to </w:t>
      </w:r>
      <w:r w:rsidRPr="00AC4652">
        <w:rPr>
          <w:rFonts w:ascii="Times New Roman" w:hAnsi="Times New Roman" w:cs="Times New Roman"/>
          <w:i/>
          <w:sz w:val="24"/>
          <w:szCs w:val="24"/>
        </w:rPr>
        <w:t>permit</w:t>
      </w:r>
      <w:r>
        <w:rPr>
          <w:rFonts w:ascii="Times New Roman" w:hAnsi="Times New Roman" w:cs="Times New Roman"/>
          <w:sz w:val="24"/>
          <w:szCs w:val="24"/>
        </w:rPr>
        <w:t xml:space="preserve"> a construction, as opposed to a narrowing constraint on policy choices, as many of the Board’s textualism cases reveals. </w:t>
      </w:r>
    </w:p>
    <w:p w14:paraId="4420C772" w14:textId="506B5269" w:rsidR="00AC4652" w:rsidRDefault="00AC4652" w:rsidP="00AC46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such, </w:t>
      </w:r>
      <w:r w:rsidRPr="00FC6F7D">
        <w:rPr>
          <w:rFonts w:ascii="Times New Roman" w:hAnsi="Times New Roman" w:cs="Times New Roman"/>
          <w:sz w:val="24"/>
          <w:szCs w:val="24"/>
        </w:rPr>
        <w:t>a statutory construction method focused on purposivism</w:t>
      </w:r>
      <w:r>
        <w:rPr>
          <w:rFonts w:ascii="Times New Roman" w:hAnsi="Times New Roman" w:cs="Times New Roman"/>
          <w:sz w:val="24"/>
          <w:szCs w:val="24"/>
        </w:rPr>
        <w:t xml:space="preserve"> with a faithful rendering to the text when clear</w:t>
      </w:r>
      <w:r w:rsidRPr="00FC6F7D">
        <w:rPr>
          <w:rFonts w:ascii="Times New Roman" w:hAnsi="Times New Roman" w:cs="Times New Roman"/>
          <w:sz w:val="24"/>
          <w:szCs w:val="24"/>
        </w:rPr>
        <w:t xml:space="preserve"> seems to be the only method of statutory interpretation consistent with the purpose</w:t>
      </w:r>
      <w:r>
        <w:rPr>
          <w:rFonts w:ascii="Times New Roman" w:hAnsi="Times New Roman" w:cs="Times New Roman"/>
          <w:sz w:val="24"/>
          <w:szCs w:val="24"/>
        </w:rPr>
        <w:t>s, aims and history of the NLRB, and indeed, administrative agencies generally.</w:t>
      </w:r>
      <w:r>
        <w:rPr>
          <w:rStyle w:val="FootnoteReference"/>
          <w:rFonts w:ascii="Times New Roman" w:hAnsi="Times New Roman" w:cs="Times New Roman"/>
          <w:sz w:val="24"/>
          <w:szCs w:val="24"/>
        </w:rPr>
        <w:footnoteReference w:id="271"/>
      </w:r>
      <w:r>
        <w:rPr>
          <w:rFonts w:ascii="Times New Roman" w:hAnsi="Times New Roman" w:cs="Times New Roman"/>
          <w:sz w:val="24"/>
          <w:szCs w:val="24"/>
        </w:rPr>
        <w:t xml:space="preserve"> </w:t>
      </w:r>
      <w:r w:rsidRPr="00FC6F7D">
        <w:rPr>
          <w:rFonts w:ascii="Times New Roman" w:hAnsi="Times New Roman" w:cs="Times New Roman"/>
          <w:sz w:val="24"/>
          <w:szCs w:val="24"/>
        </w:rPr>
        <w:t>Formed during the New Deal, the NLRB was charged to be an expert</w:t>
      </w:r>
      <w:r>
        <w:rPr>
          <w:rFonts w:ascii="Times New Roman" w:hAnsi="Times New Roman" w:cs="Times New Roman"/>
          <w:sz w:val="24"/>
          <w:szCs w:val="24"/>
        </w:rPr>
        <w:t xml:space="preserve"> body to fashion labor policy. </w:t>
      </w:r>
      <w:r w:rsidRPr="00FC6F7D">
        <w:rPr>
          <w:rFonts w:ascii="Times New Roman" w:hAnsi="Times New Roman" w:cs="Times New Roman"/>
          <w:sz w:val="24"/>
          <w:szCs w:val="24"/>
        </w:rPr>
        <w:t xml:space="preserve">Its founders deliberately isolated the NLRB from the reach of the federal courts due to the long-standing tension between labor and the </w:t>
      </w:r>
      <w:r>
        <w:rPr>
          <w:rFonts w:ascii="Times New Roman" w:hAnsi="Times New Roman" w:cs="Times New Roman"/>
          <w:sz w:val="24"/>
          <w:szCs w:val="24"/>
        </w:rPr>
        <w:t xml:space="preserve">courts regarding labor policy. </w:t>
      </w:r>
      <w:r w:rsidRPr="00FC6F7D">
        <w:rPr>
          <w:rFonts w:ascii="Times New Roman" w:hAnsi="Times New Roman" w:cs="Times New Roman"/>
          <w:sz w:val="24"/>
          <w:szCs w:val="24"/>
        </w:rPr>
        <w:t>Agencies like the NLRB should use that expertise to update the statute</w:t>
      </w:r>
      <w:r>
        <w:rPr>
          <w:rFonts w:ascii="Times New Roman" w:hAnsi="Times New Roman" w:cs="Times New Roman"/>
          <w:sz w:val="24"/>
          <w:szCs w:val="24"/>
        </w:rPr>
        <w:t xml:space="preserve"> to reflect current realities. </w:t>
      </w:r>
      <w:r w:rsidRPr="00FC6F7D">
        <w:rPr>
          <w:rFonts w:ascii="Times New Roman" w:hAnsi="Times New Roman" w:cs="Times New Roman"/>
          <w:sz w:val="24"/>
          <w:szCs w:val="24"/>
        </w:rPr>
        <w:t>Moreover, with changing times and shifting economic winds, the Board, advancing a purposive approach, would be best able to effectuate the purposes and aims of an expert labor body</w:t>
      </w:r>
      <w:r>
        <w:rPr>
          <w:rFonts w:ascii="Times New Roman" w:hAnsi="Times New Roman" w:cs="Times New Roman"/>
          <w:sz w:val="24"/>
          <w:szCs w:val="24"/>
        </w:rPr>
        <w:t xml:space="preserve"> to do what is best for society</w:t>
      </w:r>
      <w:r w:rsidRPr="00FC6F7D">
        <w:rPr>
          <w:rFonts w:ascii="Times New Roman" w:hAnsi="Times New Roman" w:cs="Times New Roman"/>
          <w:sz w:val="24"/>
          <w:szCs w:val="24"/>
        </w:rPr>
        <w:t>.</w:t>
      </w:r>
      <w:r>
        <w:rPr>
          <w:rStyle w:val="FootnoteReference"/>
          <w:rFonts w:ascii="Times New Roman" w:hAnsi="Times New Roman" w:cs="Times New Roman"/>
          <w:sz w:val="24"/>
          <w:szCs w:val="24"/>
        </w:rPr>
        <w:footnoteReference w:id="272"/>
      </w:r>
      <w:r>
        <w:rPr>
          <w:rFonts w:ascii="Times New Roman" w:hAnsi="Times New Roman" w:cs="Times New Roman"/>
          <w:sz w:val="24"/>
          <w:szCs w:val="24"/>
        </w:rPr>
        <w:t xml:space="preserve"> </w:t>
      </w:r>
    </w:p>
    <w:p w14:paraId="13C7B181" w14:textId="75877EF2" w:rsidR="00AC4652" w:rsidRDefault="00AC4652" w:rsidP="00AC46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 then should it apply a purposive method and how should the Board change how it construes statutes? I discuss below three changes. First, the Board should change how it looks at legislative history. Legislative history can be a useful tool to get a sense of the statute’s purpose, but </w:t>
      </w:r>
      <w:r w:rsidR="005D26FD">
        <w:rPr>
          <w:rFonts w:ascii="Times New Roman" w:hAnsi="Times New Roman" w:cs="Times New Roman"/>
          <w:sz w:val="24"/>
          <w:szCs w:val="24"/>
        </w:rPr>
        <w:t>the Board at present probably relies too much on legislative history as a shield for disguising policymaking. Second, the Board should use its expertise to buttress its policy arguments</w:t>
      </w:r>
      <w:r w:rsidR="00B7705B">
        <w:rPr>
          <w:rFonts w:ascii="Times New Roman" w:hAnsi="Times New Roman" w:cs="Times New Roman"/>
          <w:sz w:val="24"/>
          <w:szCs w:val="24"/>
        </w:rPr>
        <w:t xml:space="preserve"> with real facts</w:t>
      </w:r>
      <w:r w:rsidR="005D26FD">
        <w:rPr>
          <w:rFonts w:ascii="Times New Roman" w:hAnsi="Times New Roman" w:cs="Times New Roman"/>
          <w:sz w:val="24"/>
          <w:szCs w:val="24"/>
        </w:rPr>
        <w:t xml:space="preserve">. Rather than merely opine that a given decision will have a certain effect on policy, the Board should use empirics to competently evaluate the ramifications of its decisions. Finally, the time is ripe to discuss whether the Board should engage more in rulemaking or issue binding policy statements to guide </w:t>
      </w:r>
      <w:r w:rsidR="00FC7EE4">
        <w:rPr>
          <w:rFonts w:ascii="Times New Roman" w:hAnsi="Times New Roman" w:cs="Times New Roman"/>
          <w:sz w:val="24"/>
          <w:szCs w:val="24"/>
        </w:rPr>
        <w:t xml:space="preserve">statutory </w:t>
      </w:r>
      <w:r w:rsidR="005D26FD">
        <w:rPr>
          <w:rFonts w:ascii="Times New Roman" w:hAnsi="Times New Roman" w:cs="Times New Roman"/>
          <w:sz w:val="24"/>
          <w:szCs w:val="24"/>
        </w:rPr>
        <w:t xml:space="preserve">decisions. </w:t>
      </w:r>
    </w:p>
    <w:p w14:paraId="1F898A27" w14:textId="4015EFAF" w:rsidR="005D26FD" w:rsidRPr="0016216F" w:rsidRDefault="00F7460F" w:rsidP="00B7705B">
      <w:pPr>
        <w:pStyle w:val="ListParagraph"/>
        <w:numPr>
          <w:ilvl w:val="0"/>
          <w:numId w:val="30"/>
        </w:numPr>
        <w:spacing w:after="0" w:line="480" w:lineRule="auto"/>
        <w:rPr>
          <w:rFonts w:ascii="Times New Roman" w:hAnsi="Times New Roman" w:cs="Times New Roman"/>
          <w:b/>
          <w:sz w:val="24"/>
          <w:szCs w:val="24"/>
        </w:rPr>
      </w:pPr>
      <w:r w:rsidRPr="0016216F">
        <w:rPr>
          <w:rFonts w:ascii="Times New Roman" w:hAnsi="Times New Roman" w:cs="Times New Roman"/>
          <w:b/>
          <w:sz w:val="24"/>
          <w:szCs w:val="24"/>
        </w:rPr>
        <w:t>Legislative History as Anchor not as Limiter</w:t>
      </w:r>
    </w:p>
    <w:p w14:paraId="31789C39" w14:textId="2F6C550A" w:rsidR="00B7705B" w:rsidRDefault="00B7705B" w:rsidP="00B7705B">
      <w:pPr>
        <w:spacing w:after="0" w:line="480" w:lineRule="auto"/>
        <w:ind w:firstLine="720"/>
        <w:rPr>
          <w:rFonts w:ascii="Times New Roman" w:hAnsi="Times New Roman" w:cs="Times New Roman"/>
          <w:sz w:val="24"/>
          <w:szCs w:val="24"/>
        </w:rPr>
      </w:pPr>
      <w:r w:rsidRPr="00B7705B">
        <w:rPr>
          <w:rFonts w:ascii="Times New Roman" w:hAnsi="Times New Roman" w:cs="Times New Roman"/>
          <w:sz w:val="24"/>
          <w:szCs w:val="24"/>
        </w:rPr>
        <w:t>To engage in a view focused on putting legislative history at the forefront would seem to subvert the role of the NLRA to merely be an interpreter of what the Congress of 1947 had in mind regarding labor law. Such a view would seem to be at odds with the general set up of the NLRB. If adherence to legislative history were seen as the sole duty of the NLRB that would seem at odds with the NLRB scheme put in place. In other words, what would be the purpose of letting politics play some role in NLRB decision</w:t>
      </w:r>
      <w:r>
        <w:rPr>
          <w:rFonts w:ascii="Times New Roman" w:hAnsi="Times New Roman" w:cs="Times New Roman"/>
          <w:sz w:val="24"/>
          <w:szCs w:val="24"/>
        </w:rPr>
        <w:t>-</w:t>
      </w:r>
      <w:r w:rsidRPr="00B7705B">
        <w:rPr>
          <w:rFonts w:ascii="Times New Roman" w:hAnsi="Times New Roman" w:cs="Times New Roman"/>
          <w:sz w:val="24"/>
          <w:szCs w:val="24"/>
        </w:rPr>
        <w:t xml:space="preserve">making if NLRB members were slaves to the original understanding of the NLRA? Why not just have a federal court do it? The Taft-Hartley Act is, at its heart, anti-union in some respects and the long history preceding Taft- Hartley underscores how it was actually fear of the labor movement that motivated Congress to change the Board’s structure and to change the statutory scheme. </w:t>
      </w:r>
      <w:r>
        <w:rPr>
          <w:rFonts w:ascii="Times New Roman" w:hAnsi="Times New Roman" w:cs="Times New Roman"/>
          <w:sz w:val="24"/>
          <w:szCs w:val="24"/>
        </w:rPr>
        <w:t xml:space="preserve">Congress specifically wanted agencies to do the work, because they believed courts had done a poor job, and were not flexible enough </w:t>
      </w:r>
      <w:r>
        <w:rPr>
          <w:rFonts w:ascii="Times New Roman" w:hAnsi="Times New Roman" w:cs="Times New Roman"/>
          <w:sz w:val="24"/>
          <w:szCs w:val="24"/>
        </w:rPr>
        <w:lastRenderedPageBreak/>
        <w:t>to adopt to changing circumstances.</w:t>
      </w:r>
      <w:r>
        <w:rPr>
          <w:rStyle w:val="FootnoteReference"/>
          <w:rFonts w:ascii="Times New Roman" w:hAnsi="Times New Roman" w:cs="Times New Roman"/>
          <w:sz w:val="24"/>
          <w:szCs w:val="24"/>
        </w:rPr>
        <w:footnoteReference w:id="273"/>
      </w:r>
      <w:r>
        <w:rPr>
          <w:rFonts w:ascii="Times New Roman" w:hAnsi="Times New Roman" w:cs="Times New Roman"/>
          <w:sz w:val="24"/>
          <w:szCs w:val="24"/>
        </w:rPr>
        <w:t xml:space="preserve"> </w:t>
      </w:r>
      <w:r w:rsidRPr="00B7705B">
        <w:rPr>
          <w:rFonts w:ascii="Times New Roman" w:hAnsi="Times New Roman" w:cs="Times New Roman"/>
          <w:sz w:val="24"/>
          <w:szCs w:val="24"/>
        </w:rPr>
        <w:t>As such, in this particular statutory scheme, advocates of labor may find it very troubling to rely on legislative history as a means to informing the NLBR about adjudicating labor practice disputes.</w:t>
      </w:r>
      <w:r w:rsidR="003E00DA">
        <w:rPr>
          <w:rFonts w:ascii="Times New Roman" w:hAnsi="Times New Roman" w:cs="Times New Roman"/>
          <w:sz w:val="24"/>
          <w:szCs w:val="24"/>
        </w:rPr>
        <w:t xml:space="preserve"> </w:t>
      </w:r>
      <w:r w:rsidRPr="00B7705B">
        <w:rPr>
          <w:rFonts w:ascii="Times New Roman" w:hAnsi="Times New Roman" w:cs="Times New Roman"/>
          <w:sz w:val="24"/>
          <w:szCs w:val="24"/>
        </w:rPr>
        <w:t xml:space="preserve">Moreover, the Board occasionally uses legislative history to preclude the Board from updating itself to modern times. For instance, why should a provision be interpreted with respect to what the standard was in the construction industry in 1959? Indeed, rather, the Board should not use legislative history to hamstring it to employment practices of a bygone era. </w:t>
      </w:r>
    </w:p>
    <w:p w14:paraId="1C89BC2A" w14:textId="35A41BE4" w:rsidR="00B7705B" w:rsidRPr="00800118" w:rsidRDefault="00B7705B" w:rsidP="006E2CC2">
      <w:pPr>
        <w:spacing w:after="0" w:line="480" w:lineRule="auto"/>
        <w:ind w:firstLine="720"/>
        <w:rPr>
          <w:rFonts w:ascii="Times New Roman" w:hAnsi="Times New Roman" w:cs="Times New Roman"/>
          <w:sz w:val="24"/>
          <w:szCs w:val="24"/>
        </w:rPr>
      </w:pPr>
      <w:r w:rsidRPr="00B7705B">
        <w:rPr>
          <w:rFonts w:ascii="Times New Roman" w:hAnsi="Times New Roman" w:cs="Times New Roman"/>
          <w:sz w:val="24"/>
          <w:szCs w:val="24"/>
        </w:rPr>
        <w:t>The results in this study indicate that the Board’s selective use of legislative history is troubling.</w:t>
      </w:r>
      <w:r w:rsidR="006E2CC2">
        <w:rPr>
          <w:rFonts w:ascii="Times New Roman" w:hAnsi="Times New Roman" w:cs="Times New Roman"/>
          <w:sz w:val="24"/>
          <w:szCs w:val="24"/>
        </w:rPr>
        <w:t xml:space="preserve"> The Board focuses </w:t>
      </w:r>
      <w:r w:rsidR="00BF0095">
        <w:rPr>
          <w:rFonts w:ascii="Times New Roman" w:hAnsi="Times New Roman" w:cs="Times New Roman"/>
          <w:sz w:val="24"/>
          <w:szCs w:val="24"/>
        </w:rPr>
        <w:t xml:space="preserve">almost exclusively </w:t>
      </w:r>
      <w:r w:rsidR="006E2CC2">
        <w:rPr>
          <w:rFonts w:ascii="Times New Roman" w:hAnsi="Times New Roman" w:cs="Times New Roman"/>
          <w:sz w:val="24"/>
          <w:szCs w:val="24"/>
        </w:rPr>
        <w:t>on the wishes of the enacting Congress of 75 years ago.</w:t>
      </w:r>
      <w:r w:rsidRPr="00B7705B">
        <w:rPr>
          <w:rFonts w:ascii="Times New Roman" w:hAnsi="Times New Roman" w:cs="Times New Roman"/>
          <w:sz w:val="24"/>
          <w:szCs w:val="24"/>
        </w:rPr>
        <w:t xml:space="preserve"> Instead of looking at the original enacting coalitions’ purpose, we must instead look to the role of the agency in the present world</w:t>
      </w:r>
      <w:r w:rsidR="00800118">
        <w:rPr>
          <w:rFonts w:ascii="Times New Roman" w:hAnsi="Times New Roman" w:cs="Times New Roman"/>
          <w:sz w:val="24"/>
          <w:szCs w:val="24"/>
        </w:rPr>
        <w:t xml:space="preserve"> with the legislative history as a starting point to inform understanding</w:t>
      </w:r>
      <w:r w:rsidRPr="00B7705B">
        <w:rPr>
          <w:rFonts w:ascii="Times New Roman" w:hAnsi="Times New Roman" w:cs="Times New Roman"/>
          <w:sz w:val="24"/>
          <w:szCs w:val="24"/>
        </w:rPr>
        <w:t>.</w:t>
      </w:r>
      <w:r w:rsidR="00800118">
        <w:rPr>
          <w:rFonts w:ascii="Times New Roman" w:hAnsi="Times New Roman" w:cs="Times New Roman"/>
          <w:sz w:val="24"/>
          <w:szCs w:val="24"/>
        </w:rPr>
        <w:t xml:space="preserve"> Even more significant that the legislative history, the Board should instead rely on its current dealings with Congress and the President to inform its understanding of what they envision of labor policy. Labor policy need not have a fixed and coherent framework; it is intrinsic to the nature of having a specialized administrative agency that the agency </w:t>
      </w:r>
      <w:proofErr w:type="gramStart"/>
      <w:r w:rsidR="00800118">
        <w:rPr>
          <w:rFonts w:ascii="Times New Roman" w:hAnsi="Times New Roman" w:cs="Times New Roman"/>
          <w:sz w:val="24"/>
          <w:szCs w:val="24"/>
        </w:rPr>
        <w:t>change</w:t>
      </w:r>
      <w:proofErr w:type="gramEnd"/>
      <w:r w:rsidR="00800118">
        <w:rPr>
          <w:rFonts w:ascii="Times New Roman" w:hAnsi="Times New Roman" w:cs="Times New Roman"/>
          <w:sz w:val="24"/>
          <w:szCs w:val="24"/>
        </w:rPr>
        <w:t xml:space="preserve"> along with the ebb and flow of changing administrations. At the same time, however, the legislative history should, in one sense, serve as an anchor for the agency to use to base its understanding as it is the “</w:t>
      </w:r>
      <w:r w:rsidRPr="00800118">
        <w:rPr>
          <w:rFonts w:ascii="Times New Roman" w:hAnsi="Times New Roman" w:cs="Times New Roman"/>
          <w:sz w:val="24"/>
          <w:szCs w:val="24"/>
        </w:rPr>
        <w:t>guardian or custodian of the legislative scheme as enacted.”</w:t>
      </w:r>
      <w:r w:rsidR="00800118" w:rsidRPr="00800118">
        <w:rPr>
          <w:rStyle w:val="FootnoteReference"/>
          <w:rFonts w:ascii="Times New Roman" w:hAnsi="Times New Roman" w:cs="Times New Roman"/>
          <w:sz w:val="24"/>
          <w:szCs w:val="24"/>
        </w:rPr>
        <w:t xml:space="preserve"> </w:t>
      </w:r>
      <w:r w:rsidR="00800118">
        <w:rPr>
          <w:rStyle w:val="FootnoteReference"/>
          <w:rFonts w:ascii="Times New Roman" w:hAnsi="Times New Roman" w:cs="Times New Roman"/>
          <w:sz w:val="24"/>
          <w:szCs w:val="24"/>
        </w:rPr>
        <w:footnoteReference w:id="274"/>
      </w:r>
      <w:r w:rsidR="006E2CC2">
        <w:rPr>
          <w:rFonts w:ascii="Times New Roman" w:hAnsi="Times New Roman" w:cs="Times New Roman"/>
          <w:sz w:val="24"/>
          <w:szCs w:val="24"/>
        </w:rPr>
        <w:t xml:space="preserve"> Instead of relying on “text parsing, dictionary definitions, and a search for a fixed intent of the enacting Congress” legislative history should instead be used as the beginning inflection point to examine “policy </w:t>
      </w:r>
      <w:r w:rsidR="006E2CC2">
        <w:rPr>
          <w:rFonts w:ascii="Times New Roman" w:hAnsi="Times New Roman" w:cs="Times New Roman"/>
          <w:sz w:val="24"/>
          <w:szCs w:val="24"/>
        </w:rPr>
        <w:lastRenderedPageBreak/>
        <w:t>and expert considerations, pressures from the current Congress or White House, and bureaucratic management concerns.”</w:t>
      </w:r>
      <w:r w:rsidR="006E2CC2">
        <w:rPr>
          <w:rStyle w:val="FootnoteReference"/>
          <w:rFonts w:ascii="Times New Roman" w:hAnsi="Times New Roman" w:cs="Times New Roman"/>
          <w:sz w:val="24"/>
          <w:szCs w:val="24"/>
        </w:rPr>
        <w:footnoteReference w:id="275"/>
      </w:r>
    </w:p>
    <w:p w14:paraId="04D1043C" w14:textId="5CC92A48" w:rsidR="00800118" w:rsidRPr="0016216F" w:rsidRDefault="00800118" w:rsidP="00800118">
      <w:pPr>
        <w:pStyle w:val="ListParagraph"/>
        <w:numPr>
          <w:ilvl w:val="0"/>
          <w:numId w:val="30"/>
        </w:numPr>
        <w:spacing w:after="0" w:line="480" w:lineRule="auto"/>
        <w:rPr>
          <w:rFonts w:ascii="Times New Roman" w:hAnsi="Times New Roman" w:cs="Times New Roman"/>
          <w:b/>
          <w:sz w:val="24"/>
          <w:szCs w:val="24"/>
        </w:rPr>
      </w:pPr>
      <w:r w:rsidRPr="0016216F">
        <w:rPr>
          <w:rFonts w:ascii="Times New Roman" w:hAnsi="Times New Roman" w:cs="Times New Roman"/>
          <w:b/>
          <w:sz w:val="24"/>
          <w:szCs w:val="24"/>
        </w:rPr>
        <w:t>More Expertise</w:t>
      </w:r>
    </w:p>
    <w:p w14:paraId="2474D8FA" w14:textId="024B5DB6" w:rsidR="00800118" w:rsidRDefault="00800118" w:rsidP="003E00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 </w:t>
      </w:r>
      <w:r w:rsidRPr="00800118">
        <w:rPr>
          <w:rFonts w:ascii="Times New Roman" w:hAnsi="Times New Roman" w:cs="Times New Roman"/>
          <w:sz w:val="24"/>
          <w:szCs w:val="24"/>
        </w:rPr>
        <w:t xml:space="preserve">Board should use </w:t>
      </w:r>
      <w:r>
        <w:rPr>
          <w:rFonts w:ascii="Times New Roman" w:hAnsi="Times New Roman" w:cs="Times New Roman"/>
          <w:sz w:val="24"/>
          <w:szCs w:val="24"/>
        </w:rPr>
        <w:t xml:space="preserve">its </w:t>
      </w:r>
      <w:r w:rsidRPr="00800118">
        <w:rPr>
          <w:rFonts w:ascii="Times New Roman" w:hAnsi="Times New Roman" w:cs="Times New Roman"/>
          <w:sz w:val="24"/>
          <w:szCs w:val="24"/>
        </w:rPr>
        <w:t xml:space="preserve">expertise to craft legal doctrine that advances </w:t>
      </w:r>
      <w:r>
        <w:rPr>
          <w:rFonts w:ascii="Times New Roman" w:hAnsi="Times New Roman" w:cs="Times New Roman"/>
          <w:sz w:val="24"/>
          <w:szCs w:val="24"/>
        </w:rPr>
        <w:t xml:space="preserve">the agency’s </w:t>
      </w:r>
      <w:r w:rsidRPr="00800118">
        <w:rPr>
          <w:rFonts w:ascii="Times New Roman" w:hAnsi="Times New Roman" w:cs="Times New Roman"/>
          <w:sz w:val="24"/>
          <w:szCs w:val="24"/>
        </w:rPr>
        <w:t>purpose, collecting evidence on policy and pragmatic consequences for a given decision.</w:t>
      </w:r>
      <w:r>
        <w:rPr>
          <w:rStyle w:val="FootnoteReference"/>
          <w:rFonts w:ascii="Times New Roman" w:hAnsi="Times New Roman" w:cs="Times New Roman"/>
          <w:sz w:val="24"/>
          <w:szCs w:val="24"/>
        </w:rPr>
        <w:footnoteReference w:id="276"/>
      </w:r>
      <w:r>
        <w:rPr>
          <w:rFonts w:ascii="Times New Roman" w:hAnsi="Times New Roman" w:cs="Times New Roman"/>
          <w:sz w:val="24"/>
          <w:szCs w:val="24"/>
        </w:rPr>
        <w:t xml:space="preserve"> </w:t>
      </w:r>
      <w:r w:rsidR="0016216F">
        <w:rPr>
          <w:rFonts w:ascii="Times New Roman" w:hAnsi="Times New Roman" w:cs="Times New Roman"/>
          <w:sz w:val="24"/>
          <w:szCs w:val="24"/>
        </w:rPr>
        <w:t>As Mashaw argues, “[a]</w:t>
      </w:r>
      <w:r w:rsidR="00D30C91">
        <w:rPr>
          <w:rFonts w:ascii="Times New Roman" w:hAnsi="Times New Roman" w:cs="Times New Roman"/>
          <w:sz w:val="24"/>
          <w:szCs w:val="24"/>
        </w:rPr>
        <w:t>gency control of …its interpretive agenda argues for an interpretive approach that engages in a wider-ranging set of policy considerations and a more straightforward approach to political context than would be constitutionally appropriate for the judiciary.”</w:t>
      </w:r>
      <w:r w:rsidR="00D30C91">
        <w:rPr>
          <w:rStyle w:val="FootnoteReference"/>
          <w:rFonts w:ascii="Times New Roman" w:hAnsi="Times New Roman" w:cs="Times New Roman"/>
          <w:sz w:val="24"/>
          <w:szCs w:val="24"/>
        </w:rPr>
        <w:footnoteReference w:id="277"/>
      </w:r>
      <w:r>
        <w:rPr>
          <w:rFonts w:ascii="Times New Roman" w:hAnsi="Times New Roman" w:cs="Times New Roman"/>
          <w:sz w:val="24"/>
          <w:szCs w:val="24"/>
        </w:rPr>
        <w:t>At present, the NLRB chooses between “competing constructions…within the range of meanings that the statutory language can support” when interpreting statutes.</w:t>
      </w:r>
      <w:r>
        <w:rPr>
          <w:rStyle w:val="FootnoteReference"/>
          <w:rFonts w:ascii="Times New Roman" w:hAnsi="Times New Roman" w:cs="Times New Roman"/>
          <w:sz w:val="24"/>
          <w:szCs w:val="24"/>
        </w:rPr>
        <w:footnoteReference w:id="278"/>
      </w:r>
      <w:r>
        <w:rPr>
          <w:rFonts w:ascii="Times New Roman" w:hAnsi="Times New Roman" w:cs="Times New Roman"/>
          <w:sz w:val="24"/>
          <w:szCs w:val="24"/>
        </w:rPr>
        <w:t xml:space="preserve"> This results in a formalistic style of adjudication where questions of policy are deemed questions of law and social science data is deemed irrelevant.</w:t>
      </w:r>
      <w:r>
        <w:rPr>
          <w:rStyle w:val="FootnoteReference"/>
          <w:rFonts w:ascii="Times New Roman" w:hAnsi="Times New Roman" w:cs="Times New Roman"/>
          <w:sz w:val="24"/>
          <w:szCs w:val="24"/>
        </w:rPr>
        <w:footnoteReference w:id="279"/>
      </w:r>
      <w:r>
        <w:rPr>
          <w:rFonts w:ascii="Times New Roman" w:hAnsi="Times New Roman" w:cs="Times New Roman"/>
          <w:sz w:val="24"/>
          <w:szCs w:val="24"/>
        </w:rPr>
        <w:t xml:space="preserve"> But if the NLRB is truly going to serve its founding mission, it needs to start acting more like a policymaking court rather than a court who does policymaking on the side.</w:t>
      </w:r>
      <w:r>
        <w:rPr>
          <w:rStyle w:val="FootnoteReference"/>
          <w:rFonts w:ascii="Times New Roman" w:hAnsi="Times New Roman" w:cs="Times New Roman"/>
          <w:sz w:val="24"/>
          <w:szCs w:val="24"/>
        </w:rPr>
        <w:footnoteReference w:id="280"/>
      </w:r>
      <w:r w:rsidR="00F7460F">
        <w:rPr>
          <w:rFonts w:ascii="Times New Roman" w:hAnsi="Times New Roman" w:cs="Times New Roman"/>
          <w:sz w:val="24"/>
          <w:szCs w:val="24"/>
        </w:rPr>
        <w:t xml:space="preserve"> Board decisions often predict dire consequences of a given decision, yet never lay out the empirical evidence to back it up. For instance, in </w:t>
      </w:r>
      <w:r w:rsidR="00F7460F">
        <w:rPr>
          <w:rFonts w:ascii="Times New Roman" w:hAnsi="Times New Roman" w:cs="Times New Roman"/>
          <w:i/>
          <w:sz w:val="24"/>
          <w:szCs w:val="24"/>
        </w:rPr>
        <w:t>Browning-Ferris Industries, Inc.</w:t>
      </w:r>
      <w:r w:rsidR="00F7460F">
        <w:rPr>
          <w:rFonts w:ascii="Times New Roman" w:hAnsi="Times New Roman" w:cs="Times New Roman"/>
          <w:sz w:val="24"/>
          <w:szCs w:val="24"/>
        </w:rPr>
        <w:t>, Board members Miscimarra and Johnson argued that the Board’s revamp of the “j</w:t>
      </w:r>
      <w:r w:rsidR="00D30C91">
        <w:rPr>
          <w:rFonts w:ascii="Times New Roman" w:hAnsi="Times New Roman" w:cs="Times New Roman"/>
          <w:sz w:val="24"/>
          <w:szCs w:val="24"/>
        </w:rPr>
        <w:t xml:space="preserve">oint employer” test would wreck </w:t>
      </w:r>
      <w:r w:rsidR="00F7460F">
        <w:rPr>
          <w:rFonts w:ascii="Times New Roman" w:hAnsi="Times New Roman" w:cs="Times New Roman"/>
          <w:sz w:val="24"/>
          <w:szCs w:val="24"/>
        </w:rPr>
        <w:t xml:space="preserve">havoc on the workplace as it would “subject countess entities to unprecedented new joint-bargaining obligations that most do not know have, to potential joint </w:t>
      </w:r>
      <w:r w:rsidR="00F7460F">
        <w:rPr>
          <w:rFonts w:ascii="Times New Roman" w:hAnsi="Times New Roman" w:cs="Times New Roman"/>
          <w:sz w:val="24"/>
          <w:szCs w:val="24"/>
        </w:rPr>
        <w:lastRenderedPageBreak/>
        <w:t>liability for unfair labor practices and breaches of collective bargaining agreements, and to economic protest activity, including what have heretofore been unlawful secondary strikes, boycotts, and picketing.”</w:t>
      </w:r>
      <w:r w:rsidR="00F7460F">
        <w:rPr>
          <w:rStyle w:val="FootnoteReference"/>
          <w:rFonts w:ascii="Times New Roman" w:hAnsi="Times New Roman" w:cs="Times New Roman"/>
          <w:sz w:val="24"/>
          <w:szCs w:val="24"/>
        </w:rPr>
        <w:footnoteReference w:id="281"/>
      </w:r>
      <w:r w:rsidR="00F7460F">
        <w:rPr>
          <w:rFonts w:ascii="Times New Roman" w:hAnsi="Times New Roman" w:cs="Times New Roman"/>
          <w:sz w:val="24"/>
          <w:szCs w:val="24"/>
        </w:rPr>
        <w:t xml:space="preserve"> The dissenters spent page after page bemoaning the negative consequences that could ensure, but </w:t>
      </w:r>
      <w:r w:rsidR="003E00DA">
        <w:rPr>
          <w:rFonts w:ascii="Times New Roman" w:hAnsi="Times New Roman" w:cs="Times New Roman"/>
          <w:sz w:val="24"/>
          <w:szCs w:val="24"/>
        </w:rPr>
        <w:t xml:space="preserve">they offer no </w:t>
      </w:r>
      <w:r w:rsidR="00F7460F">
        <w:rPr>
          <w:rFonts w:ascii="Times New Roman" w:hAnsi="Times New Roman" w:cs="Times New Roman"/>
          <w:sz w:val="24"/>
          <w:szCs w:val="24"/>
        </w:rPr>
        <w:t xml:space="preserve">social scientific evidence to back up the claims, nor for the most part </w:t>
      </w:r>
      <w:r w:rsidR="003E00DA">
        <w:rPr>
          <w:rFonts w:ascii="Times New Roman" w:hAnsi="Times New Roman" w:cs="Times New Roman"/>
          <w:sz w:val="24"/>
          <w:szCs w:val="24"/>
        </w:rPr>
        <w:t xml:space="preserve">do they make any citations </w:t>
      </w:r>
      <w:r w:rsidR="00F7460F">
        <w:rPr>
          <w:rFonts w:ascii="Times New Roman" w:hAnsi="Times New Roman" w:cs="Times New Roman"/>
          <w:sz w:val="24"/>
          <w:szCs w:val="24"/>
        </w:rPr>
        <w:t>at all to buttress the claims about</w:t>
      </w:r>
      <w:r w:rsidR="00573A5C">
        <w:rPr>
          <w:rFonts w:ascii="Times New Roman" w:hAnsi="Times New Roman" w:cs="Times New Roman"/>
          <w:sz w:val="24"/>
          <w:szCs w:val="24"/>
        </w:rPr>
        <w:t xml:space="preserve"> the decision’s ramifications. </w:t>
      </w:r>
      <w:r w:rsidR="00F7460F">
        <w:rPr>
          <w:rFonts w:ascii="Times New Roman" w:hAnsi="Times New Roman" w:cs="Times New Roman"/>
          <w:sz w:val="24"/>
          <w:szCs w:val="24"/>
        </w:rPr>
        <w:t>In all, the majority and dissent come down to a policy dispute over how broadly t</w:t>
      </w:r>
      <w:r w:rsidR="0007447F">
        <w:rPr>
          <w:rFonts w:ascii="Times New Roman" w:hAnsi="Times New Roman" w:cs="Times New Roman"/>
          <w:sz w:val="24"/>
          <w:szCs w:val="24"/>
        </w:rPr>
        <w:t>o interpret the word ‘employee.’</w:t>
      </w:r>
    </w:p>
    <w:p w14:paraId="2ECCE8A6" w14:textId="77777777" w:rsidR="00F7460F" w:rsidRDefault="00F7460F" w:rsidP="008001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these and other cases, t</w:t>
      </w:r>
      <w:r w:rsidR="00800118">
        <w:rPr>
          <w:rFonts w:ascii="Times New Roman" w:hAnsi="Times New Roman" w:cs="Times New Roman"/>
          <w:sz w:val="24"/>
          <w:szCs w:val="24"/>
        </w:rPr>
        <w:t>he NLRB can be reformed to give it more power to engage in policymaking</w:t>
      </w:r>
      <w:r>
        <w:rPr>
          <w:rFonts w:ascii="Times New Roman" w:hAnsi="Times New Roman" w:cs="Times New Roman"/>
          <w:sz w:val="24"/>
          <w:szCs w:val="24"/>
        </w:rPr>
        <w:t xml:space="preserve"> in a more explicit (and fairer) way</w:t>
      </w:r>
      <w:r w:rsidR="00800118">
        <w:rPr>
          <w:rFonts w:ascii="Times New Roman" w:hAnsi="Times New Roman" w:cs="Times New Roman"/>
          <w:sz w:val="24"/>
          <w:szCs w:val="24"/>
        </w:rPr>
        <w:t xml:space="preserve">. </w:t>
      </w:r>
      <w:r w:rsidR="00800118" w:rsidRPr="00FC6F7D">
        <w:rPr>
          <w:rFonts w:ascii="Times New Roman" w:hAnsi="Times New Roman" w:cs="Times New Roman"/>
          <w:sz w:val="24"/>
          <w:szCs w:val="24"/>
        </w:rPr>
        <w:t>For instance, if the NLRB were to truly embrace its policymaking role, it would ask parties that appear before it to brief the economic effects that could ensure should the Board rule one way or another. Rather than m</w:t>
      </w:r>
      <w:r>
        <w:rPr>
          <w:rFonts w:ascii="Times New Roman" w:hAnsi="Times New Roman" w:cs="Times New Roman"/>
          <w:sz w:val="24"/>
          <w:szCs w:val="24"/>
        </w:rPr>
        <w:t>ere vague assertions of “policy</w:t>
      </w:r>
      <w:r w:rsidR="00800118" w:rsidRPr="00FC6F7D">
        <w:rPr>
          <w:rFonts w:ascii="Times New Roman" w:hAnsi="Times New Roman" w:cs="Times New Roman"/>
          <w:sz w:val="24"/>
          <w:szCs w:val="24"/>
        </w:rPr>
        <w:t>”</w:t>
      </w:r>
      <w:r>
        <w:rPr>
          <w:rFonts w:ascii="Times New Roman" w:hAnsi="Times New Roman" w:cs="Times New Roman"/>
          <w:sz w:val="24"/>
          <w:szCs w:val="24"/>
        </w:rPr>
        <w:t xml:space="preserve"> or pontifications about a given case’s possible ramifications,</w:t>
      </w:r>
      <w:r w:rsidR="00800118" w:rsidRPr="00FC6F7D">
        <w:rPr>
          <w:rFonts w:ascii="Times New Roman" w:hAnsi="Times New Roman" w:cs="Times New Roman"/>
          <w:sz w:val="24"/>
          <w:szCs w:val="24"/>
        </w:rPr>
        <w:t xml:space="preserve"> the Board can consider different viewpoints of experts so as to be able to have a solid foundation in which to use its expertise to make labor policy to serve the aim of 1) avoiding strikes; and 2) increasing wages. </w:t>
      </w:r>
      <w:r w:rsidR="00800118">
        <w:rPr>
          <w:rFonts w:ascii="Times New Roman" w:hAnsi="Times New Roman" w:cs="Times New Roman"/>
          <w:sz w:val="24"/>
          <w:szCs w:val="24"/>
        </w:rPr>
        <w:t xml:space="preserve">Appellate courts would then not have to guess on the standard of review. For instance, in </w:t>
      </w:r>
      <w:r w:rsidR="00800118" w:rsidRPr="00CC54F5">
        <w:rPr>
          <w:rFonts w:ascii="Times New Roman" w:hAnsi="Times New Roman" w:cs="Times New Roman"/>
          <w:sz w:val="24"/>
          <w:szCs w:val="24"/>
        </w:rPr>
        <w:t xml:space="preserve">the </w:t>
      </w:r>
      <w:r w:rsidR="00800118" w:rsidRPr="00CC54F5">
        <w:rPr>
          <w:rFonts w:ascii="Times New Roman" w:hAnsi="Times New Roman" w:cs="Times New Roman"/>
          <w:i/>
          <w:sz w:val="24"/>
          <w:szCs w:val="24"/>
        </w:rPr>
        <w:t>Columbia University</w:t>
      </w:r>
      <w:r w:rsidR="00800118" w:rsidRPr="00CC54F5">
        <w:rPr>
          <w:rFonts w:ascii="Times New Roman" w:hAnsi="Times New Roman" w:cs="Times New Roman"/>
          <w:sz w:val="24"/>
          <w:szCs w:val="24"/>
        </w:rPr>
        <w:t xml:space="preserve"> graduate TA case, the Board would consider what impact on strikes or collective bargaining would expansion of the pool to include stud</w:t>
      </w:r>
      <w:r>
        <w:rPr>
          <w:rFonts w:ascii="Times New Roman" w:hAnsi="Times New Roman" w:cs="Times New Roman"/>
          <w:sz w:val="24"/>
          <w:szCs w:val="24"/>
        </w:rPr>
        <w:t>ents as employees actually have.</w:t>
      </w:r>
    </w:p>
    <w:p w14:paraId="7F033104" w14:textId="5AE92034" w:rsidR="00800118" w:rsidRPr="005731CB" w:rsidRDefault="00800118" w:rsidP="005731CB">
      <w:pPr>
        <w:spacing w:after="0" w:line="480" w:lineRule="auto"/>
        <w:rPr>
          <w:rFonts w:ascii="Times New Roman" w:hAnsi="Times New Roman" w:cs="Times New Roman"/>
          <w:b/>
          <w:sz w:val="24"/>
          <w:szCs w:val="24"/>
        </w:rPr>
      </w:pPr>
      <w:r w:rsidRPr="00CC54F5">
        <w:rPr>
          <w:rFonts w:ascii="Times New Roman" w:hAnsi="Times New Roman" w:cs="Times New Roman"/>
          <w:sz w:val="24"/>
          <w:szCs w:val="24"/>
        </w:rPr>
        <w:t xml:space="preserve"> </w:t>
      </w:r>
      <w:r w:rsidR="005731CB">
        <w:rPr>
          <w:rFonts w:ascii="Times New Roman" w:hAnsi="Times New Roman" w:cs="Times New Roman"/>
          <w:sz w:val="24"/>
          <w:szCs w:val="24"/>
        </w:rPr>
        <w:tab/>
      </w:r>
      <w:r w:rsidR="005731CB" w:rsidRPr="005731CB">
        <w:rPr>
          <w:rFonts w:ascii="Times New Roman" w:hAnsi="Times New Roman" w:cs="Times New Roman"/>
          <w:sz w:val="24"/>
          <w:szCs w:val="24"/>
        </w:rPr>
        <w:t>New Dealers envisioned agencies as being based on expertise and professionalism</w:t>
      </w:r>
      <w:r w:rsidR="003E00DA">
        <w:rPr>
          <w:rFonts w:ascii="Times New Roman" w:hAnsi="Times New Roman" w:cs="Times New Roman"/>
          <w:sz w:val="24"/>
          <w:szCs w:val="24"/>
        </w:rPr>
        <w:t xml:space="preserve"> so that they could</w:t>
      </w:r>
      <w:r w:rsidR="005731CB" w:rsidRPr="005731CB">
        <w:rPr>
          <w:rFonts w:ascii="Times New Roman" w:hAnsi="Times New Roman" w:cs="Times New Roman"/>
          <w:sz w:val="24"/>
          <w:szCs w:val="24"/>
        </w:rPr>
        <w:t xml:space="preserve"> analyze social and economic problems and rely on scientific and empirical information that courts and legislatures </w:t>
      </w:r>
      <w:r w:rsidR="003E00DA">
        <w:rPr>
          <w:rFonts w:ascii="Times New Roman" w:hAnsi="Times New Roman" w:cs="Times New Roman"/>
          <w:sz w:val="24"/>
          <w:szCs w:val="24"/>
        </w:rPr>
        <w:t>could not otherwise</w:t>
      </w:r>
      <w:r w:rsidR="005731CB" w:rsidRPr="005731CB">
        <w:rPr>
          <w:rFonts w:ascii="Times New Roman" w:hAnsi="Times New Roman" w:cs="Times New Roman"/>
          <w:sz w:val="24"/>
          <w:szCs w:val="24"/>
        </w:rPr>
        <w:t xml:space="preserve"> consider.</w:t>
      </w:r>
      <w:r w:rsidR="005731CB" w:rsidRPr="005731CB">
        <w:rPr>
          <w:rStyle w:val="FootnoteReference"/>
          <w:rFonts w:ascii="Times New Roman" w:hAnsi="Times New Roman" w:cs="Times New Roman"/>
          <w:sz w:val="24"/>
          <w:szCs w:val="24"/>
        </w:rPr>
        <w:footnoteReference w:id="282"/>
      </w:r>
      <w:r w:rsidR="005731CB" w:rsidRPr="005731CB">
        <w:rPr>
          <w:rFonts w:ascii="Times New Roman" w:hAnsi="Times New Roman" w:cs="Times New Roman"/>
          <w:sz w:val="24"/>
          <w:szCs w:val="24"/>
        </w:rPr>
        <w:t xml:space="preserve"> The Board never </w:t>
      </w:r>
      <w:r w:rsidR="005731CB" w:rsidRPr="005731CB">
        <w:rPr>
          <w:rFonts w:ascii="Times New Roman" w:hAnsi="Times New Roman" w:cs="Times New Roman"/>
          <w:sz w:val="24"/>
          <w:szCs w:val="24"/>
        </w:rPr>
        <w:lastRenderedPageBreak/>
        <w:t>developed the kind of non-legal expertise that administrative agencies were supposed to have due to historical circumstances.</w:t>
      </w:r>
      <w:r w:rsidR="005731CB" w:rsidRPr="005731CB">
        <w:rPr>
          <w:rStyle w:val="FootnoteReference"/>
          <w:rFonts w:ascii="Times New Roman" w:hAnsi="Times New Roman" w:cs="Times New Roman"/>
          <w:sz w:val="24"/>
          <w:szCs w:val="24"/>
        </w:rPr>
        <w:footnoteReference w:id="283"/>
      </w:r>
      <w:r w:rsidR="0080459A">
        <w:rPr>
          <w:rFonts w:ascii="Times New Roman" w:hAnsi="Times New Roman" w:cs="Times New Roman"/>
          <w:b/>
          <w:sz w:val="24"/>
          <w:szCs w:val="24"/>
        </w:rPr>
        <w:t xml:space="preserve"> </w:t>
      </w:r>
      <w:r>
        <w:rPr>
          <w:rFonts w:ascii="Times New Roman" w:hAnsi="Times New Roman" w:cs="Times New Roman"/>
          <w:sz w:val="24"/>
          <w:szCs w:val="24"/>
        </w:rPr>
        <w:t>In the 1940s, widespread opposition to the Board resulted in Congress gutting the Board’s Division of Economic Research, which had gotten a reputation as being “biased” for labor.</w:t>
      </w:r>
      <w:r>
        <w:rPr>
          <w:rStyle w:val="FootnoteReference"/>
          <w:rFonts w:ascii="Times New Roman" w:hAnsi="Times New Roman" w:cs="Times New Roman"/>
          <w:sz w:val="24"/>
          <w:szCs w:val="24"/>
        </w:rPr>
        <w:footnoteReference w:id="284"/>
      </w:r>
      <w:r>
        <w:rPr>
          <w:rFonts w:ascii="Times New Roman" w:hAnsi="Times New Roman" w:cs="Times New Roman"/>
          <w:sz w:val="24"/>
          <w:szCs w:val="24"/>
        </w:rPr>
        <w:t xml:space="preserve"> </w:t>
      </w:r>
      <w:r w:rsidR="00F7460F">
        <w:rPr>
          <w:rFonts w:ascii="Times New Roman" w:hAnsi="Times New Roman" w:cs="Times New Roman"/>
          <w:sz w:val="24"/>
          <w:szCs w:val="24"/>
        </w:rPr>
        <w:t xml:space="preserve">Further, </w:t>
      </w:r>
      <w:r>
        <w:rPr>
          <w:rFonts w:ascii="Times New Roman" w:hAnsi="Times New Roman" w:cs="Times New Roman"/>
          <w:sz w:val="24"/>
          <w:szCs w:val="24"/>
        </w:rPr>
        <w:t>an early turf war with th</w:t>
      </w:r>
      <w:r w:rsidR="00F7460F">
        <w:rPr>
          <w:rFonts w:ascii="Times New Roman" w:hAnsi="Times New Roman" w:cs="Times New Roman"/>
          <w:sz w:val="24"/>
          <w:szCs w:val="24"/>
        </w:rPr>
        <w:t>e Department of Labor</w:t>
      </w:r>
      <w:r w:rsidR="0016216F">
        <w:rPr>
          <w:rFonts w:ascii="Times New Roman" w:hAnsi="Times New Roman" w:cs="Times New Roman"/>
          <w:sz w:val="24"/>
          <w:szCs w:val="24"/>
        </w:rPr>
        <w:t xml:space="preserve"> (“DOL”)</w:t>
      </w:r>
      <w:r w:rsidR="00F7460F">
        <w:rPr>
          <w:rFonts w:ascii="Times New Roman" w:hAnsi="Times New Roman" w:cs="Times New Roman"/>
          <w:sz w:val="24"/>
          <w:szCs w:val="24"/>
        </w:rPr>
        <w:t xml:space="preserve"> resulted </w:t>
      </w:r>
      <w:r>
        <w:rPr>
          <w:rFonts w:ascii="Times New Roman" w:hAnsi="Times New Roman" w:cs="Times New Roman"/>
          <w:sz w:val="24"/>
          <w:szCs w:val="24"/>
        </w:rPr>
        <w:t>in the Board not having access to DOL’s empirical research on labor.</w:t>
      </w:r>
      <w:r>
        <w:rPr>
          <w:rStyle w:val="FootnoteReference"/>
          <w:rFonts w:ascii="Times New Roman" w:hAnsi="Times New Roman" w:cs="Times New Roman"/>
          <w:sz w:val="24"/>
          <w:szCs w:val="24"/>
        </w:rPr>
        <w:footnoteReference w:id="285"/>
      </w:r>
      <w:r w:rsidR="00F7460F">
        <w:rPr>
          <w:rFonts w:ascii="Times New Roman" w:hAnsi="Times New Roman" w:cs="Times New Roman"/>
          <w:sz w:val="24"/>
          <w:szCs w:val="24"/>
        </w:rPr>
        <w:t xml:space="preserve"> </w:t>
      </w:r>
      <w:r>
        <w:rPr>
          <w:rFonts w:ascii="Times New Roman" w:hAnsi="Times New Roman" w:cs="Times New Roman"/>
          <w:sz w:val="24"/>
          <w:szCs w:val="24"/>
        </w:rPr>
        <w:t>The DOL has the ability to produce “high quality empirical analysis of the myriad que</w:t>
      </w:r>
      <w:r w:rsidR="00F7460F">
        <w:rPr>
          <w:rFonts w:ascii="Times New Roman" w:hAnsi="Times New Roman" w:cs="Times New Roman"/>
          <w:sz w:val="24"/>
          <w:szCs w:val="24"/>
        </w:rPr>
        <w:t>stions that arise in NLRB cases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6"/>
      </w:r>
      <w:r>
        <w:rPr>
          <w:rFonts w:ascii="Times New Roman" w:hAnsi="Times New Roman" w:cs="Times New Roman"/>
          <w:sz w:val="24"/>
          <w:szCs w:val="24"/>
        </w:rPr>
        <w:t xml:space="preserve"> </w:t>
      </w:r>
      <w:r w:rsidR="00F7460F">
        <w:rPr>
          <w:rFonts w:ascii="Times New Roman" w:hAnsi="Times New Roman" w:cs="Times New Roman"/>
          <w:sz w:val="24"/>
          <w:szCs w:val="24"/>
        </w:rPr>
        <w:t>yet currently the Board has no access to this valued information. Moreover</w:t>
      </w:r>
      <w:r>
        <w:rPr>
          <w:rFonts w:ascii="Times New Roman" w:hAnsi="Times New Roman" w:cs="Times New Roman"/>
          <w:sz w:val="24"/>
          <w:szCs w:val="24"/>
        </w:rPr>
        <w:t>, the Board is not able to coordinate data gathering and policy analysis with DOL, EEOC or state labor agencies.</w:t>
      </w:r>
      <w:r>
        <w:rPr>
          <w:rStyle w:val="FootnoteReference"/>
          <w:rFonts w:ascii="Times New Roman" w:hAnsi="Times New Roman" w:cs="Times New Roman"/>
          <w:sz w:val="24"/>
          <w:szCs w:val="24"/>
        </w:rPr>
        <w:footnoteReference w:id="287"/>
      </w:r>
      <w:r w:rsidR="00F7460F">
        <w:rPr>
          <w:rFonts w:ascii="Times New Roman" w:hAnsi="Times New Roman" w:cs="Times New Roman"/>
          <w:sz w:val="24"/>
          <w:szCs w:val="24"/>
        </w:rPr>
        <w:t xml:space="preserve"> Giving NLRB back its policy tools would do much to make its statutory interpretation more reasoned and more consistent. </w:t>
      </w:r>
    </w:p>
    <w:p w14:paraId="0B2B1910" w14:textId="77777777" w:rsidR="00D30C91" w:rsidRDefault="00F7460F" w:rsidP="00D30C9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w:t>
      </w:r>
      <w:r w:rsidR="00800118">
        <w:rPr>
          <w:rFonts w:ascii="Times New Roman" w:hAnsi="Times New Roman" w:cs="Times New Roman"/>
          <w:sz w:val="24"/>
          <w:szCs w:val="24"/>
        </w:rPr>
        <w:t xml:space="preserve"> results in this study led credence to the view that the Board should rely even more so </w:t>
      </w:r>
    </w:p>
    <w:p w14:paraId="387C6B27" w14:textId="6C33CFD8" w:rsidR="00800118" w:rsidRDefault="00800118" w:rsidP="00455E7C">
      <w:pPr>
        <w:spacing w:after="0" w:line="480" w:lineRule="auto"/>
        <w:rPr>
          <w:rFonts w:ascii="Times New Roman" w:hAnsi="Times New Roman" w:cs="Times New Roman"/>
          <w:sz w:val="24"/>
          <w:szCs w:val="24"/>
        </w:rPr>
      </w:pPr>
      <w:r>
        <w:rPr>
          <w:rFonts w:ascii="Times New Roman" w:hAnsi="Times New Roman" w:cs="Times New Roman"/>
          <w:sz w:val="24"/>
          <w:szCs w:val="24"/>
        </w:rPr>
        <w:t>that it does on an explicitly purposive analysis that incorporates practical considerations m</w:t>
      </w:r>
      <w:r w:rsidR="00F7460F">
        <w:rPr>
          <w:rFonts w:ascii="Times New Roman" w:hAnsi="Times New Roman" w:cs="Times New Roman"/>
          <w:sz w:val="24"/>
          <w:szCs w:val="24"/>
        </w:rPr>
        <w:t xml:space="preserve">ore so than it currently does. </w:t>
      </w:r>
      <w:r>
        <w:rPr>
          <w:rFonts w:ascii="Times New Roman" w:hAnsi="Times New Roman" w:cs="Times New Roman"/>
          <w:sz w:val="24"/>
          <w:szCs w:val="24"/>
        </w:rPr>
        <w:t xml:space="preserve">In its opinions, the Board uses a textual or legislative history analysis in a </w:t>
      </w:r>
      <w:r w:rsidRPr="009573EA">
        <w:rPr>
          <w:rFonts w:ascii="Times New Roman" w:hAnsi="Times New Roman" w:cs="Times New Roman"/>
          <w:i/>
          <w:sz w:val="24"/>
          <w:szCs w:val="24"/>
        </w:rPr>
        <w:t xml:space="preserve">Chevron </w:t>
      </w:r>
      <w:r>
        <w:rPr>
          <w:rFonts w:ascii="Times New Roman" w:hAnsi="Times New Roman" w:cs="Times New Roman"/>
          <w:sz w:val="24"/>
          <w:szCs w:val="24"/>
        </w:rPr>
        <w:t xml:space="preserve">step 1 formula. </w:t>
      </w:r>
      <w:r w:rsidR="004D68DE">
        <w:rPr>
          <w:rFonts w:ascii="Times New Roman" w:hAnsi="Times New Roman" w:cs="Times New Roman"/>
          <w:sz w:val="24"/>
          <w:szCs w:val="24"/>
        </w:rPr>
        <w:t xml:space="preserve">This is not necessary a wise strategy for a public administration. As Elizabeth Foote argues, </w:t>
      </w:r>
      <w:r w:rsidR="003E1257">
        <w:rPr>
          <w:rFonts w:ascii="Times New Roman" w:hAnsi="Times New Roman" w:cs="Times New Roman"/>
          <w:sz w:val="24"/>
          <w:szCs w:val="24"/>
        </w:rPr>
        <w:t xml:space="preserve">over the years, </w:t>
      </w:r>
      <w:r w:rsidR="004D68DE">
        <w:rPr>
          <w:rFonts w:ascii="Times New Roman" w:hAnsi="Times New Roman" w:cs="Times New Roman"/>
          <w:sz w:val="24"/>
          <w:szCs w:val="24"/>
        </w:rPr>
        <w:t>“</w:t>
      </w:r>
      <w:r w:rsidR="003E1257">
        <w:rPr>
          <w:rFonts w:ascii="Times New Roman" w:hAnsi="Times New Roman" w:cs="Times New Roman"/>
          <w:sz w:val="24"/>
          <w:szCs w:val="24"/>
        </w:rPr>
        <w:t>[j]</w:t>
      </w:r>
      <w:r w:rsidR="004D68DE">
        <w:rPr>
          <w:rFonts w:ascii="Times New Roman" w:hAnsi="Times New Roman" w:cs="Times New Roman"/>
          <w:sz w:val="24"/>
          <w:szCs w:val="24"/>
        </w:rPr>
        <w:t xml:space="preserve">udge-made norms displayed statutes as sources of law, and those judge-made canons are both overly intrusive in declaring the meaning of statutes and overly indifferent to the administrative reasonableness of operational programs by public </w:t>
      </w:r>
      <w:r w:rsidR="004D68DE">
        <w:rPr>
          <w:rFonts w:ascii="Times New Roman" w:hAnsi="Times New Roman" w:cs="Times New Roman"/>
          <w:sz w:val="24"/>
          <w:szCs w:val="24"/>
        </w:rPr>
        <w:lastRenderedPageBreak/>
        <w:t>bureaucracies.”</w:t>
      </w:r>
      <w:r w:rsidR="004D68DE">
        <w:rPr>
          <w:rStyle w:val="FootnoteReference"/>
          <w:rFonts w:ascii="Times New Roman" w:hAnsi="Times New Roman" w:cs="Times New Roman"/>
          <w:sz w:val="24"/>
          <w:szCs w:val="24"/>
        </w:rPr>
        <w:footnoteReference w:id="288"/>
      </w:r>
      <w:r w:rsidR="003E1257">
        <w:rPr>
          <w:rFonts w:ascii="Times New Roman" w:hAnsi="Times New Roman" w:cs="Times New Roman"/>
          <w:sz w:val="24"/>
          <w:szCs w:val="24"/>
        </w:rPr>
        <w:t xml:space="preserve"> Moreover,</w:t>
      </w:r>
      <w:r>
        <w:rPr>
          <w:rFonts w:ascii="Times New Roman" w:hAnsi="Times New Roman" w:cs="Times New Roman"/>
          <w:sz w:val="24"/>
          <w:szCs w:val="24"/>
        </w:rPr>
        <w:t xml:space="preserve"> given the inconsistency in which the Board cites legislative history and the mangled way it interprets the text (varying to the extent to which the Board interprets the very same phrase broadly or narrowly), one wonders what place, if any, </w:t>
      </w:r>
      <w:r w:rsidR="00F7460F">
        <w:rPr>
          <w:rFonts w:ascii="Times New Roman" w:hAnsi="Times New Roman" w:cs="Times New Roman"/>
          <w:sz w:val="24"/>
          <w:szCs w:val="24"/>
        </w:rPr>
        <w:t xml:space="preserve">such methods </w:t>
      </w:r>
      <w:r>
        <w:rPr>
          <w:rFonts w:ascii="Times New Roman" w:hAnsi="Times New Roman" w:cs="Times New Roman"/>
          <w:sz w:val="24"/>
          <w:szCs w:val="24"/>
        </w:rPr>
        <w:t xml:space="preserve">should play in the Board’s or any agencies’ interpretive handbook in interpreting a statute over 75-years old written in a dramatically different political climate. Rather, the Board should return to its roots as a policymaking body, and make clear the policymaking choices it makes, instead of “hiding the ball” behind a text or legislative </w:t>
      </w:r>
      <w:r w:rsidR="003E00DA">
        <w:rPr>
          <w:rFonts w:ascii="Times New Roman" w:hAnsi="Times New Roman" w:cs="Times New Roman"/>
          <w:sz w:val="24"/>
          <w:szCs w:val="24"/>
        </w:rPr>
        <w:t xml:space="preserve">history </w:t>
      </w:r>
      <w:r>
        <w:rPr>
          <w:rFonts w:ascii="Times New Roman" w:hAnsi="Times New Roman" w:cs="Times New Roman"/>
          <w:sz w:val="24"/>
          <w:szCs w:val="24"/>
        </w:rPr>
        <w:t>analysis that a reviewing appellate court may find itself more comfortable with. Agencies are expert bodies not courts and interpretive methodologies should follow suit.</w:t>
      </w:r>
      <w:r w:rsidR="00D30C91">
        <w:rPr>
          <w:rFonts w:ascii="Times New Roman" w:hAnsi="Times New Roman" w:cs="Times New Roman"/>
          <w:sz w:val="24"/>
          <w:szCs w:val="24"/>
        </w:rPr>
        <w:t xml:space="preserve"> </w:t>
      </w:r>
    </w:p>
    <w:p w14:paraId="4AF3AD2C" w14:textId="51D376DB" w:rsidR="00800118" w:rsidRPr="001E0834" w:rsidRDefault="00F7460F" w:rsidP="00F7460F">
      <w:pPr>
        <w:pStyle w:val="ListParagraph"/>
        <w:numPr>
          <w:ilvl w:val="0"/>
          <w:numId w:val="30"/>
        </w:numPr>
        <w:spacing w:after="0" w:line="480" w:lineRule="auto"/>
        <w:rPr>
          <w:rFonts w:ascii="Times New Roman" w:hAnsi="Times New Roman" w:cs="Times New Roman"/>
          <w:b/>
          <w:sz w:val="24"/>
          <w:szCs w:val="24"/>
        </w:rPr>
      </w:pPr>
      <w:r w:rsidRPr="001E0834">
        <w:rPr>
          <w:rFonts w:ascii="Times New Roman" w:hAnsi="Times New Roman" w:cs="Times New Roman"/>
          <w:b/>
          <w:sz w:val="24"/>
          <w:szCs w:val="24"/>
        </w:rPr>
        <w:t>Rulemaking/Policy Statements</w:t>
      </w:r>
    </w:p>
    <w:p w14:paraId="4E60F663" w14:textId="77777777" w:rsidR="00F7460F" w:rsidRDefault="00F7460F" w:rsidP="00F7460F">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Finally, it is time to consider whether the Board should change its method of </w:t>
      </w:r>
    </w:p>
    <w:p w14:paraId="38839A2F" w14:textId="17B91DFB" w:rsidR="00F7460F" w:rsidRPr="00F7460F" w:rsidRDefault="00F7460F" w:rsidP="00F7460F">
      <w:pPr>
        <w:spacing w:after="0" w:line="480" w:lineRule="auto"/>
        <w:rPr>
          <w:rFonts w:ascii="Times New Roman" w:hAnsi="Times New Roman" w:cs="Times New Roman"/>
          <w:sz w:val="24"/>
          <w:szCs w:val="24"/>
        </w:rPr>
      </w:pPr>
      <w:r>
        <w:rPr>
          <w:rFonts w:ascii="Times New Roman" w:hAnsi="Times New Roman" w:cs="Times New Roman"/>
          <w:sz w:val="24"/>
          <w:szCs w:val="24"/>
        </w:rPr>
        <w:t>policymaking and rely more on rulemaking or guidance documents.</w:t>
      </w:r>
      <w:bookmarkStart w:id="26" w:name="_Ref460689224"/>
      <w:r w:rsidR="00EB4DE9">
        <w:rPr>
          <w:rStyle w:val="FootnoteReference"/>
          <w:rFonts w:ascii="Times New Roman" w:hAnsi="Times New Roman" w:cs="Times New Roman"/>
          <w:sz w:val="24"/>
          <w:szCs w:val="24"/>
        </w:rPr>
        <w:footnoteReference w:id="289"/>
      </w:r>
      <w:bookmarkEnd w:id="26"/>
      <w:r w:rsidR="00EB4DE9">
        <w:rPr>
          <w:rFonts w:ascii="Times New Roman" w:hAnsi="Times New Roman" w:cs="Times New Roman"/>
          <w:sz w:val="24"/>
          <w:szCs w:val="24"/>
        </w:rPr>
        <w:t xml:space="preserve"> </w:t>
      </w:r>
      <w:r w:rsidR="005E15A5">
        <w:rPr>
          <w:rFonts w:ascii="Times New Roman" w:hAnsi="Times New Roman" w:cs="Times New Roman"/>
          <w:sz w:val="24"/>
          <w:szCs w:val="24"/>
        </w:rPr>
        <w:t xml:space="preserve">The Board needs to engage in policymaking, and one questions whether an institutional body acting like a court can ever really be a policymaking body through case-by-case adjudications. We see here that when the Board tries to do that it necessarily infuses its policymaking with case decisions such that it is impossible to draw the line between case decision and policymaking. Case decisions (and statutory interpretation) is so intermixed with policymaking that it is almost impossible for the Board to have any precedents in which to rely on, resulting in confusion before the appellate </w:t>
      </w:r>
      <w:r w:rsidR="005E15A5">
        <w:rPr>
          <w:rFonts w:ascii="Times New Roman" w:hAnsi="Times New Roman" w:cs="Times New Roman"/>
          <w:sz w:val="24"/>
          <w:szCs w:val="24"/>
        </w:rPr>
        <w:lastRenderedPageBreak/>
        <w:t xml:space="preserve">courts, who frequently cite to NLRB caselaw </w:t>
      </w:r>
      <w:r w:rsidR="003E00DA">
        <w:rPr>
          <w:rFonts w:ascii="Times New Roman" w:hAnsi="Times New Roman" w:cs="Times New Roman"/>
          <w:sz w:val="24"/>
          <w:szCs w:val="24"/>
        </w:rPr>
        <w:t>only to find out later that the NLRB changed its law</w:t>
      </w:r>
      <w:r w:rsidR="005E15A5">
        <w:rPr>
          <w:rFonts w:ascii="Times New Roman" w:hAnsi="Times New Roman" w:cs="Times New Roman"/>
          <w:sz w:val="24"/>
          <w:szCs w:val="24"/>
        </w:rPr>
        <w:t>.</w:t>
      </w:r>
      <w:r w:rsidR="003E00DA">
        <w:rPr>
          <w:rStyle w:val="FootnoteReference"/>
          <w:rFonts w:ascii="Times New Roman" w:hAnsi="Times New Roman" w:cs="Times New Roman"/>
          <w:sz w:val="24"/>
          <w:szCs w:val="24"/>
        </w:rPr>
        <w:footnoteReference w:id="290"/>
      </w:r>
      <w:r w:rsidR="005E15A5">
        <w:rPr>
          <w:rFonts w:ascii="Times New Roman" w:hAnsi="Times New Roman" w:cs="Times New Roman"/>
          <w:sz w:val="24"/>
          <w:szCs w:val="24"/>
        </w:rPr>
        <w:t xml:space="preserve"> </w:t>
      </w:r>
    </w:p>
    <w:p w14:paraId="2C67EC4A" w14:textId="4BA9FDDD" w:rsidR="00800118" w:rsidRDefault="005E15A5" w:rsidP="00800118">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The Board could set up a clearer boundary between policymaking and case decisions</w:t>
      </w:r>
    </w:p>
    <w:p w14:paraId="537CF2BB" w14:textId="0CBB9EDC" w:rsidR="005E15A5" w:rsidRPr="005E15A5" w:rsidRDefault="005E15A5" w:rsidP="005E15A5">
      <w:pPr>
        <w:spacing w:after="0" w:line="480" w:lineRule="auto"/>
        <w:rPr>
          <w:rFonts w:ascii="Times New Roman" w:hAnsi="Times New Roman" w:cs="Times New Roman"/>
          <w:sz w:val="24"/>
          <w:szCs w:val="24"/>
        </w:rPr>
      </w:pPr>
      <w:r>
        <w:rPr>
          <w:rFonts w:ascii="Times New Roman" w:hAnsi="Times New Roman" w:cs="Times New Roman"/>
          <w:sz w:val="24"/>
          <w:szCs w:val="24"/>
        </w:rPr>
        <w:t>if it relied more on rulemaking or guidance documents to set forth some of its policy-fused statutory interpretations. For instance, instead of relying on adjudication to define “employee,” the Board could engage in notice-and-comment rulemaking or issue policy statements to set forth clear standards on who falls within the coverage under the Act.</w:t>
      </w:r>
      <w:r>
        <w:rPr>
          <w:rStyle w:val="FootnoteReference"/>
          <w:rFonts w:ascii="Times New Roman" w:hAnsi="Times New Roman" w:cs="Times New Roman"/>
          <w:sz w:val="24"/>
          <w:szCs w:val="24"/>
        </w:rPr>
        <w:footnoteReference w:id="291"/>
      </w:r>
      <w:r w:rsidR="00973BDE">
        <w:rPr>
          <w:rFonts w:ascii="Times New Roman" w:hAnsi="Times New Roman" w:cs="Times New Roman"/>
          <w:sz w:val="24"/>
          <w:szCs w:val="24"/>
        </w:rPr>
        <w:t xml:space="preserve"> In so doing, the Board should adopt “evolving, iterative, [and] practical application[]”  to “effectuate a statutory program” by looking at inputs such as: “technical assessment of on-the ground facts; expert prediction; the policy views of administrators and staff; input from the public, especially from affected interests; political influence and control from the White House and the current Congress; the agency’s own understanding of the statutory provisions in its organic act; and the practical needs of the bureaucracy to manage and enforce a statutory program.”</w:t>
      </w:r>
      <w:r w:rsidR="00973BDE">
        <w:rPr>
          <w:rStyle w:val="FootnoteReference"/>
          <w:rFonts w:ascii="Times New Roman" w:hAnsi="Times New Roman" w:cs="Times New Roman"/>
          <w:sz w:val="24"/>
          <w:szCs w:val="24"/>
        </w:rPr>
        <w:footnoteReference w:id="292"/>
      </w:r>
      <w:r w:rsidR="00973BDE">
        <w:rPr>
          <w:rFonts w:ascii="Times New Roman" w:hAnsi="Times New Roman" w:cs="Times New Roman"/>
          <w:sz w:val="24"/>
          <w:szCs w:val="24"/>
        </w:rPr>
        <w:t xml:space="preserve"> All of these actions could best be accomplished if the Board used rulemaking. Using rulemaking</w:t>
      </w:r>
      <w:r>
        <w:rPr>
          <w:rFonts w:ascii="Times New Roman" w:hAnsi="Times New Roman" w:cs="Times New Roman"/>
          <w:sz w:val="24"/>
          <w:szCs w:val="24"/>
        </w:rPr>
        <w:t xml:space="preserve"> would also bring the NLRB more in line with how most other administrative agencies conduct their business, and offer a chance to use its expertise to collect and analyze information to foster best practices.</w:t>
      </w:r>
      <w:r>
        <w:rPr>
          <w:rStyle w:val="FootnoteReference"/>
          <w:rFonts w:ascii="Times New Roman" w:hAnsi="Times New Roman" w:cs="Times New Roman"/>
          <w:sz w:val="24"/>
          <w:szCs w:val="24"/>
        </w:rPr>
        <w:footnoteReference w:id="293"/>
      </w:r>
      <w:r>
        <w:rPr>
          <w:rFonts w:ascii="Times New Roman" w:hAnsi="Times New Roman" w:cs="Times New Roman"/>
          <w:sz w:val="24"/>
          <w:szCs w:val="24"/>
        </w:rPr>
        <w:t>Appellate courts may be more likely to defer to the rulemaking process because rulemaking by necessity is more inclusive.</w:t>
      </w:r>
      <w:r>
        <w:rPr>
          <w:rStyle w:val="FootnoteReference"/>
          <w:rFonts w:ascii="Times New Roman" w:hAnsi="Times New Roman" w:cs="Times New Roman"/>
          <w:sz w:val="24"/>
          <w:szCs w:val="24"/>
        </w:rPr>
        <w:footnoteReference w:id="294"/>
      </w:r>
      <w:r w:rsidR="001571D4">
        <w:rPr>
          <w:rFonts w:ascii="Times New Roman" w:hAnsi="Times New Roman" w:cs="Times New Roman"/>
          <w:sz w:val="24"/>
          <w:szCs w:val="24"/>
        </w:rPr>
        <w:t xml:space="preserve"> In all, engaging in rulemaking would reduce the propensity of the Board to act like </w:t>
      </w:r>
      <w:r w:rsidR="001571D4">
        <w:rPr>
          <w:rFonts w:ascii="Times New Roman" w:hAnsi="Times New Roman" w:cs="Times New Roman"/>
          <w:sz w:val="24"/>
          <w:szCs w:val="24"/>
        </w:rPr>
        <w:lastRenderedPageBreak/>
        <w:t>lawyers “balancing rights rather than policy analysis studying social and economic regulatory problems.”</w:t>
      </w:r>
      <w:r w:rsidR="001571D4">
        <w:rPr>
          <w:rStyle w:val="FootnoteReference"/>
          <w:rFonts w:ascii="Times New Roman" w:hAnsi="Times New Roman" w:cs="Times New Roman"/>
          <w:sz w:val="24"/>
          <w:szCs w:val="24"/>
        </w:rPr>
        <w:footnoteReference w:id="295"/>
      </w:r>
    </w:p>
    <w:p w14:paraId="6C99BE9D" w14:textId="0CE25D7A" w:rsidR="007C49F7" w:rsidRPr="00EB4DE9" w:rsidRDefault="00E160F0" w:rsidP="00EB4DE9">
      <w:pPr>
        <w:pStyle w:val="ListParagraph"/>
        <w:numPr>
          <w:ilvl w:val="0"/>
          <w:numId w:val="17"/>
        </w:numPr>
        <w:spacing w:after="0" w:line="480" w:lineRule="auto"/>
        <w:rPr>
          <w:rFonts w:ascii="Times New Roman" w:hAnsi="Times New Roman" w:cs="Times New Roman"/>
          <w:b/>
          <w:sz w:val="24"/>
          <w:szCs w:val="24"/>
        </w:rPr>
      </w:pPr>
      <w:r w:rsidRPr="001B4CDA">
        <w:rPr>
          <w:rFonts w:ascii="Times New Roman" w:hAnsi="Times New Roman" w:cs="Times New Roman"/>
          <w:b/>
          <w:sz w:val="24"/>
          <w:szCs w:val="24"/>
        </w:rPr>
        <w:t>How Should Appellate Courts Review the Board?</w:t>
      </w:r>
    </w:p>
    <w:p w14:paraId="3DA59E96" w14:textId="308D4F6C" w:rsidR="00037D8C" w:rsidRDefault="004E0376" w:rsidP="00EB4DE9">
      <w:pPr>
        <w:spacing w:after="0" w:line="480" w:lineRule="auto"/>
        <w:ind w:firstLine="720"/>
        <w:rPr>
          <w:rFonts w:ascii="Times New Roman" w:hAnsi="Times New Roman" w:cs="Times New Roman"/>
          <w:sz w:val="24"/>
          <w:szCs w:val="24"/>
        </w:rPr>
      </w:pPr>
      <w:r w:rsidRPr="00FC6F7D">
        <w:rPr>
          <w:rFonts w:ascii="Times New Roman" w:hAnsi="Times New Roman" w:cs="Times New Roman"/>
          <w:sz w:val="24"/>
          <w:szCs w:val="24"/>
        </w:rPr>
        <w:t xml:space="preserve">The issue also raises concern about the proper scope of judicial review. The </w:t>
      </w:r>
      <w:r w:rsidR="00FD3355">
        <w:rPr>
          <w:rFonts w:ascii="Times New Roman" w:hAnsi="Times New Roman" w:cs="Times New Roman"/>
          <w:sz w:val="24"/>
          <w:szCs w:val="24"/>
        </w:rPr>
        <w:t xml:space="preserve">preliminary </w:t>
      </w:r>
      <w:r w:rsidRPr="00FC6F7D">
        <w:rPr>
          <w:rFonts w:ascii="Times New Roman" w:hAnsi="Times New Roman" w:cs="Times New Roman"/>
          <w:sz w:val="24"/>
          <w:szCs w:val="24"/>
        </w:rPr>
        <w:t xml:space="preserve">results here are troubling, as it indicates the appellate courts </w:t>
      </w:r>
      <w:r w:rsidR="008E11CF">
        <w:rPr>
          <w:rFonts w:ascii="Times New Roman" w:hAnsi="Times New Roman" w:cs="Times New Roman"/>
          <w:sz w:val="24"/>
          <w:szCs w:val="24"/>
        </w:rPr>
        <w:t xml:space="preserve">simply </w:t>
      </w:r>
      <w:r w:rsidRPr="00FC6F7D">
        <w:rPr>
          <w:rFonts w:ascii="Times New Roman" w:hAnsi="Times New Roman" w:cs="Times New Roman"/>
          <w:sz w:val="24"/>
          <w:szCs w:val="24"/>
        </w:rPr>
        <w:t xml:space="preserve">do not merely defer to agencies on their statutory constructions. </w:t>
      </w:r>
      <w:r w:rsidR="00EB4DE9">
        <w:rPr>
          <w:rFonts w:ascii="Times New Roman" w:hAnsi="Times New Roman" w:cs="Times New Roman"/>
          <w:sz w:val="24"/>
          <w:szCs w:val="24"/>
        </w:rPr>
        <w:t>Indeed, it seems like appellate courts do not quite know what to do when they get a statutory case, resulting in “deference practice[s] [being] an unpredictable muddle.”</w:t>
      </w:r>
      <w:r w:rsidR="00EB4DE9">
        <w:rPr>
          <w:rStyle w:val="FootnoteReference"/>
          <w:rFonts w:ascii="Times New Roman" w:hAnsi="Times New Roman" w:cs="Times New Roman"/>
          <w:sz w:val="24"/>
          <w:szCs w:val="24"/>
        </w:rPr>
        <w:footnoteReference w:id="296"/>
      </w:r>
      <w:r w:rsidR="00EB4DE9">
        <w:rPr>
          <w:rFonts w:ascii="Times New Roman" w:hAnsi="Times New Roman" w:cs="Times New Roman"/>
          <w:sz w:val="24"/>
          <w:szCs w:val="24"/>
        </w:rPr>
        <w:t xml:space="preserve"> </w:t>
      </w:r>
      <w:r w:rsidR="008E11CF">
        <w:rPr>
          <w:rFonts w:ascii="Times New Roman" w:hAnsi="Times New Roman" w:cs="Times New Roman"/>
          <w:sz w:val="24"/>
          <w:szCs w:val="24"/>
        </w:rPr>
        <w:t>Although the sample size is limited</w:t>
      </w:r>
      <w:r w:rsidR="001B5AE9">
        <w:rPr>
          <w:rFonts w:ascii="Times New Roman" w:hAnsi="Times New Roman" w:cs="Times New Roman"/>
          <w:sz w:val="24"/>
          <w:szCs w:val="24"/>
        </w:rPr>
        <w:t xml:space="preserve"> and the universe of cases limited to the most important ones</w:t>
      </w:r>
      <w:r w:rsidR="008E11CF">
        <w:rPr>
          <w:rFonts w:ascii="Times New Roman" w:hAnsi="Times New Roman" w:cs="Times New Roman"/>
          <w:sz w:val="24"/>
          <w:szCs w:val="24"/>
        </w:rPr>
        <w:t xml:space="preserve">, it nonetheless </w:t>
      </w:r>
      <w:r w:rsidR="00FD3355">
        <w:rPr>
          <w:rFonts w:ascii="Times New Roman" w:hAnsi="Times New Roman" w:cs="Times New Roman"/>
          <w:sz w:val="24"/>
          <w:szCs w:val="24"/>
        </w:rPr>
        <w:t xml:space="preserve">raises alarm bells </w:t>
      </w:r>
      <w:r w:rsidR="00DB67F0">
        <w:rPr>
          <w:rFonts w:ascii="Times New Roman" w:hAnsi="Times New Roman" w:cs="Times New Roman"/>
          <w:sz w:val="24"/>
          <w:szCs w:val="24"/>
        </w:rPr>
        <w:t>tha</w:t>
      </w:r>
      <w:r w:rsidR="008E11CF">
        <w:rPr>
          <w:rFonts w:ascii="Times New Roman" w:hAnsi="Times New Roman" w:cs="Times New Roman"/>
          <w:sz w:val="24"/>
          <w:szCs w:val="24"/>
        </w:rPr>
        <w:t xml:space="preserve">t in nearly half of the cases courts seem to, in essence, ignore </w:t>
      </w:r>
      <w:r w:rsidR="008E11CF" w:rsidRPr="00BB3578">
        <w:rPr>
          <w:rFonts w:ascii="Times New Roman" w:hAnsi="Times New Roman" w:cs="Times New Roman"/>
          <w:i/>
          <w:sz w:val="24"/>
          <w:szCs w:val="24"/>
        </w:rPr>
        <w:t>Chevron</w:t>
      </w:r>
      <w:r w:rsidR="00EB4DE9">
        <w:rPr>
          <w:rFonts w:ascii="Times New Roman" w:hAnsi="Times New Roman" w:cs="Times New Roman"/>
          <w:sz w:val="24"/>
          <w:szCs w:val="24"/>
        </w:rPr>
        <w:t xml:space="preserve"> and its progeny</w:t>
      </w:r>
      <w:r w:rsidR="008E11CF" w:rsidRPr="00BB3578">
        <w:rPr>
          <w:rFonts w:ascii="Times New Roman" w:hAnsi="Times New Roman" w:cs="Times New Roman"/>
          <w:i/>
          <w:sz w:val="24"/>
          <w:szCs w:val="24"/>
        </w:rPr>
        <w:t xml:space="preserve"> </w:t>
      </w:r>
      <w:r w:rsidR="008E11CF">
        <w:rPr>
          <w:rFonts w:ascii="Times New Roman" w:hAnsi="Times New Roman" w:cs="Times New Roman"/>
          <w:sz w:val="24"/>
          <w:szCs w:val="24"/>
        </w:rPr>
        <w:t xml:space="preserve">and either interpret the statute </w:t>
      </w:r>
      <w:r w:rsidR="008E11CF" w:rsidRPr="00BB3578">
        <w:rPr>
          <w:rFonts w:ascii="Times New Roman" w:hAnsi="Times New Roman" w:cs="Times New Roman"/>
          <w:i/>
          <w:sz w:val="24"/>
          <w:szCs w:val="24"/>
        </w:rPr>
        <w:t>de novo</w:t>
      </w:r>
      <w:r w:rsidR="008E11CF">
        <w:rPr>
          <w:rFonts w:ascii="Times New Roman" w:hAnsi="Times New Roman" w:cs="Times New Roman"/>
          <w:sz w:val="24"/>
          <w:szCs w:val="24"/>
        </w:rPr>
        <w:t xml:space="preserve"> without regard to the agency’s interpretation or rely on improper standards. </w:t>
      </w:r>
      <w:r w:rsidR="00EB4DE9">
        <w:rPr>
          <w:rFonts w:ascii="Times New Roman" w:hAnsi="Times New Roman" w:cs="Times New Roman"/>
          <w:sz w:val="24"/>
          <w:szCs w:val="24"/>
        </w:rPr>
        <w:t xml:space="preserve">Some courts interpret statutory cases using the substantial evidence or even the arbitrary and capricious standard. </w:t>
      </w:r>
      <w:r w:rsidRPr="00FC6F7D">
        <w:rPr>
          <w:rFonts w:ascii="Times New Roman" w:hAnsi="Times New Roman" w:cs="Times New Roman"/>
          <w:sz w:val="24"/>
          <w:szCs w:val="24"/>
        </w:rPr>
        <w:t>Somewhere there is a mix-match. This raises the question: if statutory construction is primarily based on</w:t>
      </w:r>
      <w:r w:rsidR="00973BDE">
        <w:rPr>
          <w:rFonts w:ascii="Times New Roman" w:hAnsi="Times New Roman" w:cs="Times New Roman"/>
          <w:sz w:val="24"/>
          <w:szCs w:val="24"/>
        </w:rPr>
        <w:t xml:space="preserve"> statutory</w:t>
      </w:r>
      <w:r w:rsidRPr="00FC6F7D">
        <w:rPr>
          <w:rFonts w:ascii="Times New Roman" w:hAnsi="Times New Roman" w:cs="Times New Roman"/>
          <w:sz w:val="24"/>
          <w:szCs w:val="24"/>
        </w:rPr>
        <w:t xml:space="preserve"> “purpose,” how should reviewing courts apply judicial review? Is the current standard of </w:t>
      </w:r>
      <w:r w:rsidRPr="00FC6F7D">
        <w:rPr>
          <w:rFonts w:ascii="Times New Roman" w:hAnsi="Times New Roman" w:cs="Times New Roman"/>
          <w:i/>
          <w:sz w:val="24"/>
          <w:szCs w:val="24"/>
        </w:rPr>
        <w:t>Chevron</w:t>
      </w:r>
      <w:r w:rsidRPr="00FC6F7D">
        <w:rPr>
          <w:rFonts w:ascii="Times New Roman" w:hAnsi="Times New Roman" w:cs="Times New Roman"/>
          <w:sz w:val="24"/>
          <w:szCs w:val="24"/>
        </w:rPr>
        <w:t xml:space="preserve"> deference appropriate</w:t>
      </w:r>
      <w:r w:rsidR="00FD3355">
        <w:rPr>
          <w:rFonts w:ascii="Times New Roman" w:hAnsi="Times New Roman" w:cs="Times New Roman"/>
          <w:sz w:val="24"/>
          <w:szCs w:val="24"/>
        </w:rPr>
        <w:t xml:space="preserve">? </w:t>
      </w:r>
      <w:r w:rsidRPr="00FC6F7D">
        <w:rPr>
          <w:rFonts w:ascii="Times New Roman" w:hAnsi="Times New Roman" w:cs="Times New Roman"/>
          <w:sz w:val="24"/>
          <w:szCs w:val="24"/>
        </w:rPr>
        <w:t>A purposive approach to agency statutory interpretation gives considerably more discretion to an agency, akin to “lawmaking power” to construe the statute.</w:t>
      </w:r>
      <w:r w:rsidRPr="00FC6F7D">
        <w:rPr>
          <w:rStyle w:val="FootnoteReference"/>
          <w:rFonts w:ascii="Times New Roman" w:hAnsi="Times New Roman" w:cs="Times New Roman"/>
          <w:sz w:val="24"/>
          <w:szCs w:val="24"/>
        </w:rPr>
        <w:footnoteReference w:id="297"/>
      </w:r>
      <w:r w:rsidR="004E139A">
        <w:rPr>
          <w:rFonts w:ascii="Times New Roman" w:hAnsi="Times New Roman" w:cs="Times New Roman"/>
          <w:sz w:val="24"/>
          <w:szCs w:val="24"/>
        </w:rPr>
        <w:t xml:space="preserve"> Given the confusing way in which </w:t>
      </w:r>
      <w:r w:rsidR="004E139A" w:rsidRPr="00BB3578">
        <w:rPr>
          <w:rFonts w:ascii="Times New Roman" w:hAnsi="Times New Roman" w:cs="Times New Roman"/>
          <w:i/>
          <w:sz w:val="24"/>
          <w:szCs w:val="24"/>
        </w:rPr>
        <w:t>Chevron</w:t>
      </w:r>
      <w:r w:rsidR="004E139A">
        <w:rPr>
          <w:rFonts w:ascii="Times New Roman" w:hAnsi="Times New Roman" w:cs="Times New Roman"/>
          <w:sz w:val="24"/>
          <w:szCs w:val="24"/>
        </w:rPr>
        <w:t xml:space="preserve"> or its progeny have been applied in the courts,</w:t>
      </w:r>
      <w:bookmarkStart w:id="27" w:name="_Ref460640352"/>
      <w:r w:rsidR="00611729">
        <w:rPr>
          <w:rStyle w:val="FootnoteReference"/>
          <w:rFonts w:ascii="Times New Roman" w:hAnsi="Times New Roman" w:cs="Times New Roman"/>
          <w:sz w:val="24"/>
          <w:szCs w:val="24"/>
        </w:rPr>
        <w:footnoteReference w:id="298"/>
      </w:r>
      <w:bookmarkEnd w:id="27"/>
      <w:r w:rsidR="00973BDE">
        <w:rPr>
          <w:rFonts w:ascii="Times New Roman" w:hAnsi="Times New Roman" w:cs="Times New Roman"/>
          <w:sz w:val="24"/>
          <w:szCs w:val="24"/>
        </w:rPr>
        <w:t xml:space="preserve"> courts should abandon it and adopt the arbitrary and capricious standard.</w:t>
      </w:r>
      <w:r w:rsidR="00037D8C">
        <w:rPr>
          <w:rFonts w:ascii="Times New Roman" w:hAnsi="Times New Roman" w:cs="Times New Roman"/>
          <w:sz w:val="24"/>
          <w:szCs w:val="24"/>
        </w:rPr>
        <w:t xml:space="preserve"> </w:t>
      </w:r>
    </w:p>
    <w:p w14:paraId="0B0C404C" w14:textId="3683A8B0" w:rsidR="00573A5C" w:rsidRDefault="007264BB" w:rsidP="00573A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Elizabeth Foote argues, </w:t>
      </w:r>
      <w:r w:rsidR="007C49F7" w:rsidRPr="007264BB">
        <w:rPr>
          <w:rFonts w:ascii="Times New Roman" w:hAnsi="Times New Roman" w:cs="Times New Roman"/>
          <w:i/>
          <w:sz w:val="24"/>
          <w:szCs w:val="24"/>
        </w:rPr>
        <w:t>Chevron</w:t>
      </w:r>
      <w:r w:rsidR="007C49F7">
        <w:rPr>
          <w:rFonts w:ascii="Times New Roman" w:hAnsi="Times New Roman" w:cs="Times New Roman"/>
          <w:sz w:val="24"/>
          <w:szCs w:val="24"/>
        </w:rPr>
        <w:t xml:space="preserve"> misinterprets the nature of agency work as statutory interpretation as opposed to public administration.</w:t>
      </w:r>
      <w:r w:rsidR="007C49F7">
        <w:rPr>
          <w:rStyle w:val="FootnoteReference"/>
          <w:rFonts w:ascii="Times New Roman" w:hAnsi="Times New Roman" w:cs="Times New Roman"/>
          <w:sz w:val="24"/>
          <w:szCs w:val="24"/>
        </w:rPr>
        <w:footnoteReference w:id="299"/>
      </w:r>
      <w:r w:rsidR="00B142C2">
        <w:rPr>
          <w:rFonts w:ascii="Times New Roman" w:hAnsi="Times New Roman" w:cs="Times New Roman"/>
          <w:sz w:val="24"/>
          <w:szCs w:val="24"/>
        </w:rPr>
        <w:t xml:space="preserve"> </w:t>
      </w:r>
      <w:r>
        <w:rPr>
          <w:rFonts w:ascii="Times New Roman" w:hAnsi="Times New Roman" w:cs="Times New Roman"/>
          <w:sz w:val="24"/>
          <w:szCs w:val="24"/>
        </w:rPr>
        <w:t>A</w:t>
      </w:r>
      <w:r w:rsidR="00B142C2">
        <w:rPr>
          <w:rFonts w:ascii="Times New Roman" w:hAnsi="Times New Roman" w:cs="Times New Roman"/>
          <w:sz w:val="24"/>
          <w:szCs w:val="24"/>
        </w:rPr>
        <w:t xml:space="preserve">gencies are very different from courts in that </w:t>
      </w:r>
      <w:r w:rsidR="00400261">
        <w:rPr>
          <w:rFonts w:ascii="Times New Roman" w:hAnsi="Times New Roman" w:cs="Times New Roman"/>
          <w:sz w:val="24"/>
          <w:szCs w:val="24"/>
        </w:rPr>
        <w:t>agencies must “implement public policies through operational programs.”</w:t>
      </w:r>
      <w:r w:rsidR="00400261">
        <w:rPr>
          <w:rStyle w:val="FootnoteReference"/>
          <w:rFonts w:ascii="Times New Roman" w:hAnsi="Times New Roman" w:cs="Times New Roman"/>
          <w:sz w:val="24"/>
          <w:szCs w:val="24"/>
        </w:rPr>
        <w:footnoteReference w:id="300"/>
      </w:r>
      <w:r w:rsidR="00573A5C">
        <w:rPr>
          <w:rFonts w:ascii="Times New Roman" w:hAnsi="Times New Roman" w:cs="Times New Roman"/>
          <w:sz w:val="24"/>
          <w:szCs w:val="24"/>
        </w:rPr>
        <w:t xml:space="preserve"> The current practice of dissecting linguistic meaning, for instance “undermines the purposeful perspective and policy orientation of administrative agencies when they work with statutory text in developing expert policy or applying law to fact. Agencies make connections and think about features in differe</w:t>
      </w:r>
      <w:r w:rsidR="0007447F">
        <w:rPr>
          <w:rFonts w:ascii="Times New Roman" w:hAnsi="Times New Roman" w:cs="Times New Roman"/>
          <w:sz w:val="24"/>
          <w:szCs w:val="24"/>
        </w:rPr>
        <w:t>n</w:t>
      </w:r>
      <w:r w:rsidR="00573A5C">
        <w:rPr>
          <w:rFonts w:ascii="Times New Roman" w:hAnsi="Times New Roman" w:cs="Times New Roman"/>
          <w:sz w:val="24"/>
          <w:szCs w:val="24"/>
        </w:rPr>
        <w:t>t ways… with their own institutional mixture of expertise, policy, politics, and management and enforcement concerns.”</w:t>
      </w:r>
      <w:r w:rsidR="00573A5C">
        <w:rPr>
          <w:rStyle w:val="FootnoteReference"/>
          <w:rFonts w:ascii="Times New Roman" w:hAnsi="Times New Roman" w:cs="Times New Roman"/>
          <w:sz w:val="24"/>
          <w:szCs w:val="24"/>
        </w:rPr>
        <w:footnoteReference w:id="301"/>
      </w:r>
      <w:r w:rsidR="00573A5C">
        <w:rPr>
          <w:rFonts w:ascii="Times New Roman" w:hAnsi="Times New Roman" w:cs="Times New Roman"/>
          <w:sz w:val="24"/>
          <w:szCs w:val="24"/>
        </w:rPr>
        <w:t xml:space="preserve">  </w:t>
      </w:r>
    </w:p>
    <w:p w14:paraId="3176AB14" w14:textId="6304929D" w:rsidR="00963C62" w:rsidRDefault="0007447F" w:rsidP="001D4A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w:t>
      </w:r>
      <w:r>
        <w:rPr>
          <w:rFonts w:ascii="Times New Roman" w:hAnsi="Times New Roman" w:cs="Times New Roman"/>
          <w:i/>
          <w:sz w:val="24"/>
          <w:szCs w:val="24"/>
        </w:rPr>
        <w:t>Chevron</w:t>
      </w:r>
      <w:r>
        <w:rPr>
          <w:rFonts w:ascii="Times New Roman" w:hAnsi="Times New Roman" w:cs="Times New Roman"/>
          <w:sz w:val="24"/>
          <w:szCs w:val="24"/>
        </w:rPr>
        <w:t>, courts used the arbitrary and capricious test or its close relative, the substantial evidence test, to oversee agency implementation of statutory directives.</w:t>
      </w:r>
      <w:r>
        <w:rPr>
          <w:rStyle w:val="FootnoteReference"/>
          <w:rFonts w:ascii="Times New Roman" w:hAnsi="Times New Roman" w:cs="Times New Roman"/>
          <w:sz w:val="24"/>
          <w:szCs w:val="24"/>
        </w:rPr>
        <w:footnoteReference w:id="302"/>
      </w:r>
      <w:r w:rsidR="00973BDE">
        <w:rPr>
          <w:rFonts w:ascii="Times New Roman" w:hAnsi="Times New Roman" w:cs="Times New Roman"/>
          <w:sz w:val="24"/>
          <w:szCs w:val="24"/>
        </w:rPr>
        <w:t xml:space="preserve"> </w:t>
      </w:r>
      <w:r>
        <w:rPr>
          <w:rFonts w:ascii="Times New Roman" w:hAnsi="Times New Roman" w:cs="Times New Roman"/>
          <w:sz w:val="24"/>
          <w:szCs w:val="24"/>
        </w:rPr>
        <w:t>Under this standard, the court looked at the completeness of the administrative record, how the agency evaluated and weighed statutory factors and how well-reasoned the agency’s opinion was.</w:t>
      </w:r>
      <w:r>
        <w:rPr>
          <w:rStyle w:val="FootnoteReference"/>
          <w:rFonts w:ascii="Times New Roman" w:hAnsi="Times New Roman" w:cs="Times New Roman"/>
          <w:sz w:val="24"/>
          <w:szCs w:val="24"/>
        </w:rPr>
        <w:footnoteReference w:id="303"/>
      </w:r>
      <w:r>
        <w:rPr>
          <w:rFonts w:ascii="Times New Roman" w:hAnsi="Times New Roman" w:cs="Times New Roman"/>
          <w:sz w:val="24"/>
          <w:szCs w:val="24"/>
        </w:rPr>
        <w:t xml:space="preserve">  “The pre-</w:t>
      </w:r>
      <w:r>
        <w:rPr>
          <w:rFonts w:ascii="Times New Roman" w:hAnsi="Times New Roman" w:cs="Times New Roman"/>
          <w:i/>
          <w:sz w:val="24"/>
          <w:szCs w:val="24"/>
        </w:rPr>
        <w:t>Chevron</w:t>
      </w:r>
      <w:r>
        <w:rPr>
          <w:rFonts w:ascii="Times New Roman" w:hAnsi="Times New Roman" w:cs="Times New Roman"/>
          <w:sz w:val="24"/>
          <w:szCs w:val="24"/>
        </w:rPr>
        <w:t xml:space="preserve"> court did not assess administrative action as if it were a judicial-style exercise in text-parsing and a neutral parsing of legislative history.”</w:t>
      </w:r>
      <w:r>
        <w:rPr>
          <w:rStyle w:val="FootnoteReference"/>
          <w:rFonts w:ascii="Times New Roman" w:hAnsi="Times New Roman" w:cs="Times New Roman"/>
          <w:sz w:val="24"/>
          <w:szCs w:val="24"/>
        </w:rPr>
        <w:footnoteReference w:id="304"/>
      </w:r>
      <w:r w:rsidR="00963C62">
        <w:rPr>
          <w:rFonts w:ascii="Times New Roman" w:hAnsi="Times New Roman" w:cs="Times New Roman"/>
          <w:sz w:val="24"/>
          <w:szCs w:val="24"/>
        </w:rPr>
        <w:t xml:space="preserve"> Returning to this standard seems most compatible with a purposive-driven approach to statutory interpretation. Moreover, under the current standard, Chevron step 1 gives the agency no discretion to interpret statutory language that is unambiguous. As such, when the NLRB interprets statute, although it does not do this expressly, it tries to improperly fit the language within Chevron step 1.</w:t>
      </w:r>
      <w:r w:rsidR="00963C62">
        <w:rPr>
          <w:rStyle w:val="FootnoteReference"/>
          <w:rFonts w:ascii="Times New Roman" w:hAnsi="Times New Roman" w:cs="Times New Roman"/>
          <w:sz w:val="24"/>
          <w:szCs w:val="24"/>
        </w:rPr>
        <w:footnoteReference w:id="305"/>
      </w:r>
      <w:r w:rsidR="00963C62">
        <w:rPr>
          <w:rFonts w:ascii="Times New Roman" w:hAnsi="Times New Roman" w:cs="Times New Roman"/>
          <w:sz w:val="24"/>
          <w:szCs w:val="24"/>
        </w:rPr>
        <w:t xml:space="preserve"> It disguises its policymaking as Chevron step 1 statutory interpretation, resulting later in confusion before the appellate courts and </w:t>
      </w:r>
      <w:r w:rsidR="00963C62">
        <w:rPr>
          <w:rFonts w:ascii="Times New Roman" w:hAnsi="Times New Roman" w:cs="Times New Roman"/>
          <w:sz w:val="24"/>
          <w:szCs w:val="24"/>
        </w:rPr>
        <w:lastRenderedPageBreak/>
        <w:t>resulting in many cases being overturned on appeal. Indeed, the focus of judicial review is on the ambiguousness of the text, rather than the wisdom and evidence underlying the agency’s choice of policy. A standard of review that better considers the Board’s policymaking inclinations would better serve the agency and the public as the Board could use its policymaking abilities to choose an</w:t>
      </w:r>
      <w:r w:rsidR="00963C62" w:rsidRPr="00FC6F7D">
        <w:rPr>
          <w:rFonts w:ascii="Times New Roman" w:hAnsi="Times New Roman" w:cs="Times New Roman"/>
          <w:sz w:val="24"/>
          <w:szCs w:val="24"/>
        </w:rPr>
        <w:t xml:space="preserve"> interpretation that would reduce strikes and other forms of industrial strife and increase employee bargaining power to raise wages.</w:t>
      </w:r>
      <w:r w:rsidR="00963C62">
        <w:rPr>
          <w:rStyle w:val="FootnoteReference"/>
          <w:rFonts w:ascii="Times New Roman" w:hAnsi="Times New Roman" w:cs="Times New Roman"/>
          <w:sz w:val="24"/>
          <w:szCs w:val="24"/>
        </w:rPr>
        <w:footnoteReference w:id="306"/>
      </w:r>
      <w:r w:rsidR="001D4A14">
        <w:rPr>
          <w:rFonts w:ascii="Times New Roman" w:hAnsi="Times New Roman" w:cs="Times New Roman"/>
          <w:sz w:val="24"/>
          <w:szCs w:val="24"/>
        </w:rPr>
        <w:t xml:space="preserve"> As such, the appellate courts could better judge the sufficiency of the evidence on the agency’s policy choices.</w:t>
      </w:r>
      <w:r w:rsidR="00B20FD7">
        <w:rPr>
          <w:rFonts w:ascii="Times New Roman" w:hAnsi="Times New Roman" w:cs="Times New Roman"/>
          <w:sz w:val="24"/>
          <w:szCs w:val="24"/>
        </w:rPr>
        <w:t xml:space="preserve">  As scholar Michael Harper put it, </w:t>
      </w:r>
      <w:r w:rsidR="00B20FD7">
        <w:rPr>
          <w:rFonts w:ascii="Times New Roman" w:hAnsi="Times New Roman" w:cs="Times New Roman"/>
          <w:sz w:val="24"/>
          <w:szCs w:val="24"/>
        </w:rPr>
        <w:br/>
        <w:t>“the courts can demand that the Board justify the creation of new legal doctrine with more than a claim that the new doctrine offers a plausible interpretation of ambiguous statutory language” as the courts can mandate that the Board “explain how the new doctrine better advances goals and interests accommodated by the Labor Act…”</w:t>
      </w:r>
      <w:r w:rsidR="00B20FD7">
        <w:rPr>
          <w:rStyle w:val="FootnoteReference"/>
          <w:rFonts w:ascii="Times New Roman" w:hAnsi="Times New Roman" w:cs="Times New Roman"/>
          <w:sz w:val="24"/>
          <w:szCs w:val="24"/>
        </w:rPr>
        <w:footnoteReference w:id="307"/>
      </w:r>
      <w:r w:rsidR="00E36F7F">
        <w:rPr>
          <w:rFonts w:ascii="Times New Roman" w:hAnsi="Times New Roman" w:cs="Times New Roman"/>
          <w:sz w:val="24"/>
          <w:szCs w:val="24"/>
        </w:rPr>
        <w:t xml:space="preserve"> Such a review may serve to slow the frequent flip-flops in policy at the Board as courts would focus review on how the Board undertook its policymaking role rather than what the text or legislative history says.</w:t>
      </w:r>
      <w:r w:rsidR="00E36F7F">
        <w:rPr>
          <w:rStyle w:val="FootnoteReference"/>
          <w:rFonts w:ascii="Times New Roman" w:hAnsi="Times New Roman" w:cs="Times New Roman"/>
          <w:sz w:val="24"/>
          <w:szCs w:val="24"/>
        </w:rPr>
        <w:footnoteReference w:id="308"/>
      </w:r>
    </w:p>
    <w:p w14:paraId="1D085A5C" w14:textId="7AB29E7A" w:rsidR="00D810DA" w:rsidRPr="00963C62" w:rsidRDefault="008F573D" w:rsidP="00963C62">
      <w:pPr>
        <w:spacing w:after="0" w:line="480" w:lineRule="auto"/>
        <w:jc w:val="both"/>
        <w:rPr>
          <w:rFonts w:ascii="Times New Roman" w:hAnsi="Times New Roman" w:cs="Times New Roman"/>
          <w:sz w:val="24"/>
          <w:szCs w:val="24"/>
        </w:rPr>
      </w:pPr>
      <w:r w:rsidRPr="008F573D">
        <w:rPr>
          <w:rFonts w:ascii="Times New Roman" w:hAnsi="Times New Roman" w:cs="Times New Roman"/>
          <w:b/>
          <w:sz w:val="24"/>
          <w:szCs w:val="24"/>
        </w:rPr>
        <w:t>Conclusion</w:t>
      </w:r>
    </w:p>
    <w:p w14:paraId="3C83D256" w14:textId="0A36D3BA" w:rsidR="00235E02" w:rsidRPr="006664CB" w:rsidRDefault="008F573D" w:rsidP="00CF6AF3">
      <w:pPr>
        <w:spacing w:after="0" w:line="480" w:lineRule="auto"/>
        <w:ind w:firstLine="720"/>
      </w:pPr>
      <w:r>
        <w:rPr>
          <w:rFonts w:ascii="Times New Roman" w:hAnsi="Times New Roman" w:cs="Times New Roman"/>
          <w:sz w:val="24"/>
          <w:szCs w:val="24"/>
        </w:rPr>
        <w:t xml:space="preserve">Formed during the New Deal, the NLRB </w:t>
      </w:r>
      <w:r w:rsidR="004E139A">
        <w:rPr>
          <w:rFonts w:ascii="Times New Roman" w:hAnsi="Times New Roman" w:cs="Times New Roman"/>
          <w:sz w:val="24"/>
          <w:szCs w:val="24"/>
        </w:rPr>
        <w:t xml:space="preserve">of 2016 </w:t>
      </w:r>
      <w:r>
        <w:rPr>
          <w:rFonts w:ascii="Times New Roman" w:hAnsi="Times New Roman" w:cs="Times New Roman"/>
          <w:sz w:val="24"/>
          <w:szCs w:val="24"/>
        </w:rPr>
        <w:t xml:space="preserve">is at its heart a policymaking body behaving like a court. </w:t>
      </w:r>
      <w:r w:rsidR="00660856">
        <w:rPr>
          <w:rFonts w:ascii="Times New Roman" w:hAnsi="Times New Roman" w:cs="Times New Roman"/>
          <w:sz w:val="24"/>
          <w:szCs w:val="24"/>
        </w:rPr>
        <w:t xml:space="preserve">We </w:t>
      </w:r>
      <w:r>
        <w:rPr>
          <w:rFonts w:ascii="Times New Roman" w:hAnsi="Times New Roman" w:cs="Times New Roman"/>
          <w:sz w:val="24"/>
          <w:szCs w:val="24"/>
        </w:rPr>
        <w:t xml:space="preserve">might expect statutory interpretation to be different at </w:t>
      </w:r>
      <w:r w:rsidR="0032159B">
        <w:rPr>
          <w:rFonts w:ascii="Times New Roman" w:hAnsi="Times New Roman" w:cs="Times New Roman"/>
          <w:sz w:val="24"/>
          <w:szCs w:val="24"/>
        </w:rPr>
        <w:t>an agency than at a court.</w:t>
      </w:r>
      <w:r w:rsidR="006664CB">
        <w:rPr>
          <w:rStyle w:val="FootnoteReference"/>
          <w:rFonts w:ascii="Times New Roman" w:hAnsi="Times New Roman" w:cs="Times New Roman"/>
          <w:sz w:val="24"/>
          <w:szCs w:val="24"/>
        </w:rPr>
        <w:footnoteReference w:id="309"/>
      </w:r>
      <w:r w:rsidR="0032159B">
        <w:rPr>
          <w:rFonts w:ascii="Times New Roman" w:hAnsi="Times New Roman" w:cs="Times New Roman"/>
          <w:sz w:val="24"/>
          <w:szCs w:val="24"/>
        </w:rPr>
        <w:t xml:space="preserve"> </w:t>
      </w:r>
      <w:r w:rsidR="00660856">
        <w:rPr>
          <w:rFonts w:ascii="Times New Roman" w:hAnsi="Times New Roman" w:cs="Times New Roman"/>
          <w:sz w:val="24"/>
          <w:szCs w:val="24"/>
        </w:rPr>
        <w:t>As Adrian Vermeule argues, agencies’ institutional position justifies different interpretive measures.</w:t>
      </w:r>
      <w:r w:rsidR="00660856">
        <w:rPr>
          <w:rStyle w:val="FootnoteReference"/>
          <w:rFonts w:ascii="Times New Roman" w:hAnsi="Times New Roman" w:cs="Times New Roman"/>
          <w:sz w:val="24"/>
          <w:szCs w:val="24"/>
        </w:rPr>
        <w:footnoteReference w:id="310"/>
      </w:r>
      <w:r w:rsidR="00660856">
        <w:rPr>
          <w:rFonts w:ascii="Times New Roman" w:hAnsi="Times New Roman" w:cs="Times New Roman"/>
          <w:sz w:val="24"/>
          <w:szCs w:val="24"/>
        </w:rPr>
        <w:t xml:space="preserve"> </w:t>
      </w:r>
      <w:r>
        <w:rPr>
          <w:rFonts w:ascii="Times New Roman" w:hAnsi="Times New Roman" w:cs="Times New Roman"/>
          <w:sz w:val="24"/>
          <w:szCs w:val="24"/>
        </w:rPr>
        <w:t xml:space="preserve">For instance, an agency has to be responsive to political principals </w:t>
      </w:r>
      <w:r>
        <w:rPr>
          <w:rFonts w:ascii="Times New Roman" w:hAnsi="Times New Roman" w:cs="Times New Roman"/>
          <w:sz w:val="24"/>
          <w:szCs w:val="24"/>
        </w:rPr>
        <w:lastRenderedPageBreak/>
        <w:t>while a court must focus on achieving coherence to the law.</w:t>
      </w:r>
      <w:r w:rsidR="006664CB">
        <w:rPr>
          <w:rStyle w:val="FootnoteReference"/>
          <w:rFonts w:ascii="Times New Roman" w:hAnsi="Times New Roman" w:cs="Times New Roman"/>
          <w:sz w:val="24"/>
          <w:szCs w:val="24"/>
        </w:rPr>
        <w:footnoteReference w:id="311"/>
      </w:r>
      <w:r>
        <w:rPr>
          <w:rFonts w:ascii="Times New Roman" w:hAnsi="Times New Roman" w:cs="Times New Roman"/>
          <w:sz w:val="24"/>
          <w:szCs w:val="24"/>
        </w:rPr>
        <w:t xml:space="preserve"> The fact that the NLRB frequently flip-flops on issues when presidential administrations change is something we should expect in a</w:t>
      </w:r>
      <w:r w:rsidR="00DB67F0">
        <w:rPr>
          <w:rFonts w:ascii="Times New Roman" w:hAnsi="Times New Roman" w:cs="Times New Roman"/>
          <w:sz w:val="24"/>
          <w:szCs w:val="24"/>
        </w:rPr>
        <w:t xml:space="preserve"> democratic system. As such, </w:t>
      </w:r>
      <w:r w:rsidR="006664CB">
        <w:rPr>
          <w:rFonts w:ascii="Times New Roman" w:hAnsi="Times New Roman" w:cs="Times New Roman"/>
          <w:sz w:val="24"/>
          <w:szCs w:val="24"/>
        </w:rPr>
        <w:t xml:space="preserve">we should embrace the NLRB (and administrative agencies generally) as policymaking adjudicators and accept that the way that the Board may interpret statutes may very well differ from the way a rights-protecting court may analyze statutory text. In order to fulfill its role as a policymaking body, </w:t>
      </w:r>
      <w:r w:rsidR="00DB67F0">
        <w:rPr>
          <w:rFonts w:ascii="Times New Roman" w:hAnsi="Times New Roman" w:cs="Times New Roman"/>
          <w:sz w:val="24"/>
          <w:szCs w:val="24"/>
        </w:rPr>
        <w:t xml:space="preserve">the Board </w:t>
      </w:r>
      <w:r>
        <w:rPr>
          <w:rFonts w:ascii="Times New Roman" w:hAnsi="Times New Roman" w:cs="Times New Roman"/>
          <w:sz w:val="24"/>
          <w:szCs w:val="24"/>
        </w:rPr>
        <w:t>should adapt its technique of statutory interpretation to fully embrace its role as a policymaking body and to better guide judicial review. As it currently stands, the Board makes ideological decisions dressed up in the language courts want to hear, yet, it turns out, when the court actually gets a chance to review, it frequently overturns what the Board rules</w:t>
      </w:r>
      <w:r w:rsidR="00242CEB">
        <w:rPr>
          <w:rFonts w:ascii="Times New Roman" w:hAnsi="Times New Roman" w:cs="Times New Roman"/>
          <w:sz w:val="24"/>
          <w:szCs w:val="24"/>
        </w:rPr>
        <w:t xml:space="preserve"> anyway</w:t>
      </w:r>
      <w:r>
        <w:rPr>
          <w:rFonts w:ascii="Times New Roman" w:hAnsi="Times New Roman" w:cs="Times New Roman"/>
          <w:sz w:val="24"/>
          <w:szCs w:val="24"/>
        </w:rPr>
        <w:t>. Such a system is not what we want in a democratic system. Rather, the Board should make more transparent what factors it relies on for its policymaking</w:t>
      </w:r>
      <w:r w:rsidR="0032159B">
        <w:rPr>
          <w:rFonts w:ascii="Times New Roman" w:hAnsi="Times New Roman" w:cs="Times New Roman"/>
          <w:sz w:val="24"/>
          <w:szCs w:val="24"/>
        </w:rPr>
        <w:t>.</w:t>
      </w:r>
      <w:r w:rsidR="004E139A">
        <w:rPr>
          <w:rFonts w:ascii="Times New Roman" w:hAnsi="Times New Roman" w:cs="Times New Roman"/>
          <w:sz w:val="24"/>
          <w:szCs w:val="24"/>
        </w:rPr>
        <w:t xml:space="preserve"> </w:t>
      </w:r>
      <w:r w:rsidR="006664CB">
        <w:rPr>
          <w:rFonts w:ascii="Times New Roman" w:hAnsi="Times New Roman" w:cs="Times New Roman"/>
          <w:sz w:val="24"/>
          <w:szCs w:val="24"/>
        </w:rPr>
        <w:t xml:space="preserve">It should make more explicit the policymaking aspects of its decisions and rely and weigh more expert evidence on the ramifications of its rulings. </w:t>
      </w:r>
      <w:r w:rsidR="004E139A">
        <w:rPr>
          <w:rFonts w:ascii="Times New Roman" w:hAnsi="Times New Roman" w:cs="Times New Roman"/>
          <w:sz w:val="24"/>
          <w:szCs w:val="24"/>
        </w:rPr>
        <w:t xml:space="preserve">Courts in turn should rework the </w:t>
      </w:r>
      <w:r w:rsidR="004E139A" w:rsidRPr="00242CEB">
        <w:rPr>
          <w:rFonts w:ascii="Times New Roman" w:hAnsi="Times New Roman" w:cs="Times New Roman"/>
          <w:i/>
          <w:sz w:val="24"/>
          <w:szCs w:val="24"/>
        </w:rPr>
        <w:t>Chevron</w:t>
      </w:r>
      <w:r w:rsidR="004E139A">
        <w:rPr>
          <w:rFonts w:ascii="Times New Roman" w:hAnsi="Times New Roman" w:cs="Times New Roman"/>
          <w:sz w:val="24"/>
          <w:szCs w:val="24"/>
        </w:rPr>
        <w:t xml:space="preserve"> framework, and defer more to agency’s expert capabilities by revi</w:t>
      </w:r>
      <w:r w:rsidR="00FD3355">
        <w:rPr>
          <w:rFonts w:ascii="Times New Roman" w:hAnsi="Times New Roman" w:cs="Times New Roman"/>
          <w:sz w:val="24"/>
          <w:szCs w:val="24"/>
        </w:rPr>
        <w:t xml:space="preserve">ewing decisions under the more deferential </w:t>
      </w:r>
      <w:r w:rsidR="004E139A">
        <w:rPr>
          <w:rFonts w:ascii="Times New Roman" w:hAnsi="Times New Roman" w:cs="Times New Roman"/>
          <w:sz w:val="24"/>
          <w:szCs w:val="24"/>
        </w:rPr>
        <w:t>arbitrary and capri</w:t>
      </w:r>
      <w:r w:rsidR="00242CEB">
        <w:rPr>
          <w:rFonts w:ascii="Times New Roman" w:hAnsi="Times New Roman" w:cs="Times New Roman"/>
          <w:sz w:val="24"/>
          <w:szCs w:val="24"/>
        </w:rPr>
        <w:t>ci</w:t>
      </w:r>
      <w:r w:rsidR="004E139A">
        <w:rPr>
          <w:rFonts w:ascii="Times New Roman" w:hAnsi="Times New Roman" w:cs="Times New Roman"/>
          <w:sz w:val="24"/>
          <w:szCs w:val="24"/>
        </w:rPr>
        <w:t xml:space="preserve">ous standard that was in existence prior to the </w:t>
      </w:r>
      <w:r w:rsidR="004E139A" w:rsidRPr="00242CEB">
        <w:rPr>
          <w:rFonts w:ascii="Times New Roman" w:hAnsi="Times New Roman" w:cs="Times New Roman"/>
          <w:i/>
          <w:sz w:val="24"/>
          <w:szCs w:val="24"/>
        </w:rPr>
        <w:t>Chevron</w:t>
      </w:r>
      <w:r w:rsidR="00CF6AF3">
        <w:rPr>
          <w:rFonts w:ascii="Times New Roman" w:hAnsi="Times New Roman" w:cs="Times New Roman"/>
          <w:sz w:val="24"/>
          <w:szCs w:val="24"/>
        </w:rPr>
        <w:t xml:space="preserve"> decision.</w:t>
      </w:r>
      <w:r w:rsidR="006664CB">
        <w:rPr>
          <w:rFonts w:ascii="Times New Roman" w:hAnsi="Times New Roman" w:cs="Times New Roman"/>
          <w:sz w:val="24"/>
          <w:szCs w:val="24"/>
        </w:rPr>
        <w:t xml:space="preserve"> </w:t>
      </w:r>
    </w:p>
    <w:p w14:paraId="0CE1F621" w14:textId="4F0BD31E" w:rsidR="00B04877" w:rsidRDefault="00B04877" w:rsidP="00CF6AF3">
      <w:pPr>
        <w:spacing w:after="0" w:line="480" w:lineRule="auto"/>
        <w:ind w:firstLine="720"/>
        <w:rPr>
          <w:rFonts w:ascii="Times New Roman" w:hAnsi="Times New Roman" w:cs="Times New Roman"/>
          <w:sz w:val="24"/>
          <w:szCs w:val="24"/>
        </w:rPr>
      </w:pPr>
    </w:p>
    <w:sectPr w:rsidR="00B04877" w:rsidSect="001D4A36">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5BB4" w14:textId="77777777" w:rsidR="005A0539" w:rsidRDefault="005A0539" w:rsidP="00E6431F">
      <w:pPr>
        <w:spacing w:after="0" w:line="240" w:lineRule="auto"/>
      </w:pPr>
      <w:r>
        <w:separator/>
      </w:r>
    </w:p>
  </w:endnote>
  <w:endnote w:type="continuationSeparator" w:id="0">
    <w:p w14:paraId="2F0C8C37" w14:textId="77777777" w:rsidR="005A0539" w:rsidRDefault="005A0539" w:rsidP="00E6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2396" w14:textId="77777777" w:rsidR="00810AB4" w:rsidRDefault="00810AB4" w:rsidP="00BC1B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B0DD9" w14:textId="77777777" w:rsidR="00810AB4" w:rsidRDefault="00810A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E233" w14:textId="0F2F4BD8" w:rsidR="00810AB4" w:rsidRDefault="00810AB4" w:rsidP="00BC1B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82C">
      <w:rPr>
        <w:rStyle w:val="PageNumber"/>
        <w:noProof/>
      </w:rPr>
      <w:t>1</w:t>
    </w:r>
    <w:r>
      <w:rPr>
        <w:rStyle w:val="PageNumber"/>
      </w:rPr>
      <w:fldChar w:fldCharType="end"/>
    </w:r>
  </w:p>
  <w:p w14:paraId="3EE7E389" w14:textId="77777777" w:rsidR="00810AB4" w:rsidRDefault="00810A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635A9" w14:textId="77777777" w:rsidR="005A0539" w:rsidRDefault="005A0539" w:rsidP="00E6431F">
      <w:pPr>
        <w:spacing w:after="0" w:line="240" w:lineRule="auto"/>
      </w:pPr>
      <w:r>
        <w:separator/>
      </w:r>
    </w:p>
  </w:footnote>
  <w:footnote w:type="continuationSeparator" w:id="0">
    <w:p w14:paraId="3F9DA78A" w14:textId="77777777" w:rsidR="005A0539" w:rsidRDefault="005A0539" w:rsidP="00E6431F">
      <w:pPr>
        <w:spacing w:after="0" w:line="240" w:lineRule="auto"/>
      </w:pPr>
      <w:r>
        <w:continuationSeparator/>
      </w:r>
    </w:p>
  </w:footnote>
  <w:footnote w:id="1">
    <w:p w14:paraId="4963CCA5" w14:textId="2598926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Postdoctoral Research Associate, Center for the Study of Democratic Politics,</w:t>
      </w:r>
      <w:r>
        <w:rPr>
          <w:rFonts w:ascii="Times New Roman" w:hAnsi="Times New Roman" w:cs="Times New Roman"/>
          <w:sz w:val="20"/>
          <w:szCs w:val="20"/>
        </w:rPr>
        <w:t xml:space="preserve"> Woodrow Wilson School of Public and International Affairs,</w:t>
      </w:r>
      <w:r w:rsidRPr="00D851F9">
        <w:rPr>
          <w:rFonts w:ascii="Times New Roman" w:hAnsi="Times New Roman" w:cs="Times New Roman"/>
          <w:sz w:val="20"/>
          <w:szCs w:val="20"/>
        </w:rPr>
        <w:t xml:space="preserve"> Princeton University; </w:t>
      </w:r>
      <w:r w:rsidR="0063204F">
        <w:rPr>
          <w:rFonts w:ascii="Times New Roman" w:hAnsi="Times New Roman" w:cs="Times New Roman"/>
          <w:sz w:val="20"/>
          <w:szCs w:val="20"/>
        </w:rPr>
        <w:t xml:space="preserve">Visiting Fellow, Yale Law School Information Society Project; </w:t>
      </w:r>
      <w:r w:rsidRPr="00D851F9">
        <w:rPr>
          <w:rFonts w:ascii="Times New Roman" w:hAnsi="Times New Roman" w:cs="Times New Roman"/>
          <w:sz w:val="20"/>
          <w:szCs w:val="20"/>
        </w:rPr>
        <w:t xml:space="preserve">J.D. Harvard Law School, Ph.D., Political Science Columbia University. </w:t>
      </w:r>
    </w:p>
  </w:footnote>
  <w:footnote w:id="2">
    <w:p w14:paraId="5AE48D0F" w14:textId="2D4C9FA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e.g., </w:t>
      </w:r>
      <w:r w:rsidRPr="00D851F9">
        <w:rPr>
          <w:rFonts w:ascii="Times New Roman" w:hAnsi="Times New Roman" w:cs="Times New Roman"/>
          <w:sz w:val="20"/>
          <w:szCs w:val="20"/>
        </w:rPr>
        <w:t xml:space="preserve">William N. Eskridge, Jr. et al, </w:t>
      </w:r>
      <w:r w:rsidRPr="00D851F9">
        <w:rPr>
          <w:rFonts w:ascii="Times New Roman" w:hAnsi="Times New Roman" w:cs="Times New Roman"/>
          <w:smallCaps/>
          <w:sz w:val="20"/>
          <w:szCs w:val="20"/>
        </w:rPr>
        <w:t>Legislation and Statutory Interpretation</w:t>
      </w:r>
      <w:r w:rsidRPr="00D851F9">
        <w:rPr>
          <w:rFonts w:ascii="Times New Roman" w:hAnsi="Times New Roman" w:cs="Times New Roman"/>
          <w:sz w:val="20"/>
          <w:szCs w:val="20"/>
        </w:rPr>
        <w:t xml:space="preserve"> 322-23 (2</w:t>
      </w:r>
      <w:r w:rsidRPr="00D851F9">
        <w:rPr>
          <w:rFonts w:ascii="Times New Roman" w:hAnsi="Times New Roman" w:cs="Times New Roman"/>
          <w:sz w:val="20"/>
          <w:szCs w:val="20"/>
          <w:vertAlign w:val="superscript"/>
        </w:rPr>
        <w:t>nd</w:t>
      </w:r>
      <w:r w:rsidRPr="00D851F9">
        <w:rPr>
          <w:rFonts w:ascii="Times New Roman" w:hAnsi="Times New Roman" w:cs="Times New Roman"/>
          <w:sz w:val="20"/>
          <w:szCs w:val="20"/>
        </w:rPr>
        <w:t xml:space="preserve"> ed. 2006) (“Most government-based statutory interpretations are nowadays tendered by administrative agencies and departments and courts are second-order interpreters…”); Jerry L. Mashaw, </w:t>
      </w:r>
      <w:r w:rsidRPr="00D851F9">
        <w:rPr>
          <w:rFonts w:ascii="Times New Roman" w:hAnsi="Times New Roman" w:cs="Times New Roman"/>
          <w:i/>
          <w:sz w:val="20"/>
          <w:szCs w:val="20"/>
        </w:rPr>
        <w:t xml:space="preserve">Norms, Practices and the Paradox of Deference: A Preliminary Inquiry into Agency Statutory Interpretation, </w:t>
      </w:r>
      <w:r w:rsidRPr="00D851F9">
        <w:rPr>
          <w:rFonts w:ascii="Times New Roman" w:hAnsi="Times New Roman" w:cs="Times New Roman"/>
          <w:sz w:val="20"/>
          <w:szCs w:val="20"/>
        </w:rPr>
        <w:t xml:space="preserve">57 </w:t>
      </w:r>
      <w:r w:rsidRPr="00D851F9">
        <w:rPr>
          <w:rFonts w:ascii="Times New Roman" w:hAnsi="Times New Roman" w:cs="Times New Roman"/>
          <w:smallCaps/>
          <w:sz w:val="20"/>
          <w:szCs w:val="20"/>
        </w:rPr>
        <w:t>Admin. L. Rev.</w:t>
      </w:r>
      <w:r w:rsidRPr="00D851F9">
        <w:rPr>
          <w:rFonts w:ascii="Times New Roman" w:hAnsi="Times New Roman" w:cs="Times New Roman"/>
          <w:sz w:val="20"/>
          <w:szCs w:val="20"/>
        </w:rPr>
        <w:t xml:space="preserve"> 501, 502-03 (2005) [hereinafter</w:t>
      </w:r>
      <w:r w:rsidRPr="00D851F9">
        <w:rPr>
          <w:rFonts w:ascii="Times New Roman" w:hAnsi="Times New Roman" w:cs="Times New Roman"/>
          <w:smallCaps/>
          <w:sz w:val="20"/>
          <w:szCs w:val="20"/>
        </w:rPr>
        <w:t xml:space="preserve"> </w:t>
      </w:r>
      <w:r w:rsidRPr="00D851F9">
        <w:rPr>
          <w:rFonts w:ascii="Times New Roman" w:hAnsi="Times New Roman" w:cs="Times New Roman"/>
          <w:i/>
          <w:sz w:val="20"/>
          <w:szCs w:val="20"/>
        </w:rPr>
        <w:t>Norms</w:t>
      </w:r>
      <w:r w:rsidRPr="00D851F9">
        <w:rPr>
          <w:rFonts w:ascii="Times New Roman" w:hAnsi="Times New Roman" w:cs="Times New Roman"/>
          <w:sz w:val="20"/>
          <w:szCs w:val="20"/>
        </w:rPr>
        <w:t xml:space="preserve">] (“[A]gencies are, by necessity, the primary official interpreters of federal statutes….”); Jerry F. Mashaw, </w:t>
      </w:r>
      <w:r w:rsidRPr="00D851F9">
        <w:rPr>
          <w:rFonts w:ascii="Times New Roman" w:hAnsi="Times New Roman" w:cs="Times New Roman"/>
          <w:i/>
          <w:sz w:val="20"/>
          <w:szCs w:val="20"/>
        </w:rPr>
        <w:t>Agency-Centered or Court-Centered Administrative Law? A Dialogue with Richard Pierce on Agency Statutory Interpretation</w:t>
      </w:r>
      <w:r w:rsidRPr="00D851F9">
        <w:rPr>
          <w:rFonts w:ascii="Times New Roman" w:hAnsi="Times New Roman" w:cs="Times New Roman"/>
          <w:sz w:val="20"/>
          <w:szCs w:val="20"/>
        </w:rPr>
        <w:t xml:space="preserve">, 59 </w:t>
      </w:r>
      <w:r w:rsidRPr="00D851F9">
        <w:rPr>
          <w:rFonts w:ascii="Times New Roman" w:hAnsi="Times New Roman" w:cs="Times New Roman"/>
          <w:smallCaps/>
          <w:sz w:val="20"/>
          <w:szCs w:val="20"/>
        </w:rPr>
        <w:t>Admin. L. Rev.</w:t>
      </w:r>
      <w:r w:rsidRPr="00D851F9">
        <w:rPr>
          <w:rFonts w:ascii="Times New Roman" w:hAnsi="Times New Roman" w:cs="Times New Roman"/>
          <w:sz w:val="20"/>
          <w:szCs w:val="20"/>
        </w:rPr>
        <w:t xml:space="preserve"> 889, 892 (2007); Cass Sunstein, </w:t>
      </w:r>
      <w:r w:rsidRPr="00D851F9">
        <w:rPr>
          <w:rFonts w:ascii="Times New Roman" w:hAnsi="Times New Roman" w:cs="Times New Roman"/>
          <w:i/>
          <w:sz w:val="20"/>
          <w:szCs w:val="20"/>
        </w:rPr>
        <w:t>Is Tobacco a Drug: Administrative Agencies as Common Law Courts</w:t>
      </w:r>
      <w:r w:rsidRPr="00D851F9">
        <w:rPr>
          <w:rFonts w:ascii="Times New Roman" w:hAnsi="Times New Roman" w:cs="Times New Roman"/>
          <w:sz w:val="20"/>
          <w:szCs w:val="20"/>
        </w:rPr>
        <w:t xml:space="preserve">, 47 </w:t>
      </w:r>
      <w:r w:rsidRPr="00D851F9">
        <w:rPr>
          <w:rFonts w:ascii="Times New Roman" w:hAnsi="Times New Roman" w:cs="Times New Roman"/>
          <w:smallCaps/>
          <w:sz w:val="20"/>
          <w:szCs w:val="20"/>
        </w:rPr>
        <w:t>Duke L. J</w:t>
      </w:r>
      <w:r w:rsidRPr="00D851F9">
        <w:rPr>
          <w:rFonts w:ascii="Times New Roman" w:hAnsi="Times New Roman" w:cs="Times New Roman"/>
          <w:sz w:val="20"/>
          <w:szCs w:val="20"/>
        </w:rPr>
        <w:t xml:space="preserve">. 1013, 1055 (1998) (“In the modern era, most of the key work of statutory interpretation is, of course, not done by courts, but rather by federal agencies.”); </w:t>
      </w:r>
      <w:r w:rsidRPr="00D851F9">
        <w:rPr>
          <w:rFonts w:ascii="Times New Roman" w:hAnsi="Times New Roman" w:cs="Times New Roman"/>
          <w:i/>
          <w:sz w:val="20"/>
          <w:szCs w:val="20"/>
        </w:rPr>
        <w:t>cf</w:t>
      </w:r>
      <w:r w:rsidRPr="00D851F9">
        <w:rPr>
          <w:rFonts w:ascii="Times New Roman" w:hAnsi="Times New Roman" w:cs="Times New Roman"/>
          <w:sz w:val="20"/>
          <w:szCs w:val="20"/>
        </w:rPr>
        <w:t xml:space="preserve"> Richard J. Pierce Jr., </w:t>
      </w:r>
      <w:r w:rsidRPr="00D851F9">
        <w:rPr>
          <w:rFonts w:ascii="Times New Roman" w:hAnsi="Times New Roman" w:cs="Times New Roman"/>
          <w:i/>
          <w:sz w:val="20"/>
          <w:szCs w:val="20"/>
        </w:rPr>
        <w:t>How Agencies Should Give Meaning to the Statutes They Administer: A Response to Mashaw and Strauss</w:t>
      </w:r>
      <w:r w:rsidRPr="00D851F9">
        <w:rPr>
          <w:rFonts w:ascii="Times New Roman" w:hAnsi="Times New Roman" w:cs="Times New Roman"/>
          <w:sz w:val="20"/>
          <w:szCs w:val="20"/>
        </w:rPr>
        <w:t xml:space="preserve">, 59 </w:t>
      </w:r>
      <w:r w:rsidRPr="00D851F9">
        <w:rPr>
          <w:rFonts w:ascii="Times New Roman" w:hAnsi="Times New Roman" w:cs="Times New Roman"/>
          <w:smallCaps/>
          <w:sz w:val="20"/>
          <w:szCs w:val="20"/>
        </w:rPr>
        <w:t>Admin. L. Rev</w:t>
      </w:r>
      <w:r w:rsidRPr="00D851F9">
        <w:rPr>
          <w:rFonts w:ascii="Times New Roman" w:hAnsi="Times New Roman" w:cs="Times New Roman"/>
          <w:sz w:val="20"/>
          <w:szCs w:val="20"/>
        </w:rPr>
        <w:t>. 197, 200, 2004-05 (2007) (arguing that agencies do not actually engage in statutory interpretation when they select among multiple interpretations of a statute; they are actually engaging in policymaking).</w:t>
      </w:r>
    </w:p>
  </w:footnote>
  <w:footnote w:id="3">
    <w:p w14:paraId="57B7CF4B" w14:textId="7034A2D6" w:rsidR="00810AB4" w:rsidRPr="00D851F9" w:rsidRDefault="00810AB4" w:rsidP="009F176D">
      <w:pPr>
        <w:spacing w:after="0" w:line="240" w:lineRule="auto"/>
        <w:rPr>
          <w:rFonts w:ascii="Times New Roman" w:hAnsi="Times New Roman" w:cs="Times New Roman"/>
          <w:caps/>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Sunstein,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_Ref460545273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2</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1053; Michael W. Spicer and Larry D. Terry, </w:t>
      </w:r>
      <w:r w:rsidRPr="00D851F9">
        <w:rPr>
          <w:rFonts w:ascii="Times New Roman" w:hAnsi="Times New Roman" w:cs="Times New Roman"/>
          <w:i/>
          <w:sz w:val="20"/>
          <w:szCs w:val="20"/>
        </w:rPr>
        <w:t>Administrative Interpretation of Statutes: A Constitutional View on the ‘New World Order’ of Public Administration</w:t>
      </w:r>
      <w:r w:rsidRPr="00D851F9">
        <w:rPr>
          <w:rFonts w:ascii="Times New Roman" w:hAnsi="Times New Roman" w:cs="Times New Roman"/>
          <w:sz w:val="20"/>
          <w:szCs w:val="20"/>
        </w:rPr>
        <w:t xml:space="preserve">, 56 </w:t>
      </w:r>
      <w:r w:rsidRPr="00D851F9">
        <w:rPr>
          <w:rFonts w:ascii="Times New Roman" w:hAnsi="Times New Roman" w:cs="Times New Roman"/>
          <w:smallCaps/>
          <w:sz w:val="20"/>
          <w:szCs w:val="20"/>
        </w:rPr>
        <w:t>Pub. Admin. Rev</w:t>
      </w:r>
      <w:r w:rsidRPr="00D851F9">
        <w:rPr>
          <w:rFonts w:ascii="Times New Roman" w:hAnsi="Times New Roman" w:cs="Times New Roman"/>
          <w:sz w:val="20"/>
          <w:szCs w:val="20"/>
        </w:rPr>
        <w:t xml:space="preserve">. 38, 38 (1996). </w:t>
      </w:r>
    </w:p>
  </w:footnote>
  <w:footnote w:id="4">
    <w:p w14:paraId="0D167426" w14:textId="3D7EAF98"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Jerry Mashaw, </w:t>
      </w:r>
      <w:r w:rsidRPr="00D851F9">
        <w:rPr>
          <w:rFonts w:ascii="Times New Roman" w:hAnsi="Times New Roman" w:cs="Times New Roman"/>
          <w:i/>
          <w:sz w:val="20"/>
          <w:szCs w:val="20"/>
        </w:rPr>
        <w:t>Between Facts and Norms: Agency Statutory Interpretation as an Autonomous Enterprises</w:t>
      </w:r>
      <w:r w:rsidRPr="00D851F9">
        <w:rPr>
          <w:rFonts w:ascii="Times New Roman" w:hAnsi="Times New Roman" w:cs="Times New Roman"/>
          <w:sz w:val="20"/>
          <w:szCs w:val="20"/>
        </w:rPr>
        <w:t xml:space="preserve">, 55 </w:t>
      </w:r>
      <w:r w:rsidRPr="00D851F9">
        <w:rPr>
          <w:rFonts w:ascii="Times New Roman" w:hAnsi="Times New Roman" w:cs="Times New Roman"/>
          <w:smallCaps/>
          <w:sz w:val="20"/>
          <w:szCs w:val="20"/>
        </w:rPr>
        <w:t>U of Toronto L. Rev</w:t>
      </w:r>
      <w:r w:rsidRPr="00D851F9">
        <w:rPr>
          <w:rFonts w:ascii="Times New Roman" w:hAnsi="Times New Roman" w:cs="Times New Roman"/>
          <w:sz w:val="20"/>
          <w:szCs w:val="20"/>
        </w:rPr>
        <w:t>. 497, 497 (2005).</w:t>
      </w:r>
    </w:p>
  </w:footnote>
  <w:footnote w:id="5">
    <w:p w14:paraId="31729DF6" w14:textId="2498119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499; </w:t>
      </w:r>
      <w:r w:rsidRPr="00D851F9">
        <w:rPr>
          <w:rFonts w:ascii="Times New Roman" w:hAnsi="Times New Roman" w:cs="Times New Roman"/>
          <w:i/>
          <w:sz w:val="20"/>
          <w:szCs w:val="20"/>
        </w:rPr>
        <w:t>see also</w:t>
      </w:r>
      <w:r w:rsidRPr="00D851F9">
        <w:rPr>
          <w:rFonts w:ascii="Times New Roman" w:hAnsi="Times New Roman" w:cs="Times New Roman"/>
          <w:sz w:val="20"/>
          <w:szCs w:val="20"/>
        </w:rPr>
        <w:t xml:space="preserve"> Cass Sunstein &amp; Adrian Vermeule, </w:t>
      </w:r>
      <w:r w:rsidRPr="00D851F9">
        <w:rPr>
          <w:rFonts w:ascii="Times New Roman" w:hAnsi="Times New Roman" w:cs="Times New Roman"/>
          <w:i/>
          <w:sz w:val="20"/>
          <w:szCs w:val="20"/>
        </w:rPr>
        <w:t>Interpretation and Institutions</w:t>
      </w:r>
      <w:r w:rsidRPr="00D851F9">
        <w:rPr>
          <w:rFonts w:ascii="Times New Roman" w:hAnsi="Times New Roman" w:cs="Times New Roman"/>
          <w:sz w:val="20"/>
          <w:szCs w:val="20"/>
        </w:rPr>
        <w:t xml:space="preserve">, 101 </w:t>
      </w:r>
      <w:r w:rsidRPr="00D851F9">
        <w:rPr>
          <w:rFonts w:ascii="Times New Roman" w:hAnsi="Times New Roman" w:cs="Times New Roman"/>
          <w:smallCaps/>
          <w:sz w:val="20"/>
          <w:szCs w:val="20"/>
        </w:rPr>
        <w:t xml:space="preserve">Mich. L. Rev. </w:t>
      </w:r>
      <w:r w:rsidRPr="00D851F9">
        <w:rPr>
          <w:rFonts w:ascii="Times New Roman" w:hAnsi="Times New Roman" w:cs="Times New Roman"/>
          <w:sz w:val="20"/>
          <w:szCs w:val="20"/>
        </w:rPr>
        <w:t>885, 919 (2003) (“precisely because the empirical study of interpretation remains in an extremely primitive state, there is every reason to think that much will be gained by further empirical efforts”).</w:t>
      </w:r>
    </w:p>
  </w:footnote>
  <w:footnote w:id="6">
    <w:p w14:paraId="61179AE8" w14:textId="44D4966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Abbe R. Gluck and Lisa Schulz Bressman, </w:t>
      </w:r>
      <w:r w:rsidRPr="00D851F9">
        <w:rPr>
          <w:rFonts w:ascii="Times New Roman" w:hAnsi="Times New Roman" w:cs="Times New Roman"/>
          <w:i/>
          <w:sz w:val="20"/>
          <w:szCs w:val="20"/>
        </w:rPr>
        <w:t>Statutory Methodologies from the Inside- An Empirical Study of Congressional Drafting, Delegation and the Canons: Part I</w:t>
      </w:r>
      <w:r w:rsidRPr="00D851F9">
        <w:rPr>
          <w:rFonts w:ascii="Times New Roman" w:hAnsi="Times New Roman" w:cs="Times New Roman"/>
          <w:sz w:val="20"/>
          <w:szCs w:val="20"/>
        </w:rPr>
        <w:t xml:space="preserve">, 65 </w:t>
      </w:r>
      <w:r w:rsidRPr="00D851F9">
        <w:rPr>
          <w:rFonts w:ascii="Times New Roman" w:hAnsi="Times New Roman" w:cs="Times New Roman"/>
          <w:smallCaps/>
          <w:sz w:val="20"/>
          <w:szCs w:val="20"/>
        </w:rPr>
        <w:t>Stan. L. Rev</w:t>
      </w:r>
      <w:r w:rsidRPr="00D851F9">
        <w:rPr>
          <w:rFonts w:ascii="Times New Roman" w:hAnsi="Times New Roman" w:cs="Times New Roman"/>
          <w:sz w:val="20"/>
          <w:szCs w:val="20"/>
        </w:rPr>
        <w:t xml:space="preserve">. 901 (2013); Abbe R. Gluck and Lisa Schulz Bressman, </w:t>
      </w:r>
      <w:r w:rsidRPr="00D851F9">
        <w:rPr>
          <w:rFonts w:ascii="Times New Roman" w:hAnsi="Times New Roman" w:cs="Times New Roman"/>
          <w:i/>
          <w:sz w:val="20"/>
          <w:szCs w:val="20"/>
        </w:rPr>
        <w:t>Statutory Methodologies from the Inside- An Empirical Study of Congressional Drafting, Delegation and the Canons: Part 2</w:t>
      </w:r>
      <w:r w:rsidRPr="00D851F9">
        <w:rPr>
          <w:rFonts w:ascii="Times New Roman" w:hAnsi="Times New Roman" w:cs="Times New Roman"/>
          <w:sz w:val="20"/>
          <w:szCs w:val="20"/>
        </w:rPr>
        <w:t xml:space="preserve">, 66 </w:t>
      </w:r>
      <w:r w:rsidRPr="00D851F9">
        <w:rPr>
          <w:rFonts w:ascii="Times New Roman" w:hAnsi="Times New Roman" w:cs="Times New Roman"/>
          <w:smallCaps/>
          <w:sz w:val="20"/>
          <w:szCs w:val="20"/>
        </w:rPr>
        <w:t>Stan. L. Rev</w:t>
      </w:r>
      <w:r w:rsidRPr="00D851F9">
        <w:rPr>
          <w:rFonts w:ascii="Times New Roman" w:hAnsi="Times New Roman" w:cs="Times New Roman"/>
          <w:sz w:val="20"/>
          <w:szCs w:val="20"/>
        </w:rPr>
        <w:t xml:space="preserve">. 725 (2013); Christopher Walker, </w:t>
      </w:r>
      <w:r w:rsidRPr="00D851F9">
        <w:rPr>
          <w:rFonts w:ascii="Times New Roman" w:hAnsi="Times New Roman" w:cs="Times New Roman"/>
          <w:i/>
          <w:sz w:val="20"/>
          <w:szCs w:val="20"/>
        </w:rPr>
        <w:t>Inside Agency Statutory Interpretation</w:t>
      </w:r>
      <w:r w:rsidRPr="00D851F9">
        <w:rPr>
          <w:rFonts w:ascii="Times New Roman" w:hAnsi="Times New Roman" w:cs="Times New Roman"/>
          <w:sz w:val="20"/>
          <w:szCs w:val="20"/>
        </w:rPr>
        <w:t xml:space="preserve">, 67 </w:t>
      </w:r>
      <w:r w:rsidRPr="00D851F9">
        <w:rPr>
          <w:rFonts w:ascii="Times New Roman" w:hAnsi="Times New Roman" w:cs="Times New Roman"/>
          <w:smallCaps/>
          <w:sz w:val="20"/>
          <w:szCs w:val="20"/>
        </w:rPr>
        <w:t>Stan. L. Rev</w:t>
      </w:r>
      <w:r w:rsidRPr="00D851F9">
        <w:rPr>
          <w:rFonts w:ascii="Times New Roman" w:hAnsi="Times New Roman" w:cs="Times New Roman"/>
          <w:sz w:val="20"/>
          <w:szCs w:val="20"/>
        </w:rPr>
        <w:t>. 999 (2015).</w:t>
      </w:r>
    </w:p>
  </w:footnote>
  <w:footnote w:id="7">
    <w:p w14:paraId="515E4C08" w14:textId="1109DDF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Chevron USA, Inc. v. Natural Res. Def. Council Inc., 407 U.S. 827-28 (1984) (“[If the statute is silent or ambiguous with respect to the specific issue, the question for the court is whether the agency’s answer is based on a permissible construction of the statute.”). </w:t>
      </w:r>
    </w:p>
  </w:footnote>
  <w:footnote w:id="8">
    <w:p w14:paraId="4BF622EF" w14:textId="2E57D7F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Mashaw,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_Ref460552518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4</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498.</w:t>
      </w:r>
    </w:p>
  </w:footnote>
  <w:footnote w:id="9">
    <w:p w14:paraId="6D0F2CCB" w14:textId="2378E61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Anita S. Krishnakumar, </w:t>
      </w:r>
      <w:r w:rsidRPr="00D851F9">
        <w:rPr>
          <w:rFonts w:ascii="Times New Roman" w:hAnsi="Times New Roman" w:cs="Times New Roman"/>
          <w:i/>
          <w:sz w:val="20"/>
          <w:szCs w:val="20"/>
        </w:rPr>
        <w:t>Dueling Canons</w:t>
      </w:r>
      <w:r w:rsidRPr="00D851F9">
        <w:rPr>
          <w:rFonts w:ascii="Times New Roman" w:hAnsi="Times New Roman" w:cs="Times New Roman"/>
          <w:sz w:val="20"/>
          <w:szCs w:val="20"/>
        </w:rPr>
        <w:t xml:space="preserve">, 65 </w:t>
      </w:r>
      <w:r w:rsidRPr="00D851F9">
        <w:rPr>
          <w:rFonts w:ascii="Times New Roman" w:hAnsi="Times New Roman" w:cs="Times New Roman"/>
          <w:smallCaps/>
          <w:sz w:val="20"/>
          <w:szCs w:val="20"/>
        </w:rPr>
        <w:t>Duke L. J</w:t>
      </w:r>
      <w:r w:rsidRPr="00D851F9">
        <w:rPr>
          <w:rFonts w:ascii="Times New Roman" w:hAnsi="Times New Roman" w:cs="Times New Roman"/>
          <w:sz w:val="20"/>
          <w:szCs w:val="20"/>
        </w:rPr>
        <w:t xml:space="preserve">. 909, 913 (2016). </w:t>
      </w:r>
    </w:p>
  </w:footnote>
  <w:footnote w:id="10">
    <w:p w14:paraId="2869BE5E" w14:textId="0E93D97D" w:rsidR="00810AB4" w:rsidRPr="00D851F9" w:rsidRDefault="00810AB4" w:rsidP="009F176D">
      <w:pPr>
        <w:pStyle w:val="FootnoteText"/>
      </w:pPr>
      <w:r w:rsidRPr="00D851F9">
        <w:rPr>
          <w:rStyle w:val="FootnoteReference"/>
        </w:rPr>
        <w:footnoteRef/>
      </w:r>
      <w:r w:rsidRPr="00D851F9">
        <w:t xml:space="preserve"> Gluck &amp; Bressman,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w:t>
      </w:r>
    </w:p>
  </w:footnote>
  <w:footnote w:id="11">
    <w:p w14:paraId="1DACAA62" w14:textId="590B4C94" w:rsidR="00810AB4" w:rsidRPr="00D851F9" w:rsidRDefault="00810AB4" w:rsidP="009F176D">
      <w:pPr>
        <w:pStyle w:val="FootnoteText"/>
      </w:pPr>
      <w:r w:rsidRPr="00D851F9">
        <w:rPr>
          <w:rStyle w:val="FootnoteReference"/>
        </w:rPr>
        <w:footnoteRef/>
      </w:r>
      <w:r w:rsidRPr="00D851F9">
        <w:t xml:space="preserve"> Walker,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w:t>
      </w:r>
    </w:p>
  </w:footnote>
  <w:footnote w:id="12">
    <w:p w14:paraId="70194EA9" w14:textId="6CD889F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Krishnakumar,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_Ref460546150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9</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w:t>
      </w:r>
      <w:r w:rsidRPr="00D851F9">
        <w:rPr>
          <w:rFonts w:ascii="Times New Roman" w:hAnsi="Times New Roman" w:cs="Times New Roman"/>
          <w:i/>
          <w:sz w:val="20"/>
          <w:szCs w:val="20"/>
        </w:rPr>
        <w:t xml:space="preserve"> </w:t>
      </w:r>
      <w:r w:rsidRPr="00D851F9">
        <w:rPr>
          <w:rFonts w:ascii="Times New Roman" w:hAnsi="Times New Roman" w:cs="Times New Roman"/>
          <w:sz w:val="20"/>
          <w:szCs w:val="20"/>
        </w:rPr>
        <w:t>at 914 (finding that “none of the canons or tools seemed capable of constraining the Justices’ tendency to vote consistently with their ideological preferences…”).</w:t>
      </w:r>
    </w:p>
  </w:footnote>
  <w:footnote w:id="13">
    <w:p w14:paraId="3245D770" w14:textId="283EFE69"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Karl N. Llewellyn, </w:t>
      </w:r>
      <w:r w:rsidRPr="00D851F9">
        <w:rPr>
          <w:rFonts w:ascii="Times New Roman" w:hAnsi="Times New Roman" w:cs="Times New Roman"/>
          <w:i/>
          <w:sz w:val="20"/>
          <w:szCs w:val="20"/>
        </w:rPr>
        <w:t xml:space="preserve">Remarks on the Theory of Appellate Decisions and the Rules or Canons About How Statutes Are to Be Construed, </w:t>
      </w:r>
      <w:r w:rsidRPr="00D851F9">
        <w:rPr>
          <w:rFonts w:ascii="Times New Roman" w:hAnsi="Times New Roman" w:cs="Times New Roman"/>
          <w:sz w:val="20"/>
          <w:szCs w:val="20"/>
        </w:rPr>
        <w:t xml:space="preserve">3 </w:t>
      </w:r>
      <w:r w:rsidRPr="00D851F9">
        <w:rPr>
          <w:rFonts w:ascii="Times New Roman" w:hAnsi="Times New Roman" w:cs="Times New Roman"/>
          <w:smallCaps/>
          <w:sz w:val="20"/>
          <w:szCs w:val="20"/>
        </w:rPr>
        <w:t>Vand. L. Rev</w:t>
      </w:r>
      <w:r w:rsidRPr="00D851F9">
        <w:rPr>
          <w:rFonts w:ascii="Times New Roman" w:hAnsi="Times New Roman" w:cs="Times New Roman"/>
          <w:sz w:val="20"/>
          <w:szCs w:val="20"/>
        </w:rPr>
        <w:t xml:space="preserve">. 395, 401-06 (1950). Llewellyn lists 28 pairs of canons and countercanons (“thrusts” and “parries”). </w:t>
      </w:r>
      <w:r w:rsidRPr="00D851F9">
        <w:rPr>
          <w:rFonts w:ascii="Times New Roman" w:hAnsi="Times New Roman" w:cs="Times New Roman"/>
          <w:i/>
          <w:sz w:val="20"/>
          <w:szCs w:val="20"/>
        </w:rPr>
        <w:t>See id.</w:t>
      </w:r>
    </w:p>
  </w:footnote>
  <w:footnote w:id="14">
    <w:p w14:paraId="0C0FCD55" w14:textId="7B03F71D"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William N. Eskridge, Jr., </w:t>
      </w:r>
      <w:r w:rsidRPr="00D851F9">
        <w:rPr>
          <w:rFonts w:ascii="Times New Roman" w:hAnsi="Times New Roman" w:cs="Times New Roman"/>
          <w:i/>
          <w:sz w:val="20"/>
          <w:szCs w:val="20"/>
        </w:rPr>
        <w:t>Textualism: The Unknown Ideal?</w:t>
      </w:r>
      <w:r w:rsidRPr="00D851F9">
        <w:rPr>
          <w:rFonts w:ascii="Times New Roman" w:hAnsi="Times New Roman" w:cs="Times New Roman"/>
          <w:sz w:val="20"/>
          <w:szCs w:val="20"/>
        </w:rPr>
        <w:t xml:space="preserve"> 96 </w:t>
      </w:r>
      <w:r w:rsidRPr="00D851F9">
        <w:rPr>
          <w:rFonts w:ascii="Times New Roman" w:hAnsi="Times New Roman" w:cs="Times New Roman"/>
          <w:smallCaps/>
          <w:sz w:val="20"/>
          <w:szCs w:val="20"/>
        </w:rPr>
        <w:t>Mich. L. Rev</w:t>
      </w:r>
      <w:r w:rsidRPr="00D851F9">
        <w:rPr>
          <w:rFonts w:ascii="Times New Roman" w:hAnsi="Times New Roman" w:cs="Times New Roman"/>
          <w:sz w:val="20"/>
          <w:szCs w:val="20"/>
        </w:rPr>
        <w:t xml:space="preserve">. 1509, 1548-49 (1998); Krishnakumar,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_Ref460546150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9</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914. </w:t>
      </w:r>
    </w:p>
  </w:footnote>
  <w:footnote w:id="15">
    <w:p w14:paraId="639F74F6" w14:textId="4AE9F8B3" w:rsidR="00810AB4" w:rsidRPr="00D851F9" w:rsidRDefault="00810AB4">
      <w:pPr>
        <w:pStyle w:val="FootnoteText"/>
      </w:pPr>
      <w:r w:rsidRPr="00D851F9">
        <w:rPr>
          <w:rStyle w:val="FootnoteReference"/>
        </w:rPr>
        <w:footnoteRef/>
      </w:r>
      <w:r w:rsidRPr="00D851F9">
        <w:t xml:space="preserve"> Mashaw, </w:t>
      </w:r>
      <w:r w:rsidRPr="00D851F9">
        <w:rPr>
          <w:i/>
        </w:rPr>
        <w:t>supra</w:t>
      </w:r>
      <w:r w:rsidRPr="00D851F9">
        <w:t xml:space="preserve"> note </w:t>
      </w:r>
      <w:r w:rsidRPr="00D851F9">
        <w:fldChar w:fldCharType="begin"/>
      </w:r>
      <w:r w:rsidRPr="00D851F9">
        <w:instrText xml:space="preserve"> NOTEREF _Ref460552518 \h  \* MERGEFORMAT </w:instrText>
      </w:r>
      <w:r w:rsidRPr="00D851F9">
        <w:fldChar w:fldCharType="separate"/>
      </w:r>
      <w:r w:rsidRPr="00D851F9">
        <w:t>4</w:t>
      </w:r>
      <w:r w:rsidRPr="00D851F9">
        <w:fldChar w:fldCharType="end"/>
      </w:r>
      <w:r w:rsidRPr="00D851F9">
        <w:t xml:space="preserve">, at 510; Kevin Stack, </w:t>
      </w:r>
      <w:r w:rsidRPr="00D851F9">
        <w:rPr>
          <w:i/>
        </w:rPr>
        <w:t>Purposivism in the Executive Branch: How Agencies Interpret Statutes</w:t>
      </w:r>
      <w:r w:rsidRPr="00D851F9">
        <w:t xml:space="preserve">, 109 </w:t>
      </w:r>
      <w:r w:rsidRPr="00D851F9">
        <w:rPr>
          <w:smallCaps/>
        </w:rPr>
        <w:t>N.W. U. L. Rev</w:t>
      </w:r>
      <w:r w:rsidRPr="00D851F9">
        <w:t>. 871, 871, 876 (2015).</w:t>
      </w:r>
    </w:p>
  </w:footnote>
  <w:footnote w:id="16">
    <w:p w14:paraId="1B85FED5" w14:textId="6CC9169E" w:rsidR="00810AB4" w:rsidRPr="00D851F9" w:rsidRDefault="00810AB4">
      <w:pPr>
        <w:pStyle w:val="FootnoteText"/>
      </w:pPr>
      <w:r w:rsidRPr="00D851F9">
        <w:rPr>
          <w:rStyle w:val="FootnoteReference"/>
        </w:rPr>
        <w:footnoteRef/>
      </w:r>
      <w:r w:rsidRPr="00D851F9">
        <w:t xml:space="preserve"> </w:t>
      </w:r>
      <w:r w:rsidRPr="00D851F9">
        <w:rPr>
          <w:i/>
        </w:rPr>
        <w:t xml:space="preserve">See </w:t>
      </w:r>
      <w:r w:rsidRPr="00D851F9">
        <w:t xml:space="preserve">Peter Strauss, </w:t>
      </w:r>
      <w:r w:rsidRPr="00D851F9">
        <w:rPr>
          <w:i/>
        </w:rPr>
        <w:t>When the Judge Is Not the Primary Official with Responsibility to Read: Agency Interpretation and the Problem of Legislative History</w:t>
      </w:r>
      <w:r w:rsidRPr="00D851F9">
        <w:t xml:space="preserve">, 1990 </w:t>
      </w:r>
      <w:r w:rsidRPr="00D851F9">
        <w:rPr>
          <w:smallCaps/>
        </w:rPr>
        <w:t>Chi-Kent L. Rev</w:t>
      </w:r>
      <w:r w:rsidRPr="00D851F9">
        <w:t xml:space="preserve">. 321, 321 (1990); Daniel P. O’Gorman, </w:t>
      </w:r>
      <w:r w:rsidRPr="00D851F9">
        <w:rPr>
          <w:i/>
        </w:rPr>
        <w:t>Construing the National Labor Relations Act: The NLRB and Methods of Statutory Construction</w:t>
      </w:r>
      <w:r w:rsidRPr="00D851F9">
        <w:t xml:space="preserve">, 81 </w:t>
      </w:r>
      <w:r w:rsidRPr="00D851F9">
        <w:rPr>
          <w:smallCaps/>
        </w:rPr>
        <w:t>Temple L. Rev.</w:t>
      </w:r>
      <w:r w:rsidRPr="00D851F9">
        <w:t xml:space="preserve"> 178 (2009).</w:t>
      </w:r>
    </w:p>
  </w:footnote>
  <w:footnote w:id="17">
    <w:p w14:paraId="53E50BEF" w14:textId="37B7B3F0"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Mashaw,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_Ref460552518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4</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519.</w:t>
      </w:r>
    </w:p>
  </w:footnote>
  <w:footnote w:id="18">
    <w:p w14:paraId="3C303648" w14:textId="655D70E7" w:rsidR="00810AB4" w:rsidRPr="00D851F9" w:rsidRDefault="00810AB4">
      <w:pPr>
        <w:pStyle w:val="FootnoteText"/>
      </w:pPr>
      <w:r w:rsidRPr="00D851F9">
        <w:rPr>
          <w:rStyle w:val="FootnoteReference"/>
        </w:rPr>
        <w:footnoteRef/>
      </w:r>
      <w:r w:rsidRPr="00D851F9">
        <w:t xml:space="preserve"> </w:t>
      </w:r>
      <w:r w:rsidRPr="00D851F9">
        <w:rPr>
          <w:i/>
        </w:rPr>
        <w:t xml:space="preserve">See </w:t>
      </w:r>
      <w:r w:rsidRPr="00D851F9">
        <w:t xml:space="preserve">Catherine L. Fisk &amp; Deborah C. Malamud, </w:t>
      </w:r>
      <w:r w:rsidRPr="00D851F9">
        <w:rPr>
          <w:i/>
        </w:rPr>
        <w:t>The NLRB in Administrative Law Exile: Problems with Its Structure and Function and Suggestions for Reform</w:t>
      </w:r>
      <w:r w:rsidRPr="00D851F9">
        <w:t xml:space="preserve">, 58 </w:t>
      </w:r>
      <w:r w:rsidRPr="00D851F9">
        <w:rPr>
          <w:smallCaps/>
        </w:rPr>
        <w:t>Duke L. J</w:t>
      </w:r>
      <w:r w:rsidRPr="00D851F9">
        <w:t>. 2013, 2020 (2009).</w:t>
      </w:r>
    </w:p>
  </w:footnote>
  <w:footnote w:id="19">
    <w:p w14:paraId="28E4E22D" w14:textId="4DB993D7" w:rsidR="00810AB4" w:rsidRPr="00D851F9" w:rsidRDefault="00810AB4">
      <w:pPr>
        <w:pStyle w:val="FootnoteText"/>
        <w:rPr>
          <w:i/>
        </w:rPr>
      </w:pPr>
      <w:r w:rsidRPr="00D851F9">
        <w:rPr>
          <w:rStyle w:val="FootnoteReference"/>
        </w:rPr>
        <w:footnoteRef/>
      </w:r>
      <w:r w:rsidRPr="00D851F9">
        <w:t xml:space="preserve"> </w:t>
      </w:r>
      <w:r w:rsidRPr="00D851F9">
        <w:rPr>
          <w:i/>
        </w:rPr>
        <w:t>Id.</w:t>
      </w:r>
    </w:p>
  </w:footnote>
  <w:footnote w:id="20">
    <w:p w14:paraId="7DF66E48" w14:textId="5B378150"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e.g., </w:t>
      </w:r>
      <w:r w:rsidRPr="00D851F9">
        <w:rPr>
          <w:rFonts w:ascii="Times New Roman" w:hAnsi="Times New Roman" w:cs="Times New Roman"/>
          <w:sz w:val="20"/>
          <w:szCs w:val="20"/>
        </w:rPr>
        <w:t xml:space="preserve">Abbe Gluck, </w:t>
      </w:r>
      <w:r w:rsidRPr="00D851F9">
        <w:rPr>
          <w:rFonts w:ascii="Times New Roman" w:hAnsi="Times New Roman" w:cs="Times New Roman"/>
          <w:i/>
          <w:sz w:val="20"/>
          <w:szCs w:val="20"/>
        </w:rPr>
        <w:t>The States as Laboratories of Statutory Interpretation: Methodological Consensus and the New Modified Textualism</w:t>
      </w:r>
      <w:r w:rsidRPr="00D851F9">
        <w:rPr>
          <w:rFonts w:ascii="Times New Roman" w:hAnsi="Times New Roman" w:cs="Times New Roman"/>
          <w:sz w:val="20"/>
          <w:szCs w:val="20"/>
        </w:rPr>
        <w:t xml:space="preserve">, 119 </w:t>
      </w:r>
      <w:r w:rsidRPr="00D851F9">
        <w:rPr>
          <w:rFonts w:ascii="Times New Roman" w:hAnsi="Times New Roman" w:cs="Times New Roman"/>
          <w:smallCaps/>
          <w:sz w:val="20"/>
          <w:szCs w:val="20"/>
        </w:rPr>
        <w:t>Yale L. J</w:t>
      </w:r>
      <w:r w:rsidRPr="00D851F9">
        <w:rPr>
          <w:rFonts w:ascii="Times New Roman" w:hAnsi="Times New Roman" w:cs="Times New Roman"/>
          <w:sz w:val="20"/>
          <w:szCs w:val="20"/>
        </w:rPr>
        <w:t xml:space="preserve">. 1750, 1761-68 (2010) (discussion of debate between purposivism and textualism); </w:t>
      </w:r>
      <w:r w:rsidRPr="00D851F9">
        <w:rPr>
          <w:rFonts w:ascii="Times New Roman" w:hAnsi="Times New Roman" w:cs="Times New Roman"/>
          <w:i/>
          <w:sz w:val="20"/>
          <w:szCs w:val="20"/>
        </w:rPr>
        <w:t>see also</w:t>
      </w:r>
      <w:r w:rsidRPr="00D851F9">
        <w:rPr>
          <w:rFonts w:ascii="Times New Roman" w:hAnsi="Times New Roman" w:cs="Times New Roman"/>
          <w:sz w:val="20"/>
          <w:szCs w:val="20"/>
        </w:rPr>
        <w:t xml:space="preserve"> John F. Manning, </w:t>
      </w:r>
      <w:r w:rsidRPr="00D851F9">
        <w:rPr>
          <w:rFonts w:ascii="Times New Roman" w:hAnsi="Times New Roman" w:cs="Times New Roman"/>
          <w:i/>
          <w:sz w:val="20"/>
          <w:szCs w:val="20"/>
        </w:rPr>
        <w:t xml:space="preserve">What Divides Textualists from </w:t>
      </w:r>
      <w:proofErr w:type="gramStart"/>
      <w:r w:rsidRPr="00D851F9">
        <w:rPr>
          <w:rFonts w:ascii="Times New Roman" w:hAnsi="Times New Roman" w:cs="Times New Roman"/>
          <w:i/>
          <w:sz w:val="20"/>
          <w:szCs w:val="20"/>
        </w:rPr>
        <w:t>Purposivists?</w:t>
      </w:r>
      <w:r w:rsidRPr="00D851F9">
        <w:rPr>
          <w:rFonts w:ascii="Times New Roman" w:hAnsi="Times New Roman" w:cs="Times New Roman"/>
          <w:sz w:val="20"/>
          <w:szCs w:val="20"/>
        </w:rPr>
        <w:t>,</w:t>
      </w:r>
      <w:proofErr w:type="gramEnd"/>
      <w:r w:rsidRPr="00D851F9">
        <w:rPr>
          <w:rFonts w:ascii="Times New Roman" w:hAnsi="Times New Roman" w:cs="Times New Roman"/>
          <w:sz w:val="20"/>
          <w:szCs w:val="20"/>
        </w:rPr>
        <w:t xml:space="preserve"> 70 </w:t>
      </w:r>
      <w:r w:rsidRPr="00D851F9">
        <w:rPr>
          <w:rFonts w:ascii="Times New Roman" w:hAnsi="Times New Roman" w:cs="Times New Roman"/>
          <w:smallCaps/>
          <w:sz w:val="20"/>
          <w:szCs w:val="20"/>
        </w:rPr>
        <w:t>Colum. L. Rev.</w:t>
      </w:r>
      <w:r w:rsidRPr="00D851F9">
        <w:rPr>
          <w:rFonts w:ascii="Times New Roman" w:hAnsi="Times New Roman" w:cs="Times New Roman"/>
          <w:sz w:val="20"/>
          <w:szCs w:val="20"/>
        </w:rPr>
        <w:t xml:space="preserve"> 106 (2006) (same).</w:t>
      </w:r>
    </w:p>
  </w:footnote>
  <w:footnote w:id="21">
    <w:p w14:paraId="5CD8114A" w14:textId="3314CBC7"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e.g., </w:t>
      </w:r>
      <w:r w:rsidRPr="00D851F9">
        <w:rPr>
          <w:rFonts w:ascii="Times New Roman" w:hAnsi="Times New Roman" w:cs="Times New Roman"/>
          <w:sz w:val="20"/>
          <w:szCs w:val="20"/>
        </w:rPr>
        <w:t xml:space="preserve">Antonin Scalia, </w:t>
      </w:r>
      <w:r w:rsidRPr="00D851F9">
        <w:rPr>
          <w:rFonts w:ascii="Times New Roman" w:hAnsi="Times New Roman" w:cs="Times New Roman"/>
          <w:smallCaps/>
          <w:sz w:val="20"/>
          <w:szCs w:val="20"/>
        </w:rPr>
        <w:t>A Matter of Interpretation: Federal Courts and the Law</w:t>
      </w:r>
      <w:r w:rsidRPr="00D851F9">
        <w:rPr>
          <w:rFonts w:ascii="Times New Roman" w:hAnsi="Times New Roman" w:cs="Times New Roman"/>
          <w:sz w:val="20"/>
          <w:szCs w:val="20"/>
        </w:rPr>
        <w:t xml:space="preserve"> 25-27 (1997). For more on textualism, see John F. Manning, </w:t>
      </w:r>
      <w:r w:rsidRPr="00D851F9">
        <w:rPr>
          <w:rFonts w:ascii="Times New Roman" w:hAnsi="Times New Roman" w:cs="Times New Roman"/>
          <w:i/>
          <w:sz w:val="20"/>
          <w:szCs w:val="20"/>
        </w:rPr>
        <w:t>Textualism and Legislative Intent</w:t>
      </w:r>
      <w:r w:rsidRPr="00D851F9">
        <w:rPr>
          <w:rFonts w:ascii="Times New Roman" w:hAnsi="Times New Roman" w:cs="Times New Roman"/>
          <w:sz w:val="20"/>
          <w:szCs w:val="20"/>
        </w:rPr>
        <w:t xml:space="preserve">, 91 </w:t>
      </w:r>
      <w:r w:rsidRPr="00D851F9">
        <w:rPr>
          <w:rFonts w:ascii="Times New Roman" w:hAnsi="Times New Roman" w:cs="Times New Roman"/>
          <w:smallCaps/>
          <w:sz w:val="20"/>
          <w:szCs w:val="20"/>
        </w:rPr>
        <w:t>Va. L. Rev</w:t>
      </w:r>
      <w:r w:rsidRPr="00D851F9">
        <w:rPr>
          <w:rFonts w:ascii="Times New Roman" w:hAnsi="Times New Roman" w:cs="Times New Roman"/>
          <w:sz w:val="20"/>
          <w:szCs w:val="20"/>
        </w:rPr>
        <w:t xml:space="preserve">. 419, 423-24 (2005); Caleb Nelson, </w:t>
      </w:r>
      <w:r w:rsidRPr="00D851F9">
        <w:rPr>
          <w:rFonts w:ascii="Times New Roman" w:hAnsi="Times New Roman" w:cs="Times New Roman"/>
          <w:i/>
          <w:sz w:val="20"/>
          <w:szCs w:val="20"/>
        </w:rPr>
        <w:t>A Response to Professor Manning</w:t>
      </w:r>
      <w:r w:rsidRPr="00D851F9">
        <w:rPr>
          <w:rFonts w:ascii="Times New Roman" w:hAnsi="Times New Roman" w:cs="Times New Roman"/>
          <w:sz w:val="20"/>
          <w:szCs w:val="20"/>
        </w:rPr>
        <w:t xml:space="preserve">, 91 </w:t>
      </w:r>
      <w:r w:rsidRPr="00D851F9">
        <w:rPr>
          <w:rFonts w:ascii="Times New Roman" w:hAnsi="Times New Roman" w:cs="Times New Roman"/>
          <w:smallCaps/>
          <w:sz w:val="20"/>
          <w:szCs w:val="20"/>
        </w:rPr>
        <w:t>Va. L. Rev</w:t>
      </w:r>
      <w:r w:rsidRPr="00D851F9">
        <w:rPr>
          <w:rFonts w:ascii="Times New Roman" w:hAnsi="Times New Roman" w:cs="Times New Roman"/>
          <w:sz w:val="20"/>
          <w:szCs w:val="20"/>
        </w:rPr>
        <w:t xml:space="preserve">. 451, 452-53 (2005); John F. Manning, </w:t>
      </w:r>
      <w:r w:rsidRPr="00D851F9">
        <w:rPr>
          <w:rFonts w:ascii="Times New Roman" w:hAnsi="Times New Roman" w:cs="Times New Roman"/>
          <w:i/>
          <w:sz w:val="20"/>
          <w:szCs w:val="20"/>
        </w:rPr>
        <w:t>Textualism and the Equity of the Statute</w:t>
      </w:r>
      <w:r w:rsidRPr="00D851F9">
        <w:rPr>
          <w:rFonts w:ascii="Times New Roman" w:hAnsi="Times New Roman" w:cs="Times New Roman"/>
          <w:sz w:val="20"/>
          <w:szCs w:val="20"/>
        </w:rPr>
        <w:t xml:space="preserve">, 101 </w:t>
      </w:r>
      <w:r w:rsidRPr="00D851F9">
        <w:rPr>
          <w:rFonts w:ascii="Times New Roman" w:hAnsi="Times New Roman" w:cs="Times New Roman"/>
          <w:smallCaps/>
          <w:sz w:val="20"/>
          <w:szCs w:val="20"/>
        </w:rPr>
        <w:t>Colum. L. Rev</w:t>
      </w:r>
      <w:r w:rsidRPr="00D851F9">
        <w:rPr>
          <w:rFonts w:ascii="Times New Roman" w:hAnsi="Times New Roman" w:cs="Times New Roman"/>
          <w:sz w:val="20"/>
          <w:szCs w:val="20"/>
        </w:rPr>
        <w:t xml:space="preserve">. 1, 8-9 (2001); John F. Manning, </w:t>
      </w:r>
      <w:r w:rsidRPr="00D851F9">
        <w:rPr>
          <w:rFonts w:ascii="Times New Roman" w:hAnsi="Times New Roman" w:cs="Times New Roman"/>
          <w:i/>
          <w:sz w:val="20"/>
          <w:szCs w:val="20"/>
        </w:rPr>
        <w:t>Deriving Rules of Statutory Interpretation from the Constitution</w:t>
      </w:r>
      <w:r w:rsidRPr="00D851F9">
        <w:rPr>
          <w:rFonts w:ascii="Times New Roman" w:hAnsi="Times New Roman" w:cs="Times New Roman"/>
          <w:sz w:val="20"/>
          <w:szCs w:val="20"/>
        </w:rPr>
        <w:t xml:space="preserve">, 101 </w:t>
      </w:r>
      <w:r w:rsidRPr="00D851F9">
        <w:rPr>
          <w:rFonts w:ascii="Times New Roman" w:hAnsi="Times New Roman" w:cs="Times New Roman"/>
          <w:smallCaps/>
          <w:sz w:val="20"/>
          <w:szCs w:val="20"/>
        </w:rPr>
        <w:t>Colum. L. Rev</w:t>
      </w:r>
      <w:r w:rsidRPr="00D851F9">
        <w:rPr>
          <w:rFonts w:ascii="Times New Roman" w:hAnsi="Times New Roman" w:cs="Times New Roman"/>
          <w:sz w:val="20"/>
          <w:szCs w:val="20"/>
        </w:rPr>
        <w:t>. 1648 (2001).</w:t>
      </w:r>
    </w:p>
  </w:footnote>
  <w:footnote w:id="22">
    <w:p w14:paraId="5ED2F189" w14:textId="410806F8"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William N. Eskridge, </w:t>
      </w:r>
      <w:r w:rsidRPr="00D851F9">
        <w:rPr>
          <w:rFonts w:ascii="Times New Roman" w:hAnsi="Times New Roman" w:cs="Times New Roman"/>
          <w:smallCaps/>
          <w:sz w:val="20"/>
          <w:szCs w:val="20"/>
        </w:rPr>
        <w:t>Dynamic Statutory Interpretation</w:t>
      </w:r>
      <w:r w:rsidRPr="00D851F9">
        <w:rPr>
          <w:rFonts w:ascii="Times New Roman" w:hAnsi="Times New Roman" w:cs="Times New Roman"/>
          <w:sz w:val="20"/>
          <w:szCs w:val="20"/>
        </w:rPr>
        <w:t xml:space="preserve"> 27 (1994).</w:t>
      </w:r>
    </w:p>
  </w:footnote>
  <w:footnote w:id="23">
    <w:p w14:paraId="08BD2332" w14:textId="561BDBA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Caleb Nelson, </w:t>
      </w:r>
      <w:r w:rsidRPr="00D851F9">
        <w:rPr>
          <w:rFonts w:ascii="Times New Roman" w:hAnsi="Times New Roman" w:cs="Times New Roman"/>
          <w:i/>
          <w:sz w:val="20"/>
          <w:szCs w:val="20"/>
        </w:rPr>
        <w:t xml:space="preserve">What Is </w:t>
      </w:r>
      <w:proofErr w:type="gramStart"/>
      <w:r w:rsidRPr="00D851F9">
        <w:rPr>
          <w:rFonts w:ascii="Times New Roman" w:hAnsi="Times New Roman" w:cs="Times New Roman"/>
          <w:i/>
          <w:sz w:val="20"/>
          <w:szCs w:val="20"/>
        </w:rPr>
        <w:t>Textualism?,</w:t>
      </w:r>
      <w:proofErr w:type="gramEnd"/>
      <w:r w:rsidRPr="00D851F9">
        <w:rPr>
          <w:rFonts w:ascii="Times New Roman" w:hAnsi="Times New Roman" w:cs="Times New Roman"/>
          <w:i/>
          <w:sz w:val="20"/>
          <w:szCs w:val="20"/>
        </w:rPr>
        <w:t xml:space="preserve"> </w:t>
      </w:r>
      <w:r w:rsidRPr="00D851F9">
        <w:rPr>
          <w:rFonts w:ascii="Times New Roman" w:hAnsi="Times New Roman" w:cs="Times New Roman"/>
          <w:sz w:val="20"/>
          <w:szCs w:val="20"/>
        </w:rPr>
        <w:t xml:space="preserve">91 </w:t>
      </w:r>
      <w:r w:rsidRPr="00D851F9">
        <w:rPr>
          <w:rFonts w:ascii="Times New Roman" w:hAnsi="Times New Roman" w:cs="Times New Roman"/>
          <w:smallCaps/>
          <w:sz w:val="20"/>
          <w:szCs w:val="20"/>
        </w:rPr>
        <w:t>Va. L. Rev</w:t>
      </w:r>
      <w:r w:rsidRPr="00D851F9">
        <w:rPr>
          <w:rFonts w:ascii="Times New Roman" w:hAnsi="Times New Roman" w:cs="Times New Roman"/>
          <w:sz w:val="20"/>
          <w:szCs w:val="20"/>
        </w:rPr>
        <w:t xml:space="preserve">. 347, 348 (2005). </w:t>
      </w:r>
    </w:p>
  </w:footnote>
  <w:footnote w:id="24">
    <w:p w14:paraId="5AFBF0BB" w14:textId="28C519A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 e,g</w:t>
      </w:r>
      <w:r w:rsidRPr="005263A4">
        <w:rPr>
          <w:rFonts w:ascii="Times New Roman" w:hAnsi="Times New Roman" w:cs="Times New Roman"/>
          <w:sz w:val="20"/>
          <w:szCs w:val="20"/>
        </w:rPr>
        <w:t>., S</w:t>
      </w:r>
      <w:r w:rsidRPr="00D851F9">
        <w:rPr>
          <w:rFonts w:ascii="Times New Roman" w:hAnsi="Times New Roman" w:cs="Times New Roman"/>
          <w:sz w:val="20"/>
          <w:szCs w:val="20"/>
        </w:rPr>
        <w:t xml:space="preserve">calia,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_Ref460546731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21</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17; W. David. Slawson, </w:t>
      </w:r>
      <w:r w:rsidRPr="00D851F9">
        <w:rPr>
          <w:rFonts w:ascii="Times New Roman" w:hAnsi="Times New Roman" w:cs="Times New Roman"/>
          <w:i/>
          <w:sz w:val="20"/>
          <w:szCs w:val="20"/>
        </w:rPr>
        <w:t>Legislative History and the Need to Bring Statutory Interpretation Under the Rule of Law</w:t>
      </w:r>
      <w:r w:rsidRPr="00D851F9">
        <w:rPr>
          <w:rFonts w:ascii="Times New Roman" w:hAnsi="Times New Roman" w:cs="Times New Roman"/>
          <w:sz w:val="20"/>
          <w:szCs w:val="20"/>
        </w:rPr>
        <w:t xml:space="preserve">, 44 </w:t>
      </w:r>
      <w:r w:rsidRPr="00D851F9">
        <w:rPr>
          <w:rFonts w:ascii="Times New Roman" w:hAnsi="Times New Roman" w:cs="Times New Roman"/>
          <w:smallCaps/>
          <w:sz w:val="20"/>
          <w:szCs w:val="20"/>
        </w:rPr>
        <w:t>Stan. L. Rev</w:t>
      </w:r>
      <w:r w:rsidRPr="00D851F9">
        <w:rPr>
          <w:rFonts w:ascii="Times New Roman" w:hAnsi="Times New Roman" w:cs="Times New Roman"/>
          <w:sz w:val="20"/>
          <w:szCs w:val="20"/>
        </w:rPr>
        <w:t xml:space="preserve">. 383, 416 (1992); David A. Strauss, </w:t>
      </w:r>
      <w:r w:rsidRPr="00D851F9">
        <w:rPr>
          <w:rFonts w:ascii="Times New Roman" w:hAnsi="Times New Roman" w:cs="Times New Roman"/>
          <w:i/>
          <w:sz w:val="20"/>
          <w:szCs w:val="20"/>
        </w:rPr>
        <w:t xml:space="preserve">Why Plain </w:t>
      </w:r>
      <w:proofErr w:type="gramStart"/>
      <w:r w:rsidRPr="00D851F9">
        <w:rPr>
          <w:rFonts w:ascii="Times New Roman" w:hAnsi="Times New Roman" w:cs="Times New Roman"/>
          <w:i/>
          <w:sz w:val="20"/>
          <w:szCs w:val="20"/>
        </w:rPr>
        <w:t>Meaning?</w:t>
      </w:r>
      <w:r w:rsidRPr="00D851F9">
        <w:rPr>
          <w:rFonts w:ascii="Times New Roman" w:hAnsi="Times New Roman" w:cs="Times New Roman"/>
          <w:sz w:val="20"/>
          <w:szCs w:val="20"/>
        </w:rPr>
        <w:t>,</w:t>
      </w:r>
      <w:proofErr w:type="gramEnd"/>
      <w:r w:rsidRPr="00D851F9">
        <w:rPr>
          <w:rFonts w:ascii="Times New Roman" w:hAnsi="Times New Roman" w:cs="Times New Roman"/>
          <w:sz w:val="20"/>
          <w:szCs w:val="20"/>
        </w:rPr>
        <w:t xml:space="preserve"> 72 </w:t>
      </w:r>
      <w:r w:rsidRPr="00D851F9">
        <w:rPr>
          <w:rFonts w:ascii="Times New Roman" w:hAnsi="Times New Roman" w:cs="Times New Roman"/>
          <w:smallCaps/>
          <w:sz w:val="20"/>
          <w:szCs w:val="20"/>
        </w:rPr>
        <w:t>Notre Dame L. Rev</w:t>
      </w:r>
      <w:r w:rsidRPr="00D851F9">
        <w:rPr>
          <w:rFonts w:ascii="Times New Roman" w:hAnsi="Times New Roman" w:cs="Times New Roman"/>
          <w:sz w:val="20"/>
          <w:szCs w:val="20"/>
        </w:rPr>
        <w:t xml:space="preserve">. 1565, 1565 (1997). </w:t>
      </w:r>
    </w:p>
  </w:footnote>
  <w:footnote w:id="25">
    <w:p w14:paraId="22E232C1" w14:textId="0FFD3088"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Carlos E. Gonzalez, </w:t>
      </w:r>
      <w:r w:rsidRPr="00D851F9">
        <w:rPr>
          <w:rFonts w:ascii="Times New Roman" w:hAnsi="Times New Roman" w:cs="Times New Roman"/>
          <w:i/>
          <w:sz w:val="20"/>
          <w:szCs w:val="20"/>
        </w:rPr>
        <w:t>Reinterpreting Statutory Interpretation</w:t>
      </w:r>
      <w:r w:rsidRPr="00D851F9">
        <w:rPr>
          <w:rFonts w:ascii="Times New Roman" w:hAnsi="Times New Roman" w:cs="Times New Roman"/>
          <w:sz w:val="20"/>
          <w:szCs w:val="20"/>
        </w:rPr>
        <w:t xml:space="preserve">, 74 </w:t>
      </w:r>
      <w:r w:rsidRPr="00D851F9">
        <w:rPr>
          <w:rFonts w:ascii="Times New Roman" w:hAnsi="Times New Roman" w:cs="Times New Roman"/>
          <w:smallCaps/>
          <w:sz w:val="20"/>
          <w:szCs w:val="20"/>
        </w:rPr>
        <w:t>N.C. L. Rev</w:t>
      </w:r>
      <w:r w:rsidRPr="00D851F9">
        <w:rPr>
          <w:rFonts w:ascii="Times New Roman" w:hAnsi="Times New Roman" w:cs="Times New Roman"/>
          <w:sz w:val="20"/>
          <w:szCs w:val="20"/>
        </w:rPr>
        <w:t>. 585, 595 (1996).</w:t>
      </w:r>
    </w:p>
  </w:footnote>
  <w:footnote w:id="26">
    <w:p w14:paraId="3D0D9C8F" w14:textId="2C75C4C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Scalia,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_Ref460546731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21</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16-25.</w:t>
      </w:r>
    </w:p>
  </w:footnote>
  <w:footnote w:id="27">
    <w:p w14:paraId="57DCBE05" w14:textId="6A479CB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t>
      </w:r>
      <w:r>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36 (“In any major piece of legislation, the legislative history is extensive, and there is something for everybody.”); Patricia M. Wald, </w:t>
      </w:r>
      <w:r w:rsidRPr="00D851F9">
        <w:rPr>
          <w:rFonts w:ascii="Times New Roman" w:hAnsi="Times New Roman" w:cs="Times New Roman"/>
          <w:i/>
          <w:sz w:val="20"/>
          <w:szCs w:val="20"/>
        </w:rPr>
        <w:t>Some Observations on the Use of Legislative History in the 1981 Supreme Court Term</w:t>
      </w:r>
      <w:r w:rsidRPr="00D851F9">
        <w:rPr>
          <w:rFonts w:ascii="Times New Roman" w:hAnsi="Times New Roman" w:cs="Times New Roman"/>
          <w:sz w:val="20"/>
          <w:szCs w:val="20"/>
        </w:rPr>
        <w:t xml:space="preserve">, 68 </w:t>
      </w:r>
      <w:r w:rsidRPr="00D851F9">
        <w:rPr>
          <w:rFonts w:ascii="Times New Roman" w:hAnsi="Times New Roman" w:cs="Times New Roman"/>
          <w:smallCaps/>
          <w:sz w:val="20"/>
          <w:szCs w:val="20"/>
        </w:rPr>
        <w:t>Iowa L. Rev</w:t>
      </w:r>
      <w:r w:rsidRPr="00D851F9">
        <w:rPr>
          <w:rFonts w:ascii="Times New Roman" w:hAnsi="Times New Roman" w:cs="Times New Roman"/>
          <w:sz w:val="20"/>
          <w:szCs w:val="20"/>
        </w:rPr>
        <w:t>. 195, 205-06 (1983).</w:t>
      </w:r>
    </w:p>
  </w:footnote>
  <w:footnote w:id="28">
    <w:p w14:paraId="4A72A919" w14:textId="6EAAF35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Eskridge,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_Ref460546773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22</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230. </w:t>
      </w:r>
    </w:p>
  </w:footnote>
  <w:footnote w:id="29">
    <w:p w14:paraId="2F1E2D86" w14:textId="0E3AA8B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Scalia,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w:t>
      </w:r>
      <w:r>
        <w:rPr>
          <w:rFonts w:ascii="Times New Roman" w:hAnsi="Times New Roman" w:cs="Times New Roman"/>
          <w:sz w:val="20"/>
          <w:szCs w:val="20"/>
        </w:rPr>
        <w:t>21</w:t>
      </w:r>
      <w:r w:rsidRPr="00D851F9">
        <w:rPr>
          <w:rFonts w:ascii="Times New Roman" w:hAnsi="Times New Roman" w:cs="Times New Roman"/>
          <w:sz w:val="20"/>
          <w:szCs w:val="20"/>
        </w:rPr>
        <w:t>, at 16-23.</w:t>
      </w:r>
    </w:p>
  </w:footnote>
  <w:footnote w:id="30">
    <w:p w14:paraId="0C6FF5D6" w14:textId="7B66D77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 id</w:t>
      </w:r>
      <w:r>
        <w:rPr>
          <w:rFonts w:ascii="Times New Roman" w:hAnsi="Times New Roman" w:cs="Times New Roman"/>
          <w:i/>
          <w:sz w:val="20"/>
          <w:szCs w:val="20"/>
        </w:rPr>
        <w:t>.</w:t>
      </w:r>
      <w:r w:rsidRPr="00D851F9">
        <w:rPr>
          <w:rFonts w:ascii="Times New Roman" w:hAnsi="Times New Roman" w:cs="Times New Roman"/>
          <w:i/>
          <w:sz w:val="20"/>
          <w:szCs w:val="20"/>
        </w:rPr>
        <w:t xml:space="preserve"> </w:t>
      </w:r>
      <w:r w:rsidRPr="00D851F9">
        <w:rPr>
          <w:rFonts w:ascii="Times New Roman" w:hAnsi="Times New Roman" w:cs="Times New Roman"/>
          <w:sz w:val="20"/>
          <w:szCs w:val="20"/>
        </w:rPr>
        <w:t xml:space="preserve">at 25-27. </w:t>
      </w:r>
    </w:p>
  </w:footnote>
  <w:footnote w:id="31">
    <w:p w14:paraId="6EE1AAE7" w14:textId="3053B667" w:rsidR="00810AB4" w:rsidRPr="00D851F9" w:rsidRDefault="00810AB4" w:rsidP="009F176D">
      <w:pPr>
        <w:pStyle w:val="FootnoteText"/>
      </w:pPr>
      <w:r w:rsidRPr="00D851F9">
        <w:rPr>
          <w:rStyle w:val="FootnoteReference"/>
        </w:rPr>
        <w:footnoteRef/>
      </w:r>
      <w:r w:rsidRPr="00D851F9">
        <w:t xml:space="preserve"> John F. Manning &amp; Matthew C. Stephenson, </w:t>
      </w:r>
      <w:r w:rsidRPr="00D851F9">
        <w:rPr>
          <w:smallCaps/>
        </w:rPr>
        <w:t>Legislation and Regulation: Cases and Materials 202</w:t>
      </w:r>
      <w:r w:rsidRPr="00D851F9">
        <w:t xml:space="preserve"> (2</w:t>
      </w:r>
      <w:r w:rsidRPr="00D851F9">
        <w:rPr>
          <w:vertAlign w:val="superscript"/>
        </w:rPr>
        <w:t>nd</w:t>
      </w:r>
      <w:r w:rsidRPr="00D851F9">
        <w:t xml:space="preserve"> ed. 2013) (noting how semantic canons “are generalizations about how the English language is conventionally used and understood, which judges may use to ‘decode’ statutory terms. The use of semantic canons can therefore be understood simply as a form of textual analysis.”).</w:t>
      </w:r>
    </w:p>
  </w:footnote>
  <w:footnote w:id="32">
    <w:p w14:paraId="385CFE55" w14:textId="115649C6" w:rsidR="00810AB4" w:rsidRPr="00D851F9" w:rsidRDefault="00810AB4" w:rsidP="009F176D">
      <w:pPr>
        <w:pStyle w:val="FootnoteText"/>
      </w:pPr>
      <w:r w:rsidRPr="00D851F9">
        <w:rPr>
          <w:rStyle w:val="FootnoteReference"/>
        </w:rPr>
        <w:footnoteRef/>
      </w:r>
      <w:r w:rsidRPr="00D851F9">
        <w:t xml:space="preserve"> Walker,</w:t>
      </w:r>
      <w:r w:rsidRPr="00D851F9">
        <w:rPr>
          <w:i/>
        </w:rPr>
        <w:t xml:space="preserve"> 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at 1023.</w:t>
      </w:r>
    </w:p>
  </w:footnote>
  <w:footnote w:id="33">
    <w:p w14:paraId="1AFE24A2" w14:textId="40B14D4B" w:rsidR="00810AB4" w:rsidRPr="00D851F9" w:rsidRDefault="00810AB4" w:rsidP="009F176D">
      <w:pPr>
        <w:pStyle w:val="FootnoteText"/>
        <w:rPr>
          <w:i/>
        </w:rPr>
      </w:pPr>
      <w:r w:rsidRPr="00D851F9">
        <w:rPr>
          <w:rStyle w:val="FootnoteReference"/>
        </w:rPr>
        <w:footnoteRef/>
      </w:r>
      <w:r w:rsidRPr="00D851F9">
        <w:t xml:space="preserve"> </w:t>
      </w:r>
      <w:r w:rsidRPr="00D851F9">
        <w:rPr>
          <w:i/>
        </w:rPr>
        <w:t>Id.</w:t>
      </w:r>
    </w:p>
  </w:footnote>
  <w:footnote w:id="34">
    <w:p w14:paraId="2D03D309" w14:textId="3DF278B7" w:rsidR="00810AB4" w:rsidRPr="00D851F9" w:rsidRDefault="00810AB4" w:rsidP="009F176D">
      <w:pPr>
        <w:pStyle w:val="FootnoteText"/>
        <w:rPr>
          <w:i/>
        </w:rPr>
      </w:pPr>
      <w:r w:rsidRPr="00D851F9">
        <w:rPr>
          <w:rStyle w:val="FootnoteReference"/>
        </w:rPr>
        <w:footnoteRef/>
      </w:r>
      <w:r w:rsidRPr="00D851F9">
        <w:t xml:space="preserve"> </w:t>
      </w:r>
      <w:r w:rsidRPr="00D851F9">
        <w:rPr>
          <w:i/>
        </w:rPr>
        <w:t>Id.</w:t>
      </w:r>
    </w:p>
  </w:footnote>
  <w:footnote w:id="35">
    <w:p w14:paraId="601F7992" w14:textId="7777777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e.g., </w:t>
      </w:r>
      <w:r w:rsidRPr="00D851F9">
        <w:rPr>
          <w:rFonts w:ascii="Times New Roman" w:hAnsi="Times New Roman" w:cs="Times New Roman"/>
          <w:sz w:val="20"/>
          <w:szCs w:val="20"/>
        </w:rPr>
        <w:t xml:space="preserve">William N. Eskridge, Jr., Philip Frickey &amp; Elizabeth Garrett, </w:t>
      </w:r>
      <w:r w:rsidRPr="00D851F9">
        <w:rPr>
          <w:rFonts w:ascii="Times New Roman" w:hAnsi="Times New Roman" w:cs="Times New Roman"/>
          <w:smallCaps/>
          <w:sz w:val="20"/>
          <w:szCs w:val="20"/>
        </w:rPr>
        <w:t>Cases and Materials on Legislative Statutes and the Creation of Public Policy</w:t>
      </w:r>
      <w:r w:rsidRPr="00D851F9">
        <w:rPr>
          <w:rFonts w:ascii="Times New Roman" w:hAnsi="Times New Roman" w:cs="Times New Roman"/>
          <w:sz w:val="20"/>
          <w:szCs w:val="20"/>
        </w:rPr>
        <w:t xml:space="preserve"> 852-54 (4</w:t>
      </w:r>
      <w:r w:rsidRPr="00D851F9">
        <w:rPr>
          <w:rFonts w:ascii="Times New Roman" w:hAnsi="Times New Roman" w:cs="Times New Roman"/>
          <w:sz w:val="20"/>
          <w:szCs w:val="20"/>
          <w:vertAlign w:val="superscript"/>
        </w:rPr>
        <w:t>th</w:t>
      </w:r>
      <w:r w:rsidRPr="00D851F9">
        <w:rPr>
          <w:rFonts w:ascii="Times New Roman" w:hAnsi="Times New Roman" w:cs="Times New Roman"/>
          <w:sz w:val="20"/>
          <w:szCs w:val="20"/>
        </w:rPr>
        <w:t xml:space="preserve"> ed. 2007).</w:t>
      </w:r>
    </w:p>
  </w:footnote>
  <w:footnote w:id="36">
    <w:p w14:paraId="459511B9" w14:textId="3658E920" w:rsidR="00810AB4" w:rsidRPr="00D851F9" w:rsidRDefault="00810AB4" w:rsidP="009F176D">
      <w:pPr>
        <w:pStyle w:val="FootnoteText"/>
      </w:pPr>
      <w:r w:rsidRPr="00D851F9">
        <w:rPr>
          <w:rStyle w:val="FootnoteReference"/>
        </w:rPr>
        <w:footnoteRef/>
      </w:r>
      <w:r w:rsidRPr="00D851F9">
        <w:t xml:space="preserve"> Walker,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at 1023.</w:t>
      </w:r>
    </w:p>
  </w:footnote>
  <w:footnote w:id="37">
    <w:p w14:paraId="3287AD68" w14:textId="57B58EA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w:t>
      </w:r>
      <w:r w:rsidRPr="00D851F9">
        <w:rPr>
          <w:rFonts w:ascii="Times New Roman" w:hAnsi="Times New Roman" w:cs="Times New Roman"/>
          <w:i/>
          <w:sz w:val="20"/>
          <w:szCs w:val="20"/>
        </w:rPr>
        <w:t xml:space="preserve"> e.g., </w:t>
      </w:r>
      <w:r w:rsidRPr="00D851F9">
        <w:rPr>
          <w:rFonts w:ascii="Times New Roman" w:hAnsi="Times New Roman" w:cs="Times New Roman"/>
          <w:sz w:val="20"/>
          <w:szCs w:val="20"/>
        </w:rPr>
        <w:t xml:space="preserve">Deborah A. Wildiss, </w:t>
      </w:r>
      <w:r w:rsidRPr="00D851F9">
        <w:rPr>
          <w:rFonts w:ascii="Times New Roman" w:hAnsi="Times New Roman" w:cs="Times New Roman"/>
          <w:i/>
          <w:sz w:val="20"/>
          <w:szCs w:val="20"/>
        </w:rPr>
        <w:t>Undermining Congressional Overrides: The Hydra Problem in Statutory Interpretation</w:t>
      </w:r>
      <w:r w:rsidRPr="00D851F9">
        <w:rPr>
          <w:rFonts w:ascii="Times New Roman" w:hAnsi="Times New Roman" w:cs="Times New Roman"/>
          <w:sz w:val="20"/>
          <w:szCs w:val="20"/>
        </w:rPr>
        <w:t xml:space="preserve">, 90 </w:t>
      </w:r>
      <w:r w:rsidRPr="00D851F9">
        <w:rPr>
          <w:rFonts w:ascii="Times New Roman" w:hAnsi="Times New Roman" w:cs="Times New Roman"/>
          <w:smallCaps/>
          <w:sz w:val="20"/>
          <w:szCs w:val="20"/>
        </w:rPr>
        <w:t>Texas L. Rev.</w:t>
      </w:r>
      <w:r>
        <w:rPr>
          <w:rFonts w:ascii="Times New Roman" w:hAnsi="Times New Roman" w:cs="Times New Roman"/>
          <w:sz w:val="20"/>
          <w:szCs w:val="20"/>
        </w:rPr>
        <w:t xml:space="preserve"> 859,</w:t>
      </w:r>
      <w:r w:rsidRPr="00D851F9">
        <w:rPr>
          <w:rFonts w:ascii="Times New Roman" w:hAnsi="Times New Roman" w:cs="Times New Roman"/>
          <w:sz w:val="20"/>
          <w:szCs w:val="20"/>
        </w:rPr>
        <w:t xml:space="preserve"> 871 (2012).</w:t>
      </w:r>
    </w:p>
  </w:footnote>
  <w:footnote w:id="38">
    <w:p w14:paraId="1A1440AE" w14:textId="3391D53F" w:rsidR="00810AB4" w:rsidRPr="00D851F9" w:rsidRDefault="00810AB4" w:rsidP="009F176D">
      <w:pPr>
        <w:spacing w:after="0" w:line="240" w:lineRule="auto"/>
        <w:rPr>
          <w:rFonts w:ascii="Times New Roman" w:hAnsi="Times New Roman" w:cs="Times New Roman"/>
          <w:sz w:val="20"/>
          <w:szCs w:val="20"/>
          <w:u w:val="single"/>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Eskridge et al.,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_Ref460546962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35</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862-65.</w:t>
      </w:r>
    </w:p>
  </w:footnote>
  <w:footnote w:id="39">
    <w:p w14:paraId="16021B25" w14:textId="77777777"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 id.</w:t>
      </w:r>
      <w:r w:rsidRPr="00D851F9">
        <w:rPr>
          <w:rFonts w:ascii="Times New Roman" w:hAnsi="Times New Roman" w:cs="Times New Roman"/>
          <w:sz w:val="20"/>
          <w:szCs w:val="20"/>
        </w:rPr>
        <w:t xml:space="preserve">  It also includes the rule that both the title and preamble of a statute can be relevant in determining statutory meaning. </w:t>
      </w:r>
      <w:r w:rsidRPr="00D851F9">
        <w:rPr>
          <w:rFonts w:ascii="Times New Roman" w:hAnsi="Times New Roman" w:cs="Times New Roman"/>
          <w:i/>
          <w:sz w:val="20"/>
          <w:szCs w:val="20"/>
        </w:rPr>
        <w:t>See id.</w:t>
      </w:r>
    </w:p>
  </w:footnote>
  <w:footnote w:id="40">
    <w:p w14:paraId="4E01D28E" w14:textId="7CAE9D6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Eskridge,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_Ref460546773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22</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221-30 (describing categories of intentionalist interpretations).</w:t>
      </w:r>
    </w:p>
  </w:footnote>
  <w:footnote w:id="41">
    <w:p w14:paraId="36F765BB" w14:textId="585B33B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 id.; see also</w:t>
      </w:r>
      <w:r w:rsidRPr="00D851F9">
        <w:rPr>
          <w:rFonts w:ascii="Times New Roman" w:hAnsi="Times New Roman" w:cs="Times New Roman"/>
          <w:sz w:val="20"/>
          <w:szCs w:val="20"/>
        </w:rPr>
        <w:t xml:space="preserve"> Stephen Breyer, </w:t>
      </w:r>
      <w:r w:rsidRPr="00D851F9">
        <w:rPr>
          <w:rFonts w:ascii="Times New Roman" w:hAnsi="Times New Roman" w:cs="Times New Roman"/>
          <w:smallCaps/>
          <w:sz w:val="20"/>
          <w:szCs w:val="20"/>
        </w:rPr>
        <w:t>Active Liberty: Interpreting Our Democratic Constitution</w:t>
      </w:r>
      <w:r w:rsidRPr="00D851F9">
        <w:rPr>
          <w:rFonts w:ascii="Times New Roman" w:hAnsi="Times New Roman" w:cs="Times New Roman"/>
          <w:i/>
          <w:sz w:val="20"/>
          <w:szCs w:val="20"/>
        </w:rPr>
        <w:t xml:space="preserve"> </w:t>
      </w:r>
      <w:r w:rsidRPr="00D851F9">
        <w:rPr>
          <w:rFonts w:ascii="Times New Roman" w:hAnsi="Times New Roman" w:cs="Times New Roman"/>
          <w:sz w:val="20"/>
          <w:szCs w:val="20"/>
        </w:rPr>
        <w:t xml:space="preserve">85-101 (2005) (advancing a purposive approach to the Constitution). </w:t>
      </w:r>
    </w:p>
  </w:footnote>
  <w:footnote w:id="42">
    <w:p w14:paraId="4D587126" w14:textId="5A344FA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William N. Eskridge, Jr. &amp; Philip P. Frickey, </w:t>
      </w:r>
      <w:r w:rsidRPr="00D851F9">
        <w:rPr>
          <w:rFonts w:ascii="Times New Roman" w:hAnsi="Times New Roman" w:cs="Times New Roman"/>
          <w:i/>
          <w:sz w:val="20"/>
          <w:szCs w:val="20"/>
        </w:rPr>
        <w:t>An Historical and Critical Introduction</w:t>
      </w:r>
      <w:r w:rsidRPr="00D851F9">
        <w:rPr>
          <w:rFonts w:ascii="Times New Roman" w:hAnsi="Times New Roman" w:cs="Times New Roman"/>
          <w:sz w:val="20"/>
          <w:szCs w:val="20"/>
        </w:rPr>
        <w:t xml:space="preserve">, in Henry M. Hart, Jr. and Albert M. Sacks, </w:t>
      </w:r>
      <w:r w:rsidRPr="00D851F9">
        <w:rPr>
          <w:rFonts w:ascii="Times New Roman" w:hAnsi="Times New Roman" w:cs="Times New Roman"/>
          <w:smallCaps/>
          <w:sz w:val="20"/>
          <w:szCs w:val="20"/>
        </w:rPr>
        <w:t>The Legal Process: Basic Problems in the Making and Application of Law</w:t>
      </w:r>
      <w:r w:rsidRPr="00D851F9">
        <w:rPr>
          <w:rFonts w:ascii="Times New Roman" w:hAnsi="Times New Roman" w:cs="Times New Roman"/>
          <w:sz w:val="20"/>
          <w:szCs w:val="20"/>
        </w:rPr>
        <w:t xml:space="preserve">, at xcii (William N. Eskridge, Jr. &amp; Phillip P. Frickey, eds., 1994), at 321; William N. Eskridge, Jr. </w:t>
      </w:r>
      <w:r w:rsidRPr="00D851F9">
        <w:rPr>
          <w:rFonts w:ascii="Times New Roman" w:hAnsi="Times New Roman" w:cs="Times New Roman"/>
          <w:i/>
          <w:sz w:val="20"/>
          <w:szCs w:val="20"/>
        </w:rPr>
        <w:t>Dynamic Statutory Interpretation</w:t>
      </w:r>
      <w:r w:rsidRPr="00D851F9">
        <w:rPr>
          <w:rFonts w:ascii="Times New Roman" w:hAnsi="Times New Roman" w:cs="Times New Roman"/>
          <w:sz w:val="20"/>
          <w:szCs w:val="20"/>
        </w:rPr>
        <w:t xml:space="preserve">, 135 </w:t>
      </w:r>
      <w:r w:rsidRPr="00D851F9">
        <w:rPr>
          <w:rFonts w:ascii="Times New Roman" w:hAnsi="Times New Roman" w:cs="Times New Roman"/>
          <w:smallCaps/>
          <w:sz w:val="20"/>
          <w:szCs w:val="20"/>
        </w:rPr>
        <w:t xml:space="preserve">U. Pa. L. Rev. </w:t>
      </w:r>
      <w:r w:rsidRPr="00D851F9">
        <w:rPr>
          <w:rFonts w:ascii="Times New Roman" w:hAnsi="Times New Roman" w:cs="Times New Roman"/>
          <w:sz w:val="20"/>
          <w:szCs w:val="20"/>
        </w:rPr>
        <w:t xml:space="preserve">1479, 1479 (1987); T. Alexander Aleinikoff, </w:t>
      </w:r>
      <w:r w:rsidRPr="00D851F9">
        <w:rPr>
          <w:rFonts w:ascii="Times New Roman" w:hAnsi="Times New Roman" w:cs="Times New Roman"/>
          <w:i/>
          <w:sz w:val="20"/>
          <w:szCs w:val="20"/>
        </w:rPr>
        <w:t>Updating Statutory Interpretation</w:t>
      </w:r>
      <w:r w:rsidRPr="00D851F9">
        <w:rPr>
          <w:rFonts w:ascii="Times New Roman" w:hAnsi="Times New Roman" w:cs="Times New Roman"/>
          <w:sz w:val="20"/>
          <w:szCs w:val="20"/>
        </w:rPr>
        <w:t xml:space="preserve">, 87 </w:t>
      </w:r>
      <w:r w:rsidRPr="00D851F9">
        <w:rPr>
          <w:rFonts w:ascii="Times New Roman" w:hAnsi="Times New Roman" w:cs="Times New Roman"/>
          <w:smallCaps/>
          <w:sz w:val="20"/>
          <w:szCs w:val="20"/>
        </w:rPr>
        <w:t>Mich. L. Rev</w:t>
      </w:r>
      <w:r w:rsidRPr="00D851F9">
        <w:rPr>
          <w:rFonts w:ascii="Times New Roman" w:hAnsi="Times New Roman" w:cs="Times New Roman"/>
          <w:sz w:val="20"/>
          <w:szCs w:val="20"/>
        </w:rPr>
        <w:t xml:space="preserve">. 20, 46 (198) (“[S]tatutes ought to be responsive to today’s world. They ought to be made to fit, as best they can, into the current legal landscape.”). </w:t>
      </w:r>
    </w:p>
  </w:footnote>
  <w:footnote w:id="43">
    <w:p w14:paraId="4C069019" w14:textId="51D9C8F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Eskridge,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_Ref460547054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42</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1483.</w:t>
      </w:r>
    </w:p>
  </w:footnote>
  <w:footnote w:id="44">
    <w:p w14:paraId="32D2EEC4" w14:textId="2AFEB2D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Eskridge &amp; Frickey,</w:t>
      </w:r>
      <w:r w:rsidRPr="00D851F9">
        <w:rPr>
          <w:rFonts w:ascii="Times New Roman" w:hAnsi="Times New Roman" w:cs="Times New Roman"/>
          <w:i/>
          <w:sz w:val="20"/>
          <w:szCs w:val="20"/>
        </w:rPr>
        <w:t xml:space="preserve"> 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_Ref460547054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42</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321.</w:t>
      </w:r>
    </w:p>
  </w:footnote>
  <w:footnote w:id="45">
    <w:p w14:paraId="611EAD51" w14:textId="0820EF6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Breyer,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_Ref460547183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41</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101 (noting that purposive-driven theories “help[] statutes match their means to their overall public policy objectives, a match that helps translate the popular will into sound policy”). </w:t>
      </w:r>
    </w:p>
  </w:footnote>
  <w:footnote w:id="46">
    <w:p w14:paraId="26089807" w14:textId="2C4BADFC"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id. </w:t>
      </w:r>
      <w:r w:rsidRPr="00D851F9">
        <w:rPr>
          <w:rFonts w:ascii="Times New Roman" w:hAnsi="Times New Roman" w:cs="Times New Roman"/>
          <w:sz w:val="20"/>
          <w:szCs w:val="20"/>
        </w:rPr>
        <w:t xml:space="preserve">at 85. </w:t>
      </w:r>
    </w:p>
  </w:footnote>
  <w:footnote w:id="47">
    <w:p w14:paraId="42B7A996" w14:textId="728C11F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Eskridge,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_Ref460546773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22</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26 (purposivism “allows a statute to evolve to meet new problems”). </w:t>
      </w:r>
    </w:p>
  </w:footnote>
  <w:footnote w:id="48">
    <w:p w14:paraId="32BD0A4D" w14:textId="577361E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Breyer,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41, at 88 (nothing that purposive theories try to ascertain how Congress “would have wanted a court to interpret the statute in light of present circumstances in the particular case”). </w:t>
      </w:r>
    </w:p>
  </w:footnote>
  <w:footnote w:id="49">
    <w:p w14:paraId="70CD20B2" w14:textId="3C918F17" w:rsidR="00810AB4" w:rsidRPr="00D851F9" w:rsidRDefault="00810AB4">
      <w:pPr>
        <w:pStyle w:val="FootnoteText"/>
      </w:pPr>
      <w:r w:rsidRPr="00D851F9">
        <w:rPr>
          <w:rStyle w:val="FootnoteReference"/>
        </w:rPr>
        <w:footnoteRef/>
      </w:r>
      <w:r w:rsidRPr="00D851F9">
        <w:t xml:space="preserve"> </w:t>
      </w:r>
      <w:r w:rsidRPr="00D851F9">
        <w:rPr>
          <w:i/>
        </w:rPr>
        <w:t>See</w:t>
      </w:r>
      <w:r w:rsidRPr="00D851F9">
        <w:t xml:space="preserve"> Fisk &amp; Malamud, </w:t>
      </w:r>
      <w:r w:rsidRPr="00D851F9">
        <w:rPr>
          <w:i/>
        </w:rPr>
        <w:t xml:space="preserve">supra </w:t>
      </w:r>
      <w:r w:rsidRPr="00D851F9">
        <w:t>note 18, at 2020 (noting multiple purposes of labor law).</w:t>
      </w:r>
    </w:p>
  </w:footnote>
  <w:footnote w:id="50">
    <w:p w14:paraId="08B8DD7B" w14:textId="689928E6" w:rsidR="00810AB4" w:rsidRPr="00D851F9" w:rsidRDefault="00810AB4">
      <w:pPr>
        <w:pStyle w:val="FootnoteText"/>
      </w:pPr>
      <w:r w:rsidRPr="00D851F9">
        <w:rPr>
          <w:rStyle w:val="FootnoteReference"/>
        </w:rPr>
        <w:footnoteRef/>
      </w:r>
      <w:r w:rsidRPr="00D851F9">
        <w:t xml:space="preserve"> </w:t>
      </w:r>
      <w:r w:rsidRPr="00D851F9">
        <w:rPr>
          <w:i/>
        </w:rPr>
        <w:t>See</w:t>
      </w:r>
      <w:r w:rsidRPr="00D851F9">
        <w:t xml:space="preserve"> Eskridge, </w:t>
      </w:r>
      <w:r w:rsidRPr="00D851F9">
        <w:rPr>
          <w:i/>
        </w:rPr>
        <w:t>supra</w:t>
      </w:r>
      <w:r w:rsidRPr="00D851F9">
        <w:t xml:space="preserve"> note </w:t>
      </w:r>
      <w:r w:rsidRPr="00D851F9">
        <w:fldChar w:fldCharType="begin"/>
      </w:r>
      <w:r w:rsidRPr="00D851F9">
        <w:instrText xml:space="preserve"> NOTEREF _Ref460546773 \h  \* MERGEFORMAT </w:instrText>
      </w:r>
      <w:r w:rsidRPr="00D851F9">
        <w:fldChar w:fldCharType="separate"/>
      </w:r>
      <w:r w:rsidRPr="00D851F9">
        <w:t>22</w:t>
      </w:r>
      <w:r w:rsidRPr="00D851F9">
        <w:fldChar w:fldCharType="end"/>
      </w:r>
      <w:r w:rsidRPr="00D851F9">
        <w:t xml:space="preserve">, at 27 (“identifying the actual or even conventional purpose of a statute is just as difficult as identifying the actual or conventional intent of the legislature, or perhaps even more so, since legislators may have incentives to obscure the real purpose of a statute”).  </w:t>
      </w:r>
    </w:p>
  </w:footnote>
  <w:footnote w:id="51">
    <w:p w14:paraId="1707EABF" w14:textId="7D519595" w:rsidR="00810AB4" w:rsidRPr="00D851F9" w:rsidRDefault="00810AB4">
      <w:pPr>
        <w:pStyle w:val="FootnoteText"/>
      </w:pPr>
      <w:r w:rsidRPr="00D851F9">
        <w:rPr>
          <w:rStyle w:val="FootnoteReference"/>
        </w:rPr>
        <w:footnoteRef/>
      </w:r>
      <w:r w:rsidRPr="00D851F9">
        <w:t xml:space="preserve"> </w:t>
      </w:r>
      <w:r w:rsidRPr="00D851F9">
        <w:rPr>
          <w:i/>
        </w:rPr>
        <w:t>See</w:t>
      </w:r>
      <w:r w:rsidRPr="00D851F9">
        <w:t xml:space="preserve"> Gluck &amp; Bressman, </w:t>
      </w:r>
      <w:r w:rsidRPr="00D851F9">
        <w:rPr>
          <w:i/>
        </w:rPr>
        <w:t>supra</w:t>
      </w:r>
      <w:r w:rsidRPr="00D851F9">
        <w:t xml:space="preserve"> note 6, at 976.</w:t>
      </w:r>
    </w:p>
  </w:footnote>
  <w:footnote w:id="52">
    <w:p w14:paraId="1F574390" w14:textId="097BB40C"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t>
      </w:r>
      <w:r>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976-78 (noting that committee-produced legislative history is the most reliable); Walker,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_Ref460548149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6</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1044 (finding committee and conference reports most reliable, with floor statements and hearing transcripts less reliable); Jorge L. Carro &amp; Andrew R. Brann, </w:t>
      </w:r>
      <w:r w:rsidRPr="00D851F9">
        <w:rPr>
          <w:rFonts w:ascii="Times New Roman" w:hAnsi="Times New Roman" w:cs="Times New Roman"/>
          <w:i/>
          <w:sz w:val="20"/>
          <w:szCs w:val="20"/>
        </w:rPr>
        <w:t>The U.S. Supreme Court and the Use of Legislative Histories: A Statistical Analysis</w:t>
      </w:r>
      <w:r w:rsidRPr="00D851F9">
        <w:rPr>
          <w:rFonts w:ascii="Times New Roman" w:hAnsi="Times New Roman" w:cs="Times New Roman"/>
          <w:sz w:val="20"/>
          <w:szCs w:val="20"/>
        </w:rPr>
        <w:t xml:space="preserve">, 22 </w:t>
      </w:r>
      <w:r w:rsidRPr="00D851F9">
        <w:rPr>
          <w:rFonts w:ascii="Times New Roman" w:hAnsi="Times New Roman" w:cs="Times New Roman"/>
          <w:smallCaps/>
          <w:sz w:val="20"/>
          <w:szCs w:val="20"/>
        </w:rPr>
        <w:t>Jurimetrics</w:t>
      </w:r>
      <w:r w:rsidRPr="00D851F9">
        <w:rPr>
          <w:rFonts w:ascii="Times New Roman" w:hAnsi="Times New Roman" w:cs="Times New Roman"/>
          <w:sz w:val="20"/>
          <w:szCs w:val="20"/>
        </w:rPr>
        <w:t xml:space="preserve"> 294,299 (1982) (noting that the Supreme Court cites to committee reports more than other types of legislative history); Michael H. Koby, </w:t>
      </w:r>
      <w:r w:rsidRPr="00D851F9">
        <w:rPr>
          <w:rFonts w:ascii="Times New Roman" w:hAnsi="Times New Roman" w:cs="Times New Roman"/>
          <w:i/>
          <w:sz w:val="20"/>
          <w:szCs w:val="20"/>
        </w:rPr>
        <w:t>The Supreme Court’s Declining Reliance on Legislative History: The Impact of Scalia’s Critique</w:t>
      </w:r>
      <w:r w:rsidRPr="00D851F9">
        <w:rPr>
          <w:rFonts w:ascii="Times New Roman" w:hAnsi="Times New Roman" w:cs="Times New Roman"/>
          <w:sz w:val="20"/>
          <w:szCs w:val="20"/>
        </w:rPr>
        <w:t xml:space="preserve">, 36 </w:t>
      </w:r>
      <w:r w:rsidRPr="00D851F9">
        <w:rPr>
          <w:rFonts w:ascii="Times New Roman" w:hAnsi="Times New Roman" w:cs="Times New Roman"/>
          <w:smallCaps/>
          <w:sz w:val="20"/>
          <w:szCs w:val="20"/>
        </w:rPr>
        <w:t>Harvard J. on Legis</w:t>
      </w:r>
      <w:r w:rsidRPr="00D851F9">
        <w:rPr>
          <w:rFonts w:ascii="Times New Roman" w:hAnsi="Times New Roman" w:cs="Times New Roman"/>
          <w:sz w:val="20"/>
          <w:szCs w:val="20"/>
        </w:rPr>
        <w:t xml:space="preserve">. 369, 390 (1999); Krishnakumar,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_Ref460546150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9</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237. </w:t>
      </w:r>
    </w:p>
  </w:footnote>
  <w:footnote w:id="53">
    <w:p w14:paraId="37E55B6E" w14:textId="49DAAE68" w:rsidR="00810AB4" w:rsidRPr="00D851F9" w:rsidRDefault="00810AB4" w:rsidP="009F176D">
      <w:pPr>
        <w:pStyle w:val="FootnoteText"/>
      </w:pPr>
      <w:r w:rsidRPr="00D851F9">
        <w:rPr>
          <w:rStyle w:val="FootnoteReference"/>
        </w:rPr>
        <w:footnoteRef/>
      </w:r>
      <w:r w:rsidRPr="00D851F9">
        <w:t xml:space="preserve"> Gluck &amp; Bressman,</w:t>
      </w:r>
      <w:r w:rsidRPr="00D851F9">
        <w:rPr>
          <w:i/>
        </w:rPr>
        <w:t xml:space="preserve"> supra </w:t>
      </w:r>
      <w:r w:rsidRPr="00D851F9">
        <w:t xml:space="preserve">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at 979.</w:t>
      </w:r>
    </w:p>
  </w:footnote>
  <w:footnote w:id="54">
    <w:p w14:paraId="18A4B52C" w14:textId="596DE7E1" w:rsidR="00810AB4" w:rsidRPr="00D851F9" w:rsidRDefault="00810AB4" w:rsidP="009F176D">
      <w:pPr>
        <w:pStyle w:val="FootnoteText"/>
      </w:pPr>
      <w:r w:rsidRPr="00D851F9">
        <w:rPr>
          <w:rStyle w:val="FootnoteReference"/>
        </w:rPr>
        <w:footnoteRef/>
      </w:r>
      <w:r w:rsidRPr="00D851F9">
        <w:t xml:space="preserve"> </w:t>
      </w:r>
      <w:r w:rsidRPr="00D851F9">
        <w:rPr>
          <w:i/>
        </w:rPr>
        <w:t xml:space="preserve">Id. </w:t>
      </w:r>
      <w:r w:rsidRPr="00D851F9">
        <w:t>at 978.</w:t>
      </w:r>
    </w:p>
  </w:footnote>
  <w:footnote w:id="55">
    <w:p w14:paraId="28D8D6D7" w14:textId="269A6E13" w:rsidR="00810AB4" w:rsidRPr="00D851F9" w:rsidRDefault="00810AB4" w:rsidP="009F176D">
      <w:pPr>
        <w:pStyle w:val="FootnoteText"/>
      </w:pPr>
      <w:r w:rsidRPr="00D851F9">
        <w:rPr>
          <w:rStyle w:val="FootnoteReference"/>
        </w:rPr>
        <w:footnoteRef/>
      </w:r>
      <w:r w:rsidRPr="00D851F9">
        <w:t xml:space="preserve"> </w:t>
      </w:r>
      <w:r w:rsidRPr="00D851F9">
        <w:rPr>
          <w:i/>
        </w:rPr>
        <w:t xml:space="preserve">Id. </w:t>
      </w:r>
      <w:r>
        <w:t xml:space="preserve">at 978. </w:t>
      </w:r>
      <w:r w:rsidRPr="00D851F9">
        <w:t>As Gluck &amp; Bressman note, “these group-produced pieces of legislative history often convey bipartisan, multimember understandings, and disagreeing members typically will have an opportunity to respond to them. These reports also seem likely to have agencies and other members as at least part of their intended audiences— that is, they are more likely to have internal institutional and implementation-related functions. Groups reports also are particularly unlikely to be focused on the reelection prospects of a single member.”</w:t>
      </w:r>
    </w:p>
  </w:footnote>
  <w:footnote w:id="56">
    <w:p w14:paraId="41C6E997" w14:textId="51A5523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934 (examining the use of dueling canons of construction in Supreme Court majority and dissenting opinions) (“They reflect judicially preferred policy positions, expressed as rules of thumb about how to treat statutory text in light of constitutional priorities, common-law practices, or specific statute-based policies.”); Manning &amp; Stephenson,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31, at 247 (noting that substantive canons “do not purport to be neutral formalizations of background understandings about the way people use and understand the English language. Instead, these substantive canons ask interprets to put a thumb on a scale in favor of some value or policy that courts have identified as worthy of special protection.”); Henry M. Hart, Jr. &amp; Albert M. Sacks, </w:t>
      </w:r>
      <w:r w:rsidRPr="00D851F9">
        <w:rPr>
          <w:rFonts w:ascii="Times New Roman" w:hAnsi="Times New Roman" w:cs="Times New Roman"/>
          <w:smallCaps/>
          <w:sz w:val="20"/>
          <w:szCs w:val="20"/>
        </w:rPr>
        <w:t>The Legal Process: Basic Problems in the Making and Application of Law</w:t>
      </w:r>
      <w:r w:rsidRPr="00D851F9">
        <w:rPr>
          <w:rFonts w:ascii="Times New Roman" w:hAnsi="Times New Roman" w:cs="Times New Roman"/>
          <w:sz w:val="20"/>
          <w:szCs w:val="20"/>
        </w:rPr>
        <w:t xml:space="preserve"> 1376 (William N. Eskridge, Jr. &amp; Philip P. Frickey eds., 1994) (noting that substantive canons “promote objectives of the legal system which transcend the wishes of any particular session of the legislature.”). </w:t>
      </w:r>
    </w:p>
  </w:footnote>
  <w:footnote w:id="57">
    <w:p w14:paraId="6F77DC79" w14:textId="18B2ED69" w:rsidR="00810AB4" w:rsidRPr="00D851F9" w:rsidRDefault="00810AB4" w:rsidP="009F176D">
      <w:pPr>
        <w:pStyle w:val="FootnoteText"/>
      </w:pPr>
      <w:r w:rsidRPr="00D851F9">
        <w:rPr>
          <w:rStyle w:val="FootnoteReference"/>
        </w:rPr>
        <w:footnoteRef/>
      </w:r>
      <w:r w:rsidRPr="00D851F9">
        <w:t xml:space="preserve"> </w:t>
      </w:r>
      <w:r w:rsidRPr="00D851F9">
        <w:rPr>
          <w:i/>
        </w:rPr>
        <w:t>See</w:t>
      </w:r>
      <w:r w:rsidRPr="00D851F9">
        <w:t xml:space="preserve"> Gluck &amp; Bressman,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at 940.</w:t>
      </w:r>
    </w:p>
  </w:footnote>
  <w:footnote w:id="58">
    <w:p w14:paraId="71D76761" w14:textId="33BF4135" w:rsidR="00810AB4" w:rsidRPr="00BF6439" w:rsidRDefault="00810AB4">
      <w:pPr>
        <w:pStyle w:val="FootnoteText"/>
        <w:rPr>
          <w:i/>
        </w:rPr>
      </w:pPr>
      <w:r>
        <w:rPr>
          <w:rStyle w:val="FootnoteReference"/>
        </w:rPr>
        <w:footnoteRef/>
      </w:r>
      <w:r>
        <w:t xml:space="preserve"> </w:t>
      </w:r>
      <w:r>
        <w:rPr>
          <w:i/>
        </w:rPr>
        <w:t>Id.</w:t>
      </w:r>
    </w:p>
  </w:footnote>
  <w:footnote w:id="59">
    <w:p w14:paraId="00F2DFDE" w14:textId="534CCD5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Walker,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_Ref460548149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6</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1005. </w:t>
      </w:r>
    </w:p>
  </w:footnote>
  <w:footnote w:id="60">
    <w:p w14:paraId="63D4E6C1" w14:textId="2D3E821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James J. Brudney &amp; Corey Ditslear, </w:t>
      </w:r>
      <w:r w:rsidRPr="00D851F9">
        <w:rPr>
          <w:rFonts w:ascii="Times New Roman" w:hAnsi="Times New Roman" w:cs="Times New Roman"/>
          <w:i/>
          <w:sz w:val="20"/>
          <w:szCs w:val="20"/>
        </w:rPr>
        <w:t>Canons of Construction and the Elusive Quest for Neutral Reasoning</w:t>
      </w:r>
      <w:r w:rsidRPr="00D851F9">
        <w:rPr>
          <w:rFonts w:ascii="Times New Roman" w:hAnsi="Times New Roman" w:cs="Times New Roman"/>
          <w:sz w:val="20"/>
          <w:szCs w:val="20"/>
        </w:rPr>
        <w:t xml:space="preserve">, 58 </w:t>
      </w:r>
      <w:r w:rsidRPr="00D851F9">
        <w:rPr>
          <w:rFonts w:ascii="Times New Roman" w:hAnsi="Times New Roman" w:cs="Times New Roman"/>
          <w:smallCaps/>
          <w:sz w:val="20"/>
          <w:szCs w:val="20"/>
        </w:rPr>
        <w:t>Vand. L. Rev.</w:t>
      </w:r>
      <w:r w:rsidRPr="00D851F9">
        <w:rPr>
          <w:rFonts w:ascii="Times New Roman" w:hAnsi="Times New Roman" w:cs="Times New Roman"/>
          <w:sz w:val="20"/>
          <w:szCs w:val="20"/>
        </w:rPr>
        <w:t xml:space="preserve"> 1, 4 (2005); David S. Law &amp; David Zaring, </w:t>
      </w:r>
      <w:r w:rsidRPr="00D851F9">
        <w:rPr>
          <w:rFonts w:ascii="Times New Roman" w:hAnsi="Times New Roman" w:cs="Times New Roman"/>
          <w:i/>
          <w:sz w:val="20"/>
          <w:szCs w:val="20"/>
        </w:rPr>
        <w:t>Law Versus Ideology: The Supreme Court and the Use of Legislative History</w:t>
      </w:r>
      <w:r w:rsidRPr="00D851F9">
        <w:rPr>
          <w:rFonts w:ascii="Times New Roman" w:hAnsi="Times New Roman" w:cs="Times New Roman"/>
          <w:sz w:val="20"/>
          <w:szCs w:val="20"/>
        </w:rPr>
        <w:t xml:space="preserve">, 51 </w:t>
      </w:r>
      <w:r w:rsidRPr="00D851F9">
        <w:rPr>
          <w:rFonts w:ascii="Times New Roman" w:hAnsi="Times New Roman" w:cs="Times New Roman"/>
          <w:smallCaps/>
          <w:sz w:val="20"/>
          <w:szCs w:val="20"/>
        </w:rPr>
        <w:t>Wm. &amp; Mary L. Rev</w:t>
      </w:r>
      <w:r w:rsidRPr="00D851F9">
        <w:rPr>
          <w:rFonts w:ascii="Times New Roman" w:hAnsi="Times New Roman" w:cs="Times New Roman"/>
          <w:sz w:val="20"/>
          <w:szCs w:val="20"/>
        </w:rPr>
        <w:t xml:space="preserve">. 1653, 1654 (2010); </w:t>
      </w:r>
      <w:r w:rsidRPr="00D851F9">
        <w:rPr>
          <w:rFonts w:ascii="Times New Roman" w:hAnsi="Times New Roman" w:cs="Times New Roman"/>
          <w:i/>
          <w:sz w:val="20"/>
          <w:szCs w:val="20"/>
        </w:rPr>
        <w:t xml:space="preserve">see also </w:t>
      </w:r>
      <w:r w:rsidRPr="00D851F9">
        <w:rPr>
          <w:rFonts w:ascii="Times New Roman" w:hAnsi="Times New Roman" w:cs="Times New Roman"/>
          <w:sz w:val="20"/>
          <w:szCs w:val="20"/>
        </w:rPr>
        <w:t xml:space="preserve">Nicholas S. Zeppos, </w:t>
      </w:r>
      <w:r w:rsidRPr="00D851F9">
        <w:rPr>
          <w:rFonts w:ascii="Times New Roman" w:hAnsi="Times New Roman" w:cs="Times New Roman"/>
          <w:i/>
          <w:sz w:val="20"/>
          <w:szCs w:val="20"/>
        </w:rPr>
        <w:t xml:space="preserve">The Use of Authority in Statutory Interpretation: An Empirical Analysis, </w:t>
      </w:r>
      <w:r w:rsidRPr="00D851F9">
        <w:rPr>
          <w:rFonts w:ascii="Times New Roman" w:hAnsi="Times New Roman" w:cs="Times New Roman"/>
          <w:sz w:val="20"/>
          <w:szCs w:val="20"/>
        </w:rPr>
        <w:t xml:space="preserve">70 </w:t>
      </w:r>
      <w:r w:rsidRPr="00D851F9">
        <w:rPr>
          <w:rFonts w:ascii="Times New Roman" w:hAnsi="Times New Roman" w:cs="Times New Roman"/>
          <w:smallCaps/>
          <w:sz w:val="20"/>
          <w:szCs w:val="20"/>
        </w:rPr>
        <w:t>Tex. L. Rev.</w:t>
      </w:r>
      <w:r w:rsidRPr="00D851F9">
        <w:rPr>
          <w:rFonts w:ascii="Times New Roman" w:hAnsi="Times New Roman" w:cs="Times New Roman"/>
          <w:sz w:val="20"/>
          <w:szCs w:val="20"/>
        </w:rPr>
        <w:t xml:space="preserve"> 1073, 1074-75 (1992).</w:t>
      </w:r>
    </w:p>
  </w:footnote>
  <w:footnote w:id="61">
    <w:p w14:paraId="1224F580" w14:textId="2D90013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Krishnakumar,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_Ref460546150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9</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934 (examining the use of dueling canons of construction in Supreme Court majority and dissenting opinions). </w:t>
      </w:r>
    </w:p>
  </w:footnote>
  <w:footnote w:id="62">
    <w:p w14:paraId="079B46A1" w14:textId="56B82DE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 id.</w:t>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also </w:t>
      </w:r>
      <w:r>
        <w:rPr>
          <w:rFonts w:ascii="Times New Roman" w:hAnsi="Times New Roman" w:cs="Times New Roman"/>
          <w:sz w:val="20"/>
          <w:szCs w:val="20"/>
        </w:rPr>
        <w:t>Brudney &amp; Ditslea</w:t>
      </w:r>
      <w:r w:rsidRPr="00D851F9">
        <w:rPr>
          <w:rFonts w:ascii="Times New Roman" w:hAnsi="Times New Roman" w:cs="Times New Roman"/>
          <w:sz w:val="20"/>
          <w:szCs w:val="20"/>
        </w:rPr>
        <w:t xml:space="preserve">r,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60</w:t>
      </w:r>
      <w:r w:rsidRPr="00D851F9">
        <w:rPr>
          <w:rFonts w:ascii="Times New Roman" w:hAnsi="Times New Roman" w:cs="Times New Roman"/>
          <w:sz w:val="20"/>
          <w:szCs w:val="20"/>
        </w:rPr>
        <w:t xml:space="preserve">, at 4; Law &amp; Zaring,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60</w:t>
      </w:r>
      <w:r w:rsidRPr="00D851F9">
        <w:rPr>
          <w:rFonts w:ascii="Times New Roman" w:hAnsi="Times New Roman" w:cs="Times New Roman"/>
          <w:sz w:val="20"/>
          <w:szCs w:val="20"/>
        </w:rPr>
        <w:t>, at 1654.</w:t>
      </w:r>
    </w:p>
  </w:footnote>
  <w:footnote w:id="63">
    <w:p w14:paraId="7596764C" w14:textId="52BDC25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Gluck &amp; Bressman,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6 (conducting survey among congressional staffers); Walker,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6 (conducting survey among agencies).</w:t>
      </w:r>
    </w:p>
  </w:footnote>
  <w:footnote w:id="64">
    <w:p w14:paraId="75157414" w14:textId="2DD2E3A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 e.g.</w:t>
      </w:r>
      <w:r w:rsidRPr="00D851F9">
        <w:rPr>
          <w:rFonts w:ascii="Times New Roman" w:hAnsi="Times New Roman" w:cs="Times New Roman"/>
          <w:sz w:val="20"/>
          <w:szCs w:val="20"/>
        </w:rPr>
        <w:t xml:space="preserve"> O’Gorman,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16, at 178 (providing examples of how the NLRB interprets statutes and offering theories for how the Board should interpret statutes).    </w:t>
      </w:r>
    </w:p>
  </w:footnote>
  <w:footnote w:id="65">
    <w:p w14:paraId="7AEE40ED" w14:textId="3DA0F0EC"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William N. Eskridge &amp; Lauren E. Bauer, </w:t>
      </w:r>
      <w:r w:rsidRPr="00D851F9">
        <w:rPr>
          <w:rFonts w:ascii="Times New Roman" w:hAnsi="Times New Roman" w:cs="Times New Roman"/>
          <w:i/>
          <w:sz w:val="20"/>
          <w:szCs w:val="20"/>
        </w:rPr>
        <w:t>The Continuum of Deference: Supreme Court Treatment of Agency Statutory Interpretations from Chevron to Hamdan</w:t>
      </w:r>
      <w:r w:rsidRPr="00D851F9">
        <w:rPr>
          <w:rFonts w:ascii="Times New Roman" w:hAnsi="Times New Roman" w:cs="Times New Roman"/>
          <w:sz w:val="20"/>
          <w:szCs w:val="20"/>
        </w:rPr>
        <w:t xml:space="preserve">, 96 </w:t>
      </w:r>
      <w:r w:rsidRPr="00D851F9">
        <w:rPr>
          <w:rFonts w:ascii="Times New Roman" w:hAnsi="Times New Roman" w:cs="Times New Roman"/>
          <w:smallCaps/>
          <w:sz w:val="20"/>
          <w:szCs w:val="20"/>
        </w:rPr>
        <w:t xml:space="preserve">Geo. L. J. </w:t>
      </w:r>
      <w:r w:rsidRPr="00D851F9">
        <w:rPr>
          <w:rFonts w:ascii="Times New Roman" w:hAnsi="Times New Roman" w:cs="Times New Roman"/>
          <w:sz w:val="20"/>
          <w:szCs w:val="20"/>
        </w:rPr>
        <w:t xml:space="preserve">1083 (2008). The database consisted of 1,014 cases in all.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For other empirical studies of this sort, see Thomas Merrill, </w:t>
      </w:r>
      <w:r w:rsidRPr="00D851F9">
        <w:rPr>
          <w:rFonts w:ascii="Times New Roman" w:hAnsi="Times New Roman" w:cs="Times New Roman"/>
          <w:i/>
          <w:sz w:val="20"/>
          <w:szCs w:val="20"/>
        </w:rPr>
        <w:t>Judicial Deference to Executive Precedent</w:t>
      </w:r>
      <w:r w:rsidRPr="00D851F9">
        <w:rPr>
          <w:rFonts w:ascii="Times New Roman" w:hAnsi="Times New Roman" w:cs="Times New Roman"/>
          <w:sz w:val="20"/>
          <w:szCs w:val="20"/>
        </w:rPr>
        <w:t xml:space="preserve">, 101 </w:t>
      </w:r>
      <w:r w:rsidRPr="00D851F9">
        <w:rPr>
          <w:rFonts w:ascii="Times New Roman" w:hAnsi="Times New Roman" w:cs="Times New Roman"/>
          <w:smallCaps/>
          <w:sz w:val="20"/>
          <w:szCs w:val="20"/>
        </w:rPr>
        <w:t>Yale L.J</w:t>
      </w:r>
      <w:r w:rsidRPr="00D851F9">
        <w:rPr>
          <w:rFonts w:ascii="Times New Roman" w:hAnsi="Times New Roman" w:cs="Times New Roman"/>
          <w:sz w:val="20"/>
          <w:szCs w:val="20"/>
        </w:rPr>
        <w:t xml:space="preserve">. 969 (1992); Thomas J. Miles &amp; Cass Sunstein, </w:t>
      </w:r>
      <w:r w:rsidRPr="00D851F9">
        <w:rPr>
          <w:rFonts w:ascii="Times New Roman" w:hAnsi="Times New Roman" w:cs="Times New Roman"/>
          <w:i/>
          <w:sz w:val="20"/>
          <w:szCs w:val="20"/>
        </w:rPr>
        <w:t xml:space="preserve">Do Judges Make Regulatory </w:t>
      </w:r>
      <w:proofErr w:type="gramStart"/>
      <w:r w:rsidRPr="00D851F9">
        <w:rPr>
          <w:rFonts w:ascii="Times New Roman" w:hAnsi="Times New Roman" w:cs="Times New Roman"/>
          <w:i/>
          <w:sz w:val="20"/>
          <w:szCs w:val="20"/>
        </w:rPr>
        <w:t>Policy?</w:t>
      </w:r>
      <w:r w:rsidRPr="00D851F9">
        <w:rPr>
          <w:rFonts w:ascii="Times New Roman" w:hAnsi="Times New Roman" w:cs="Times New Roman"/>
          <w:sz w:val="20"/>
          <w:szCs w:val="20"/>
        </w:rPr>
        <w:t>,</w:t>
      </w:r>
      <w:proofErr w:type="gramEnd"/>
      <w:r w:rsidRPr="00D851F9">
        <w:rPr>
          <w:rFonts w:ascii="Times New Roman" w:hAnsi="Times New Roman" w:cs="Times New Roman"/>
          <w:sz w:val="20"/>
          <w:szCs w:val="20"/>
        </w:rPr>
        <w:t xml:space="preserve"> 73 </w:t>
      </w:r>
      <w:r w:rsidRPr="00D851F9">
        <w:rPr>
          <w:rFonts w:ascii="Times New Roman" w:hAnsi="Times New Roman" w:cs="Times New Roman"/>
          <w:smallCaps/>
          <w:sz w:val="20"/>
          <w:szCs w:val="20"/>
        </w:rPr>
        <w:t>U. Chi. L. Rev</w:t>
      </w:r>
      <w:r w:rsidRPr="00D851F9">
        <w:rPr>
          <w:rFonts w:ascii="Times New Roman" w:hAnsi="Times New Roman" w:cs="Times New Roman"/>
          <w:sz w:val="20"/>
          <w:szCs w:val="20"/>
        </w:rPr>
        <w:t xml:space="preserve">. 623 (2006); Connor R. Raso &amp; William N. Eskridge, </w:t>
      </w:r>
      <w:r w:rsidRPr="00D851F9">
        <w:rPr>
          <w:rFonts w:ascii="Times New Roman" w:hAnsi="Times New Roman" w:cs="Times New Roman"/>
          <w:i/>
          <w:sz w:val="20"/>
          <w:szCs w:val="20"/>
        </w:rPr>
        <w:t>Chevron as a Canon, Not a Precedent</w:t>
      </w:r>
      <w:r w:rsidRPr="00D851F9">
        <w:rPr>
          <w:rFonts w:ascii="Times New Roman" w:hAnsi="Times New Roman" w:cs="Times New Roman"/>
          <w:sz w:val="20"/>
          <w:szCs w:val="20"/>
        </w:rPr>
        <w:t xml:space="preserve">, 110 </w:t>
      </w:r>
      <w:r w:rsidRPr="00D851F9">
        <w:rPr>
          <w:rFonts w:ascii="Times New Roman" w:hAnsi="Times New Roman" w:cs="Times New Roman"/>
          <w:smallCaps/>
          <w:sz w:val="20"/>
          <w:szCs w:val="20"/>
        </w:rPr>
        <w:t>Colum. L. Rev</w:t>
      </w:r>
      <w:r>
        <w:rPr>
          <w:rFonts w:ascii="Times New Roman" w:hAnsi="Times New Roman" w:cs="Times New Roman"/>
          <w:sz w:val="20"/>
          <w:szCs w:val="20"/>
        </w:rPr>
        <w:t xml:space="preserve">. 1727 (2010). </w:t>
      </w:r>
      <w:r w:rsidRPr="00D851F9">
        <w:rPr>
          <w:rFonts w:ascii="Times New Roman" w:hAnsi="Times New Roman" w:cs="Times New Roman"/>
          <w:sz w:val="20"/>
          <w:szCs w:val="20"/>
        </w:rPr>
        <w:t xml:space="preserve">For studies at the court of appeals, see Lisa Schultz Bressman, </w:t>
      </w:r>
      <w:r w:rsidRPr="00D851F9">
        <w:rPr>
          <w:rFonts w:ascii="Times New Roman" w:hAnsi="Times New Roman" w:cs="Times New Roman"/>
          <w:i/>
          <w:sz w:val="20"/>
          <w:szCs w:val="20"/>
        </w:rPr>
        <w:t>How Mead Has Muddled Judicial Review of Agency Action</w:t>
      </w:r>
      <w:r w:rsidRPr="00D851F9">
        <w:rPr>
          <w:rFonts w:ascii="Times New Roman" w:hAnsi="Times New Roman" w:cs="Times New Roman"/>
          <w:sz w:val="20"/>
          <w:szCs w:val="20"/>
        </w:rPr>
        <w:t xml:space="preserve">, 58 </w:t>
      </w:r>
      <w:r w:rsidRPr="00D851F9">
        <w:rPr>
          <w:rFonts w:ascii="Times New Roman" w:hAnsi="Times New Roman" w:cs="Times New Roman"/>
          <w:smallCaps/>
          <w:sz w:val="20"/>
          <w:szCs w:val="20"/>
        </w:rPr>
        <w:t>Vand. L. Rev.</w:t>
      </w:r>
      <w:r w:rsidRPr="00D851F9">
        <w:rPr>
          <w:rFonts w:ascii="Times New Roman" w:hAnsi="Times New Roman" w:cs="Times New Roman"/>
          <w:sz w:val="20"/>
          <w:szCs w:val="20"/>
        </w:rPr>
        <w:t xml:space="preserve"> 1443 (2005); Kristin E. Hickman &amp; Matthew D. Krueger, </w:t>
      </w:r>
      <w:r w:rsidRPr="00D851F9">
        <w:rPr>
          <w:rFonts w:ascii="Times New Roman" w:hAnsi="Times New Roman" w:cs="Times New Roman"/>
          <w:i/>
          <w:sz w:val="20"/>
          <w:szCs w:val="20"/>
        </w:rPr>
        <w:t>In Search of the Modern Skidmore Standard</w:t>
      </w:r>
      <w:r w:rsidRPr="00D851F9">
        <w:rPr>
          <w:rFonts w:ascii="Times New Roman" w:hAnsi="Times New Roman" w:cs="Times New Roman"/>
          <w:sz w:val="20"/>
          <w:szCs w:val="20"/>
        </w:rPr>
        <w:t xml:space="preserve">, 107 </w:t>
      </w:r>
      <w:r w:rsidRPr="00D851F9">
        <w:rPr>
          <w:rFonts w:ascii="Times New Roman" w:hAnsi="Times New Roman" w:cs="Times New Roman"/>
          <w:smallCaps/>
          <w:sz w:val="20"/>
          <w:szCs w:val="20"/>
        </w:rPr>
        <w:t>Colum. L. Rev.</w:t>
      </w:r>
      <w:r w:rsidRPr="00D851F9">
        <w:rPr>
          <w:rFonts w:ascii="Times New Roman" w:hAnsi="Times New Roman" w:cs="Times New Roman"/>
          <w:sz w:val="20"/>
          <w:szCs w:val="20"/>
        </w:rPr>
        <w:t xml:space="preserve"> 1235 (2007); Orin S. Kerr, </w:t>
      </w:r>
      <w:r w:rsidRPr="00D851F9">
        <w:rPr>
          <w:rFonts w:ascii="Times New Roman" w:hAnsi="Times New Roman" w:cs="Times New Roman"/>
          <w:i/>
          <w:sz w:val="20"/>
          <w:szCs w:val="20"/>
        </w:rPr>
        <w:t>Shedding Light on Chevron: An Empirical Study of the Chevron Doctrine in the U.S. Courts of Appeals</w:t>
      </w:r>
      <w:r w:rsidRPr="00D851F9">
        <w:rPr>
          <w:rFonts w:ascii="Times New Roman" w:hAnsi="Times New Roman" w:cs="Times New Roman"/>
          <w:sz w:val="20"/>
          <w:szCs w:val="20"/>
        </w:rPr>
        <w:t xml:space="preserve">, 15 </w:t>
      </w:r>
      <w:r w:rsidRPr="00D851F9">
        <w:rPr>
          <w:rFonts w:ascii="Times New Roman" w:hAnsi="Times New Roman" w:cs="Times New Roman"/>
          <w:smallCaps/>
          <w:sz w:val="20"/>
          <w:szCs w:val="20"/>
        </w:rPr>
        <w:t>Yale J. on Reg</w:t>
      </w:r>
      <w:r w:rsidRPr="00D851F9">
        <w:rPr>
          <w:rFonts w:ascii="Times New Roman" w:hAnsi="Times New Roman" w:cs="Times New Roman"/>
          <w:sz w:val="20"/>
          <w:szCs w:val="20"/>
        </w:rPr>
        <w:t xml:space="preserve">. 1 (1998); Peter H. Schuck &amp; E. Donald Elliot, </w:t>
      </w:r>
      <w:r w:rsidRPr="00D851F9">
        <w:rPr>
          <w:rFonts w:ascii="Times New Roman" w:hAnsi="Times New Roman" w:cs="Times New Roman"/>
          <w:i/>
          <w:sz w:val="20"/>
          <w:szCs w:val="20"/>
        </w:rPr>
        <w:t>To the Chevron Station: An Empirical Study of Federal Administrative Law</w:t>
      </w:r>
      <w:r w:rsidRPr="00D851F9">
        <w:rPr>
          <w:rFonts w:ascii="Times New Roman" w:hAnsi="Times New Roman" w:cs="Times New Roman"/>
          <w:sz w:val="20"/>
          <w:szCs w:val="20"/>
        </w:rPr>
        <w:t xml:space="preserve">, 1990 </w:t>
      </w:r>
      <w:r w:rsidRPr="00D851F9">
        <w:rPr>
          <w:rFonts w:ascii="Times New Roman" w:hAnsi="Times New Roman" w:cs="Times New Roman"/>
          <w:smallCaps/>
          <w:sz w:val="20"/>
          <w:szCs w:val="20"/>
        </w:rPr>
        <w:t>Duke L. J.</w:t>
      </w:r>
      <w:r w:rsidRPr="00D851F9">
        <w:rPr>
          <w:rFonts w:ascii="Times New Roman" w:hAnsi="Times New Roman" w:cs="Times New Roman"/>
          <w:sz w:val="20"/>
          <w:szCs w:val="20"/>
        </w:rPr>
        <w:t xml:space="preserve"> 984 (1990).</w:t>
      </w:r>
    </w:p>
  </w:footnote>
  <w:footnote w:id="66">
    <w:p w14:paraId="49F66D03" w14:textId="044E1D98" w:rsidR="00810AB4" w:rsidRPr="00D851F9" w:rsidRDefault="00810AB4" w:rsidP="009F176D">
      <w:pPr>
        <w:pStyle w:val="FootnoteText"/>
      </w:pPr>
      <w:r w:rsidRPr="00D851F9">
        <w:rPr>
          <w:rStyle w:val="FootnoteReference"/>
        </w:rPr>
        <w:footnoteRef/>
      </w:r>
      <w:r w:rsidRPr="00D851F9">
        <w:t xml:space="preserve"> Eskridge &amp; Bauer, </w:t>
      </w:r>
      <w:r w:rsidRPr="00D851F9">
        <w:rPr>
          <w:i/>
        </w:rPr>
        <w:t>supra</w:t>
      </w:r>
      <w:r>
        <w:t xml:space="preserve"> note 65</w:t>
      </w:r>
      <w:r w:rsidRPr="00D851F9">
        <w:t xml:space="preserve">, at 1091. </w:t>
      </w:r>
    </w:p>
  </w:footnote>
  <w:footnote w:id="67">
    <w:p w14:paraId="770AD2E2" w14:textId="37481B6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e.g., </w:t>
      </w:r>
      <w:r w:rsidRPr="00D851F9">
        <w:rPr>
          <w:rFonts w:ascii="Times New Roman" w:hAnsi="Times New Roman" w:cs="Times New Roman"/>
          <w:sz w:val="20"/>
          <w:szCs w:val="20"/>
        </w:rPr>
        <w:t xml:space="preserve">Kerr, </w:t>
      </w:r>
      <w:r w:rsidRPr="00D851F9">
        <w:rPr>
          <w:rFonts w:ascii="Times New Roman" w:hAnsi="Times New Roman" w:cs="Times New Roman"/>
          <w:i/>
          <w:sz w:val="20"/>
          <w:szCs w:val="20"/>
        </w:rPr>
        <w:t xml:space="preserve">supra </w:t>
      </w:r>
      <w:r>
        <w:rPr>
          <w:rFonts w:ascii="Times New Roman" w:hAnsi="Times New Roman" w:cs="Times New Roman"/>
          <w:sz w:val="20"/>
          <w:szCs w:val="20"/>
        </w:rPr>
        <w:t>note 65</w:t>
      </w:r>
      <w:r w:rsidRPr="00D851F9">
        <w:rPr>
          <w:rFonts w:ascii="Times New Roman" w:hAnsi="Times New Roman" w:cs="Times New Roman"/>
          <w:sz w:val="20"/>
          <w:szCs w:val="20"/>
        </w:rPr>
        <w:t xml:space="preserve">, at 32; (finding that courts upheld regulations 58% of regulations a year after Chevron to 82% 2-4 years after Chevron then back to 72%); Miles &amp; Sunstein,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65</w:t>
      </w:r>
      <w:r w:rsidRPr="00D851F9">
        <w:rPr>
          <w:rFonts w:ascii="Times New Roman" w:hAnsi="Times New Roman" w:cs="Times New Roman"/>
          <w:sz w:val="20"/>
          <w:szCs w:val="20"/>
        </w:rPr>
        <w:t xml:space="preserve">, at 849 (noting validation rates); Schuck &amp; Elliot,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61, at 1039 (noting affirmance rate of 71% in 1984, then 81% in 1986, then 75% in 1988); Reul E. Schiller, </w:t>
      </w:r>
      <w:r w:rsidRPr="00D851F9">
        <w:rPr>
          <w:rFonts w:ascii="Times New Roman" w:hAnsi="Times New Roman" w:cs="Times New Roman"/>
          <w:i/>
          <w:sz w:val="20"/>
          <w:szCs w:val="20"/>
        </w:rPr>
        <w:t>The End of Deference: Courts, Expertise, and the Emergency of New Deal Administrative Law</w:t>
      </w:r>
      <w:r w:rsidRPr="00D851F9">
        <w:rPr>
          <w:rFonts w:ascii="Times New Roman" w:hAnsi="Times New Roman" w:cs="Times New Roman"/>
          <w:sz w:val="20"/>
          <w:szCs w:val="20"/>
        </w:rPr>
        <w:t xml:space="preserve">, 106 </w:t>
      </w:r>
      <w:r w:rsidRPr="00D851F9">
        <w:rPr>
          <w:rFonts w:ascii="Times New Roman" w:hAnsi="Times New Roman" w:cs="Times New Roman"/>
          <w:smallCaps/>
          <w:sz w:val="20"/>
          <w:szCs w:val="20"/>
        </w:rPr>
        <w:t>Mich. L. Rev.</w:t>
      </w:r>
      <w:r w:rsidRPr="00D851F9">
        <w:rPr>
          <w:rFonts w:ascii="Times New Roman" w:hAnsi="Times New Roman" w:cs="Times New Roman"/>
          <w:sz w:val="20"/>
          <w:szCs w:val="20"/>
        </w:rPr>
        <w:t xml:space="preserve"> 399, 436-37 (2007) (noting circuit court deference to NLRB decisions regarding statements made by employees during union elections).</w:t>
      </w:r>
    </w:p>
  </w:footnote>
  <w:footnote w:id="68">
    <w:p w14:paraId="0AB063C7" w14:textId="6F201D41" w:rsidR="00810AB4" w:rsidRPr="00D851F9" w:rsidRDefault="00810AB4" w:rsidP="009F176D">
      <w:pPr>
        <w:pStyle w:val="FootnoteText"/>
      </w:pPr>
      <w:r w:rsidRPr="00D851F9">
        <w:rPr>
          <w:rStyle w:val="FootnoteReference"/>
        </w:rPr>
        <w:footnoteRef/>
      </w:r>
      <w:r w:rsidRPr="00D851F9">
        <w:t xml:space="preserve"> Frank B. Cross, </w:t>
      </w:r>
      <w:r w:rsidRPr="00D851F9">
        <w:rPr>
          <w:smallCaps/>
        </w:rPr>
        <w:t>The Theory and Practice of Statutory Interpretation</w:t>
      </w:r>
      <w:r w:rsidRPr="00D851F9">
        <w:t xml:space="preserve"> 160-77 (2009).</w:t>
      </w:r>
    </w:p>
  </w:footnote>
  <w:footnote w:id="69">
    <w:p w14:paraId="5D811ACC" w14:textId="2E8AC01D" w:rsidR="00810AB4" w:rsidRPr="008A0D15" w:rsidRDefault="00810AB4">
      <w:pPr>
        <w:pStyle w:val="FootnoteText"/>
      </w:pPr>
      <w:r>
        <w:rPr>
          <w:rStyle w:val="FootnoteReference"/>
        </w:rPr>
        <w:footnoteRef/>
      </w:r>
      <w:r>
        <w:t xml:space="preserve"> </w:t>
      </w:r>
      <w:r>
        <w:rPr>
          <w:i/>
        </w:rPr>
        <w:t>Id.</w:t>
      </w:r>
      <w:r>
        <w:t xml:space="preserve"> at 189.</w:t>
      </w:r>
    </w:p>
  </w:footnote>
  <w:footnote w:id="70">
    <w:p w14:paraId="7D35395B" w14:textId="77777777" w:rsidR="00810AB4" w:rsidRPr="008A0D15" w:rsidRDefault="00810AB4" w:rsidP="00297D38">
      <w:pPr>
        <w:pStyle w:val="FootnoteText"/>
      </w:pPr>
      <w:r>
        <w:rPr>
          <w:rStyle w:val="FootnoteReference"/>
        </w:rPr>
        <w:footnoteRef/>
      </w:r>
      <w:r>
        <w:t xml:space="preserve"> </w:t>
      </w:r>
      <w:r>
        <w:rPr>
          <w:i/>
        </w:rPr>
        <w:t>Id.</w:t>
      </w:r>
      <w:r>
        <w:t xml:space="preserve"> at 190. </w:t>
      </w:r>
    </w:p>
  </w:footnote>
  <w:footnote w:id="71">
    <w:p w14:paraId="58B68851" w14:textId="23A41200"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Brudney &amp; Ditslear, </w:t>
      </w:r>
      <w:r w:rsidRPr="00D851F9">
        <w:rPr>
          <w:rFonts w:ascii="Times New Roman" w:hAnsi="Times New Roman" w:cs="Times New Roman"/>
          <w:i/>
          <w:sz w:val="20"/>
          <w:szCs w:val="20"/>
        </w:rPr>
        <w:t xml:space="preserve">supra </w:t>
      </w:r>
      <w:r>
        <w:rPr>
          <w:rFonts w:ascii="Times New Roman" w:hAnsi="Times New Roman" w:cs="Times New Roman"/>
          <w:sz w:val="20"/>
          <w:szCs w:val="20"/>
        </w:rPr>
        <w:t>note 60</w:t>
      </w:r>
      <w:r w:rsidRPr="00D851F9">
        <w:rPr>
          <w:rFonts w:ascii="Times New Roman" w:hAnsi="Times New Roman" w:cs="Times New Roman"/>
          <w:sz w:val="20"/>
          <w:szCs w:val="20"/>
        </w:rPr>
        <w:t xml:space="preserve">, at 1 (little constraint by linguistic and substantive canons); James J. Brudney &amp; Corey Ditslear, </w:t>
      </w:r>
      <w:r w:rsidRPr="00D851F9">
        <w:rPr>
          <w:rFonts w:ascii="Times New Roman" w:hAnsi="Times New Roman" w:cs="Times New Roman"/>
          <w:i/>
          <w:sz w:val="20"/>
          <w:szCs w:val="20"/>
        </w:rPr>
        <w:t>Liberal Justices’ Reliance on Legislative History: Principle, Strategy and the Scalia Effect</w:t>
      </w:r>
      <w:r w:rsidRPr="00D851F9">
        <w:rPr>
          <w:rFonts w:ascii="Times New Roman" w:hAnsi="Times New Roman" w:cs="Times New Roman"/>
          <w:sz w:val="20"/>
          <w:szCs w:val="20"/>
        </w:rPr>
        <w:t xml:space="preserve">, 29 </w:t>
      </w:r>
      <w:r w:rsidRPr="00D851F9">
        <w:rPr>
          <w:rFonts w:ascii="Times New Roman" w:hAnsi="Times New Roman" w:cs="Times New Roman"/>
          <w:smallCaps/>
          <w:sz w:val="20"/>
          <w:szCs w:val="20"/>
        </w:rPr>
        <w:t>Berkeley J. Emp. &amp; Lab. L.</w:t>
      </w:r>
      <w:r w:rsidRPr="00D851F9">
        <w:rPr>
          <w:rFonts w:ascii="Times New Roman" w:hAnsi="Times New Roman" w:cs="Times New Roman"/>
          <w:sz w:val="20"/>
          <w:szCs w:val="20"/>
        </w:rPr>
        <w:t xml:space="preserve"> 117 (2008) (looking at constraining effects of legislative history on workplace cases); James J. Brudney &amp; Corey Ditsclear, </w:t>
      </w:r>
      <w:r w:rsidRPr="00D851F9">
        <w:rPr>
          <w:rFonts w:ascii="Times New Roman" w:hAnsi="Times New Roman" w:cs="Times New Roman"/>
          <w:i/>
          <w:sz w:val="20"/>
          <w:szCs w:val="20"/>
        </w:rPr>
        <w:t>The Warp and Woof of Statutory Interpretation: Comparing Supreme Court Approaches on Tax and Workplace Law</w:t>
      </w:r>
      <w:r w:rsidRPr="00D851F9">
        <w:rPr>
          <w:rFonts w:ascii="Times New Roman" w:hAnsi="Times New Roman" w:cs="Times New Roman"/>
          <w:sz w:val="20"/>
          <w:szCs w:val="20"/>
        </w:rPr>
        <w:t xml:space="preserve">, 58 </w:t>
      </w:r>
      <w:r w:rsidRPr="00D851F9">
        <w:rPr>
          <w:rFonts w:ascii="Times New Roman" w:hAnsi="Times New Roman" w:cs="Times New Roman"/>
          <w:smallCaps/>
          <w:sz w:val="20"/>
          <w:szCs w:val="20"/>
        </w:rPr>
        <w:t>Duke L. J</w:t>
      </w:r>
      <w:r w:rsidRPr="00D851F9">
        <w:rPr>
          <w:rFonts w:ascii="Times New Roman" w:hAnsi="Times New Roman" w:cs="Times New Roman"/>
          <w:sz w:val="20"/>
          <w:szCs w:val="20"/>
        </w:rPr>
        <w:t xml:space="preserve">. 1231 (2009) (showing use of legislative history). </w:t>
      </w:r>
    </w:p>
  </w:footnote>
  <w:footnote w:id="72">
    <w:p w14:paraId="70184889" w14:textId="5CAF3FE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Brudney &amp; Ditsclear,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60</w:t>
      </w:r>
      <w:r w:rsidRPr="00D851F9">
        <w:rPr>
          <w:rFonts w:ascii="Times New Roman" w:hAnsi="Times New Roman" w:cs="Times New Roman"/>
          <w:sz w:val="20"/>
          <w:szCs w:val="20"/>
        </w:rPr>
        <w:t>, at 1.</w:t>
      </w:r>
    </w:p>
  </w:footnote>
  <w:footnote w:id="73">
    <w:p w14:paraId="1935FFE1" w14:textId="5A15DB76"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74">
    <w:p w14:paraId="16CA8C21" w14:textId="4339F914"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75">
    <w:p w14:paraId="1647BEEC" w14:textId="1A8A43D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Law &amp; Zaring,</w:t>
      </w:r>
      <w:r w:rsidRPr="00D851F9">
        <w:rPr>
          <w:rFonts w:ascii="Times New Roman" w:hAnsi="Times New Roman" w:cs="Times New Roman"/>
          <w:i/>
          <w:sz w:val="20"/>
          <w:szCs w:val="20"/>
        </w:rPr>
        <w:t xml:space="preserve"> supra</w:t>
      </w:r>
      <w:r>
        <w:rPr>
          <w:rFonts w:ascii="Times New Roman" w:hAnsi="Times New Roman" w:cs="Times New Roman"/>
          <w:sz w:val="20"/>
          <w:szCs w:val="20"/>
        </w:rPr>
        <w:t xml:space="preserve"> note 60</w:t>
      </w:r>
      <w:r w:rsidRPr="00D851F9">
        <w:rPr>
          <w:rFonts w:ascii="Times New Roman" w:hAnsi="Times New Roman" w:cs="Times New Roman"/>
          <w:sz w:val="20"/>
          <w:szCs w:val="20"/>
        </w:rPr>
        <w:t>, at 1738.</w:t>
      </w:r>
    </w:p>
  </w:footnote>
  <w:footnote w:id="76">
    <w:p w14:paraId="02EF7C8F" w14:textId="7AFFC88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i/>
          <w:sz w:val="20"/>
          <w:szCs w:val="20"/>
        </w:rPr>
        <w:footnoteRef/>
      </w:r>
      <w:r w:rsidRPr="00D851F9">
        <w:rPr>
          <w:rFonts w:ascii="Times New Roman" w:hAnsi="Times New Roman" w:cs="Times New Roman"/>
          <w:i/>
          <w:sz w:val="20"/>
          <w:szCs w:val="20"/>
        </w:rPr>
        <w:t xml:space="preserve"> Id.</w:t>
      </w:r>
    </w:p>
  </w:footnote>
  <w:footnote w:id="77">
    <w:p w14:paraId="2C778CC9" w14:textId="2F0A3FA7"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78">
    <w:p w14:paraId="0E9C9E2B" w14:textId="6C5FB05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Krishnakumar,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9, at 909.</w:t>
      </w:r>
    </w:p>
  </w:footnote>
  <w:footnote w:id="79">
    <w:p w14:paraId="411D6EA7" w14:textId="4A937E1C"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w:t>
      </w:r>
    </w:p>
  </w:footnote>
  <w:footnote w:id="80">
    <w:p w14:paraId="1BA20D31" w14:textId="5168877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w:t>
      </w:r>
    </w:p>
  </w:footnote>
  <w:footnote w:id="81">
    <w:p w14:paraId="315C3260" w14:textId="616CF33D" w:rsidR="00810AB4" w:rsidRPr="00D851F9" w:rsidRDefault="00810AB4" w:rsidP="009F176D">
      <w:pPr>
        <w:pStyle w:val="FootnoteText"/>
      </w:pPr>
      <w:r w:rsidRPr="00D851F9">
        <w:rPr>
          <w:rStyle w:val="FootnoteReference"/>
        </w:rPr>
        <w:footnoteRef/>
      </w:r>
      <w:r w:rsidRPr="00D851F9">
        <w:t xml:space="preserve"> Mashaw, </w:t>
      </w:r>
      <w:r w:rsidRPr="00D851F9">
        <w:rPr>
          <w:i/>
        </w:rPr>
        <w:t xml:space="preserve">supra </w:t>
      </w:r>
      <w:r w:rsidRPr="00D851F9">
        <w:t xml:space="preserve">note 4, at 519; Strauss, </w:t>
      </w:r>
      <w:r w:rsidRPr="00D851F9">
        <w:rPr>
          <w:i/>
        </w:rPr>
        <w:t xml:space="preserve">supra </w:t>
      </w:r>
      <w:r w:rsidRPr="00D851F9">
        <w:t xml:space="preserve">note 16, at 329. </w:t>
      </w:r>
    </w:p>
  </w:footnote>
  <w:footnote w:id="82">
    <w:p w14:paraId="4D712791" w14:textId="0D62A807" w:rsidR="00810AB4" w:rsidRPr="00D851F9" w:rsidRDefault="00810AB4" w:rsidP="00A7195E">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Mashaw,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Pr>
          <w:rFonts w:ascii="Times New Roman" w:hAnsi="Times New Roman" w:cs="Times New Roman"/>
          <w:sz w:val="20"/>
          <w:szCs w:val="20"/>
        </w:rPr>
        <w:t>4</w:t>
      </w:r>
      <w:r w:rsidRPr="00D851F9">
        <w:rPr>
          <w:rFonts w:ascii="Times New Roman" w:hAnsi="Times New Roman" w:cs="Times New Roman"/>
          <w:sz w:val="20"/>
          <w:szCs w:val="20"/>
        </w:rPr>
        <w:t xml:space="preserve">, at 503. </w:t>
      </w:r>
    </w:p>
  </w:footnote>
  <w:footnote w:id="83">
    <w:p w14:paraId="0907B973" w14:textId="4749A7BF" w:rsidR="00810AB4" w:rsidRPr="00D851F9" w:rsidRDefault="00810AB4" w:rsidP="00A7195E">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p>
  </w:footnote>
  <w:footnote w:id="84">
    <w:p w14:paraId="0862271B" w14:textId="3FD48189" w:rsidR="00810AB4" w:rsidRPr="00D851F9" w:rsidRDefault="00810AB4" w:rsidP="00A7195E">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85">
    <w:p w14:paraId="2DB88BFE" w14:textId="4C134605" w:rsidR="00810AB4" w:rsidRPr="00D851F9" w:rsidRDefault="00810AB4" w:rsidP="009F176D">
      <w:pPr>
        <w:pStyle w:val="FootnoteText"/>
      </w:pPr>
      <w:r w:rsidRPr="00D851F9">
        <w:rPr>
          <w:rStyle w:val="FootnoteReference"/>
        </w:rPr>
        <w:footnoteRef/>
      </w:r>
      <w:r w:rsidRPr="00D851F9">
        <w:t xml:space="preserve"> Strauss, </w:t>
      </w:r>
      <w:r w:rsidRPr="00D851F9">
        <w:rPr>
          <w:i/>
        </w:rPr>
        <w:t>supra</w:t>
      </w:r>
      <w:r w:rsidRPr="00D851F9">
        <w:t xml:space="preserve"> note 16, at 329.</w:t>
      </w:r>
    </w:p>
  </w:footnote>
  <w:footnote w:id="86">
    <w:p w14:paraId="75FF200E" w14:textId="3706A512"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346-48.</w:t>
      </w:r>
    </w:p>
  </w:footnote>
  <w:footnote w:id="87">
    <w:p w14:paraId="2CA0C24F" w14:textId="4C2B5FCA"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347.</w:t>
      </w:r>
    </w:p>
  </w:footnote>
  <w:footnote w:id="88">
    <w:p w14:paraId="7659D66A" w14:textId="44886969"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349.</w:t>
      </w:r>
    </w:p>
  </w:footnote>
  <w:footnote w:id="89">
    <w:p w14:paraId="5DCE51FD" w14:textId="2013BCB5" w:rsidR="00810AB4" w:rsidRPr="00D851F9" w:rsidRDefault="00810AB4" w:rsidP="00A7195E">
      <w:pPr>
        <w:pStyle w:val="FootnoteText"/>
      </w:pPr>
      <w:r w:rsidRPr="00D851F9">
        <w:rPr>
          <w:rStyle w:val="FootnoteReference"/>
        </w:rPr>
        <w:footnoteRef/>
      </w:r>
      <w:r w:rsidRPr="00D851F9">
        <w:t xml:space="preserve"> Mashaw, </w:t>
      </w:r>
      <w:r w:rsidRPr="00D851F9">
        <w:rPr>
          <w:i/>
        </w:rPr>
        <w:t>supra</w:t>
      </w:r>
      <w:r w:rsidRPr="00D851F9">
        <w:t xml:space="preserve"> n</w:t>
      </w:r>
      <w:r>
        <w:t>ote 4</w:t>
      </w:r>
      <w:r w:rsidRPr="00D851F9">
        <w:t xml:space="preserve">, at 511 (discussing Strauss, </w:t>
      </w:r>
      <w:r w:rsidRPr="00D851F9">
        <w:rPr>
          <w:i/>
        </w:rPr>
        <w:t xml:space="preserve">supra </w:t>
      </w:r>
      <w:r w:rsidRPr="00D851F9">
        <w:t xml:space="preserve">note 16). </w:t>
      </w:r>
    </w:p>
  </w:footnote>
  <w:footnote w:id="90">
    <w:p w14:paraId="50C10573" w14:textId="303B2CDE" w:rsidR="00810AB4" w:rsidRPr="00D851F9" w:rsidRDefault="00810AB4" w:rsidP="005404C9">
      <w:pPr>
        <w:pStyle w:val="FootnoteText"/>
      </w:pPr>
      <w:r w:rsidRPr="00D851F9">
        <w:rPr>
          <w:rStyle w:val="FootnoteReference"/>
        </w:rPr>
        <w:footnoteRef/>
      </w:r>
      <w:r w:rsidRPr="00D851F9">
        <w:t xml:space="preserve"> Stack, </w:t>
      </w:r>
      <w:r w:rsidRPr="00D851F9">
        <w:rPr>
          <w:i/>
        </w:rPr>
        <w:t>supra</w:t>
      </w:r>
      <w:r w:rsidRPr="00D851F9">
        <w:t xml:space="preserve"> note at</w:t>
      </w:r>
      <w:r>
        <w:t xml:space="preserve"> 16</w:t>
      </w:r>
      <w:r w:rsidRPr="00D851F9">
        <w:t>, at 876.</w:t>
      </w:r>
    </w:p>
  </w:footnote>
  <w:footnote w:id="91">
    <w:p w14:paraId="17FAF634" w14:textId="77777777" w:rsidR="00810AB4" w:rsidRPr="00D851F9" w:rsidRDefault="00810AB4" w:rsidP="005404C9">
      <w:pPr>
        <w:pStyle w:val="FootnoteText"/>
      </w:pPr>
      <w:r w:rsidRPr="00D851F9">
        <w:rPr>
          <w:rStyle w:val="FootnoteReference"/>
        </w:rPr>
        <w:footnoteRef/>
      </w:r>
      <w:r w:rsidRPr="00D851F9">
        <w:t xml:space="preserve"> </w:t>
      </w:r>
      <w:r w:rsidRPr="00D851F9">
        <w:rPr>
          <w:i/>
        </w:rPr>
        <w:t>Id.</w:t>
      </w:r>
      <w:r w:rsidRPr="00D851F9">
        <w:t xml:space="preserve"> at 871.</w:t>
      </w:r>
    </w:p>
  </w:footnote>
  <w:footnote w:id="92">
    <w:p w14:paraId="11C3F22C" w14:textId="26B05938" w:rsidR="00810AB4" w:rsidRPr="00D851F9" w:rsidRDefault="00810AB4" w:rsidP="005404C9">
      <w:pPr>
        <w:pStyle w:val="FootnoteText"/>
      </w:pPr>
      <w:r w:rsidRPr="00D851F9">
        <w:rPr>
          <w:rStyle w:val="FootnoteReference"/>
        </w:rPr>
        <w:footnoteRef/>
      </w:r>
      <w:r w:rsidRPr="00D851F9">
        <w:t xml:space="preserve"> </w:t>
      </w:r>
      <w:r w:rsidRPr="00D851F9">
        <w:rPr>
          <w:i/>
        </w:rPr>
        <w:t xml:space="preserve">Id. </w:t>
      </w:r>
      <w:r w:rsidRPr="00D851F9">
        <w:t xml:space="preserve">at 876. </w:t>
      </w:r>
    </w:p>
  </w:footnote>
  <w:footnote w:id="93">
    <w:p w14:paraId="1C010B5B" w14:textId="4B886B48"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Gluck &amp; Bressman,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_Ref460548149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6</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905-06. The Gluck and Bressman study was preceded by a smaller study done by Victoria and Jane Schacter.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Victoria Nourse &amp; Jane S. Schacter, </w:t>
      </w:r>
      <w:r w:rsidRPr="00D851F9">
        <w:rPr>
          <w:rFonts w:ascii="Times New Roman" w:hAnsi="Times New Roman" w:cs="Times New Roman"/>
          <w:i/>
          <w:sz w:val="20"/>
          <w:szCs w:val="20"/>
        </w:rPr>
        <w:t>The Politics of Legislative Drafting: A Congressional Case Study</w:t>
      </w:r>
      <w:r w:rsidRPr="00D851F9">
        <w:rPr>
          <w:rFonts w:ascii="Times New Roman" w:hAnsi="Times New Roman" w:cs="Times New Roman"/>
          <w:sz w:val="20"/>
          <w:szCs w:val="20"/>
        </w:rPr>
        <w:t xml:space="preserve">, 77 </w:t>
      </w:r>
      <w:r w:rsidRPr="00D851F9">
        <w:rPr>
          <w:rFonts w:ascii="Times New Roman" w:hAnsi="Times New Roman" w:cs="Times New Roman"/>
          <w:smallCaps/>
          <w:sz w:val="20"/>
          <w:szCs w:val="20"/>
        </w:rPr>
        <w:t>N.Y.U. L. Rev</w:t>
      </w:r>
      <w:r w:rsidRPr="00D851F9">
        <w:rPr>
          <w:rFonts w:ascii="Times New Roman" w:hAnsi="Times New Roman" w:cs="Times New Roman"/>
          <w:sz w:val="20"/>
          <w:szCs w:val="20"/>
        </w:rPr>
        <w:t>. 575 (2002).</w:t>
      </w:r>
    </w:p>
  </w:footnote>
  <w:footnote w:id="94">
    <w:p w14:paraId="768AD34A" w14:textId="7AD9C9B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Gluck &amp; Bressman,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6, at 905.</w:t>
      </w:r>
    </w:p>
  </w:footnote>
  <w:footnote w:id="95">
    <w:p w14:paraId="2A5F5182" w14:textId="06C96360" w:rsidR="00810AB4" w:rsidRPr="00D851F9" w:rsidRDefault="00810AB4">
      <w:pPr>
        <w:pStyle w:val="FootnoteText"/>
        <w:rPr>
          <w:i/>
        </w:rPr>
      </w:pPr>
      <w:r w:rsidRPr="00D851F9">
        <w:rPr>
          <w:rStyle w:val="FootnoteReference"/>
        </w:rPr>
        <w:footnoteRef/>
      </w:r>
      <w:r w:rsidRPr="00D851F9">
        <w:t xml:space="preserve"> </w:t>
      </w:r>
      <w:r w:rsidRPr="00D851F9">
        <w:rPr>
          <w:i/>
        </w:rPr>
        <w:t>Id.</w:t>
      </w:r>
    </w:p>
  </w:footnote>
  <w:footnote w:id="96">
    <w:p w14:paraId="1FD48420" w14:textId="0E0C70F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at 907.</w:t>
      </w:r>
    </w:p>
  </w:footnote>
  <w:footnote w:id="97">
    <w:p w14:paraId="3FC236B8" w14:textId="0231F5D2"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933-34.</w:t>
      </w:r>
    </w:p>
  </w:footnote>
  <w:footnote w:id="98">
    <w:p w14:paraId="53715684" w14:textId="49F166B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Walker,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note 6, at 1000.</w:t>
      </w:r>
    </w:p>
  </w:footnote>
  <w:footnote w:id="99">
    <w:p w14:paraId="10C18EBC" w14:textId="3597554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100">
    <w:p w14:paraId="6C8D8069" w14:textId="284B99A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1004.</w:t>
      </w:r>
    </w:p>
  </w:footnote>
  <w:footnote w:id="101">
    <w:p w14:paraId="0B842C3E" w14:textId="7D9520F5"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102">
    <w:p w14:paraId="5ED79FC5" w14:textId="602A8E4C" w:rsidR="00810AB4" w:rsidRPr="00D851F9" w:rsidRDefault="00810AB4" w:rsidP="009F176D">
      <w:pPr>
        <w:pStyle w:val="FootnoteText"/>
      </w:pPr>
      <w:r w:rsidRPr="00D851F9">
        <w:rPr>
          <w:rStyle w:val="FootnoteReference"/>
        </w:rPr>
        <w:footnoteRef/>
      </w:r>
      <w:r w:rsidRPr="00D851F9">
        <w:t xml:space="preserve"> </w:t>
      </w:r>
      <w:r w:rsidRPr="00D851F9">
        <w:rPr>
          <w:i/>
        </w:rPr>
        <w:t xml:space="preserve">Id. </w:t>
      </w:r>
      <w:r w:rsidRPr="00D851F9">
        <w:t xml:space="preserve">at 1028. </w:t>
      </w:r>
    </w:p>
  </w:footnote>
  <w:footnote w:id="103">
    <w:p w14:paraId="69BE3E41" w14:textId="2960A11F" w:rsidR="00810AB4" w:rsidRPr="00D851F9" w:rsidRDefault="00810AB4" w:rsidP="009F176D">
      <w:pPr>
        <w:pStyle w:val="FootnoteText"/>
      </w:pPr>
      <w:r w:rsidRPr="00D851F9">
        <w:rPr>
          <w:rStyle w:val="FootnoteReference"/>
        </w:rPr>
        <w:footnoteRef/>
      </w:r>
      <w:r w:rsidRPr="00D851F9">
        <w:t xml:space="preserve"> Gluck and Bressman, for instance, found greater supporter for </w:t>
      </w:r>
      <w:r>
        <w:rPr>
          <w:i/>
        </w:rPr>
        <w:t>expressio</w:t>
      </w:r>
      <w:r w:rsidRPr="00D851F9">
        <w:rPr>
          <w:i/>
        </w:rPr>
        <w:t xml:space="preserve"> unius</w:t>
      </w:r>
      <w:r w:rsidRPr="00D851F9">
        <w:t xml:space="preserve">, but classified the rule against superfluities as a canon that was known but rejected. Gluck &amp; Bressman,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at 932 &amp; fig.4, 933-36.</w:t>
      </w:r>
    </w:p>
  </w:footnote>
  <w:footnote w:id="104">
    <w:p w14:paraId="69AA35CA" w14:textId="343A542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Walker,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6, at 1041.</w:t>
      </w:r>
    </w:p>
  </w:footnote>
  <w:footnote w:id="105">
    <w:p w14:paraId="26E40F95" w14:textId="6A9631D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1003.</w:t>
      </w:r>
    </w:p>
  </w:footnote>
  <w:footnote w:id="106">
    <w:p w14:paraId="1A90AB68" w14:textId="5DCA03F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National Labor Relations (Wagner) Act, Pub. L. No. 74-198, 49 Stat. 449 § 3 (1935) (codified as amended at 29 U.S.C. §§ 151-69 (2006)). </w:t>
      </w:r>
    </w:p>
  </w:footnote>
  <w:footnote w:id="107">
    <w:p w14:paraId="0FFCC049" w14:textId="405C6F9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49 Stat. 449, Section 3 (codified as amended at 29 U.S.C. § 151); </w:t>
      </w:r>
      <w:r w:rsidRPr="00D851F9">
        <w:rPr>
          <w:rFonts w:ascii="Times New Roman" w:hAnsi="Times New Roman" w:cs="Times New Roman"/>
          <w:i/>
          <w:sz w:val="20"/>
          <w:szCs w:val="20"/>
        </w:rPr>
        <w:t>see also</w:t>
      </w:r>
      <w:r w:rsidRPr="00D851F9">
        <w:rPr>
          <w:rFonts w:ascii="Times New Roman" w:hAnsi="Times New Roman" w:cs="Times New Roman"/>
          <w:sz w:val="20"/>
          <w:szCs w:val="20"/>
        </w:rPr>
        <w:t xml:space="preserve"> Irving Bernstein, </w:t>
      </w:r>
      <w:r w:rsidRPr="00D851F9">
        <w:rPr>
          <w:rFonts w:ascii="Times New Roman" w:hAnsi="Times New Roman" w:cs="Times New Roman"/>
          <w:smallCaps/>
          <w:sz w:val="20"/>
          <w:szCs w:val="20"/>
        </w:rPr>
        <w:t>The New Deal Collective Bargaining Policy</w:t>
      </w:r>
      <w:r w:rsidRPr="00D851F9">
        <w:rPr>
          <w:rFonts w:ascii="Times New Roman" w:hAnsi="Times New Roman" w:cs="Times New Roman"/>
          <w:sz w:val="20"/>
          <w:szCs w:val="20"/>
        </w:rPr>
        <w:t xml:space="preserve"> 90 (1950) (noting the two-fold purpose “to voice an economic philosophy and to lay a constitutional foundation for the Act”).</w:t>
      </w:r>
    </w:p>
  </w:footnote>
  <w:footnote w:id="108">
    <w:p w14:paraId="14AC4FD1" w14:textId="3C61298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b/>
          <w:sz w:val="20"/>
          <w:szCs w:val="20"/>
        </w:rPr>
        <w:footnoteRef/>
      </w:r>
      <w:r w:rsidRPr="00D851F9">
        <w:rPr>
          <w:rStyle w:val="FootnoteReference"/>
          <w:rFonts w:ascii="Times New Roman" w:hAnsi="Times New Roman" w:cs="Times New Roman"/>
          <w:b/>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Paul R. Verkuil, </w:t>
      </w:r>
      <w:r w:rsidRPr="00D851F9">
        <w:rPr>
          <w:rFonts w:ascii="Times New Roman" w:hAnsi="Times New Roman" w:cs="Times New Roman"/>
          <w:i/>
          <w:sz w:val="20"/>
          <w:szCs w:val="20"/>
        </w:rPr>
        <w:t>The Independence of Independent Agencies: The Purposes and Limits of Administrative Agencies</w:t>
      </w:r>
      <w:r w:rsidRPr="00D851F9">
        <w:rPr>
          <w:rFonts w:ascii="Times New Roman" w:hAnsi="Times New Roman" w:cs="Times New Roman"/>
          <w:sz w:val="20"/>
          <w:szCs w:val="20"/>
        </w:rPr>
        <w:t xml:space="preserve">, 1988 </w:t>
      </w:r>
      <w:r w:rsidRPr="00D851F9">
        <w:rPr>
          <w:rFonts w:ascii="Times New Roman" w:hAnsi="Times New Roman" w:cs="Times New Roman"/>
          <w:smallCaps/>
          <w:sz w:val="20"/>
          <w:szCs w:val="20"/>
        </w:rPr>
        <w:t>Duke L.J.</w:t>
      </w:r>
      <w:r w:rsidRPr="00D851F9">
        <w:rPr>
          <w:rFonts w:ascii="Times New Roman" w:hAnsi="Times New Roman" w:cs="Times New Roman"/>
          <w:sz w:val="20"/>
          <w:szCs w:val="20"/>
        </w:rPr>
        <w:t xml:space="preserve"> 257, 257 (noting that NLRB was one of many administrative agencies created during the New Deal era).</w:t>
      </w:r>
    </w:p>
  </w:footnote>
  <w:footnote w:id="109">
    <w:p w14:paraId="7D662E2F" w14:textId="0C620A8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Michael J. Hayes, </w:t>
      </w:r>
      <w:proofErr w:type="gramStart"/>
      <w:r w:rsidRPr="00D851F9">
        <w:rPr>
          <w:rFonts w:ascii="Times New Roman" w:hAnsi="Times New Roman" w:cs="Times New Roman"/>
          <w:i/>
          <w:sz w:val="20"/>
          <w:szCs w:val="20"/>
        </w:rPr>
        <w:t>After</w:t>
      </w:r>
      <w:proofErr w:type="gramEnd"/>
      <w:r w:rsidRPr="00D851F9">
        <w:rPr>
          <w:rFonts w:ascii="Times New Roman" w:hAnsi="Times New Roman" w:cs="Times New Roman"/>
          <w:i/>
          <w:sz w:val="20"/>
          <w:szCs w:val="20"/>
        </w:rPr>
        <w:t xml:space="preserve"> ‘Hiding the Ball’ Is Over: How the NLRB Must Change Its Approach to Decision-Making</w:t>
      </w:r>
      <w:r w:rsidRPr="00D851F9">
        <w:rPr>
          <w:rFonts w:ascii="Times New Roman" w:hAnsi="Times New Roman" w:cs="Times New Roman"/>
          <w:sz w:val="20"/>
          <w:szCs w:val="20"/>
        </w:rPr>
        <w:t xml:space="preserve">, 33 </w:t>
      </w:r>
      <w:r w:rsidRPr="00D851F9">
        <w:rPr>
          <w:rFonts w:ascii="Times New Roman" w:hAnsi="Times New Roman" w:cs="Times New Roman"/>
          <w:smallCaps/>
          <w:sz w:val="20"/>
          <w:szCs w:val="20"/>
        </w:rPr>
        <w:t>Rutgers L.J</w:t>
      </w:r>
      <w:r w:rsidRPr="00D851F9">
        <w:rPr>
          <w:rFonts w:ascii="Times New Roman" w:hAnsi="Times New Roman" w:cs="Times New Roman"/>
          <w:sz w:val="20"/>
          <w:szCs w:val="20"/>
        </w:rPr>
        <w:t xml:space="preserve">. 523, 554 (2002) (“[I]n passing the [NLRA], Congress continued the process of diminishing the role of courts in the labor area by creating an </w:t>
      </w:r>
      <w:r w:rsidRPr="00D851F9">
        <w:rPr>
          <w:rFonts w:ascii="Times New Roman" w:hAnsi="Times New Roman" w:cs="Times New Roman"/>
          <w:i/>
          <w:sz w:val="20"/>
          <w:szCs w:val="20"/>
        </w:rPr>
        <w:t>alternative</w:t>
      </w:r>
      <w:r w:rsidRPr="00D851F9">
        <w:rPr>
          <w:rFonts w:ascii="Times New Roman" w:hAnsi="Times New Roman" w:cs="Times New Roman"/>
          <w:sz w:val="20"/>
          <w:szCs w:val="20"/>
        </w:rPr>
        <w:t xml:space="preserve"> to the courts…”); Ralph P. Winters, Jr. </w:t>
      </w:r>
      <w:r w:rsidRPr="00D851F9">
        <w:rPr>
          <w:rFonts w:ascii="Times New Roman" w:hAnsi="Times New Roman" w:cs="Times New Roman"/>
          <w:i/>
          <w:sz w:val="20"/>
          <w:szCs w:val="20"/>
        </w:rPr>
        <w:t>Judicial Review of Agency Decisions: The Labor Board and the Court</w:t>
      </w:r>
      <w:r w:rsidRPr="00D851F9">
        <w:rPr>
          <w:rFonts w:ascii="Times New Roman" w:hAnsi="Times New Roman" w:cs="Times New Roman"/>
          <w:sz w:val="20"/>
          <w:szCs w:val="20"/>
        </w:rPr>
        <w:t xml:space="preserve">, 1968 </w:t>
      </w:r>
      <w:r w:rsidRPr="00D851F9">
        <w:rPr>
          <w:rFonts w:ascii="Times New Roman" w:hAnsi="Times New Roman" w:cs="Times New Roman"/>
          <w:smallCaps/>
          <w:sz w:val="20"/>
          <w:szCs w:val="20"/>
        </w:rPr>
        <w:t>Sup. Ct. Rev</w:t>
      </w:r>
      <w:r w:rsidRPr="00D851F9">
        <w:rPr>
          <w:rFonts w:ascii="Times New Roman" w:hAnsi="Times New Roman" w:cs="Times New Roman"/>
          <w:sz w:val="20"/>
          <w:szCs w:val="20"/>
        </w:rPr>
        <w:t xml:space="preserve">. 53, 59 n.5 (“The creation of the Board, therefore, may fairly be viewed as the result of congressional dissatisfaction with judicial lawmaking in the area of labor law.”). </w:t>
      </w:r>
    </w:p>
  </w:footnote>
  <w:footnote w:id="110">
    <w:p w14:paraId="4B99E2A3" w14:textId="2DABFDA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29 U.S.C.§ 153.</w:t>
      </w:r>
    </w:p>
  </w:footnote>
  <w:footnote w:id="111">
    <w:p w14:paraId="6998677F" w14:textId="77777777"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1 Nat’l Labor Relations Bd., Legislative History of the National Labor Relations Act of 1935, at 1428 (1949) (noting Senator Wagner stating “[f]or years lawyers and economists have pleaded for a dignified administrative tribunal detached from any particular administration that happens to be in power, and entitled to deal quasi-judicially with issues with which the courts have neither the time nor the special facilities to cope.”).</w:t>
      </w:r>
      <w:r w:rsidRPr="00D851F9">
        <w:rPr>
          <w:rFonts w:ascii="Times New Roman" w:hAnsi="Times New Roman" w:cs="Times New Roman"/>
          <w:i/>
          <w:sz w:val="20"/>
          <w:szCs w:val="20"/>
        </w:rPr>
        <w:t xml:space="preserve"> </w:t>
      </w:r>
    </w:p>
  </w:footnote>
  <w:footnote w:id="112">
    <w:p w14:paraId="1A13D3AF" w14:textId="753F24E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Judy Flynn, </w:t>
      </w:r>
      <w:r w:rsidRPr="00D851F9">
        <w:rPr>
          <w:rFonts w:ascii="Times New Roman" w:hAnsi="Times New Roman" w:cs="Times New Roman"/>
          <w:i/>
          <w:sz w:val="20"/>
          <w:szCs w:val="20"/>
        </w:rPr>
        <w:t>A Quiet Revolution at the Labor Board: The Transformation of the NLRB</w:t>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1935-2000, </w:t>
      </w:r>
      <w:r w:rsidRPr="00D851F9">
        <w:rPr>
          <w:rFonts w:ascii="Times New Roman" w:hAnsi="Times New Roman" w:cs="Times New Roman"/>
          <w:sz w:val="20"/>
          <w:szCs w:val="20"/>
        </w:rPr>
        <w:t xml:space="preserve">61 </w:t>
      </w:r>
      <w:r w:rsidRPr="00D851F9">
        <w:rPr>
          <w:rFonts w:ascii="Times New Roman" w:hAnsi="Times New Roman" w:cs="Times New Roman"/>
          <w:smallCaps/>
          <w:sz w:val="20"/>
          <w:szCs w:val="20"/>
        </w:rPr>
        <w:t>Ohio St. L.J</w:t>
      </w:r>
      <w:r w:rsidRPr="00D851F9">
        <w:rPr>
          <w:rFonts w:ascii="Times New Roman" w:hAnsi="Times New Roman" w:cs="Times New Roman"/>
          <w:sz w:val="20"/>
          <w:szCs w:val="20"/>
        </w:rPr>
        <w:t>. 1361, 1363 (2000).</w:t>
      </w:r>
    </w:p>
  </w:footnote>
  <w:footnote w:id="113">
    <w:p w14:paraId="78218FBB" w14:textId="5638A162" w:rsidR="00810AB4" w:rsidRPr="00297D38" w:rsidRDefault="00810AB4">
      <w:pPr>
        <w:pStyle w:val="FootnoteText"/>
        <w:rPr>
          <w:i/>
        </w:rPr>
      </w:pPr>
      <w:r>
        <w:rPr>
          <w:rStyle w:val="FootnoteReference"/>
        </w:rPr>
        <w:footnoteRef/>
      </w:r>
      <w:r>
        <w:t xml:space="preserve"> </w:t>
      </w:r>
      <w:r>
        <w:rPr>
          <w:i/>
        </w:rPr>
        <w:t>See id.</w:t>
      </w:r>
    </w:p>
  </w:footnote>
  <w:footnote w:id="114">
    <w:p w14:paraId="70A245AA" w14:textId="49277A01" w:rsidR="00810AB4" w:rsidRPr="006658C5"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6658C5">
        <w:rPr>
          <w:rFonts w:ascii="Times New Roman" w:hAnsi="Times New Roman" w:cs="Times New Roman"/>
          <w:i/>
          <w:sz w:val="20"/>
          <w:szCs w:val="20"/>
        </w:rPr>
        <w:t>See</w:t>
      </w:r>
      <w:r w:rsidRPr="006658C5">
        <w:rPr>
          <w:rFonts w:ascii="Times New Roman" w:hAnsi="Times New Roman" w:cs="Times New Roman"/>
          <w:sz w:val="20"/>
          <w:szCs w:val="20"/>
        </w:rPr>
        <w:t xml:space="preserve"> </w:t>
      </w:r>
      <w:r w:rsidRPr="006658C5">
        <w:rPr>
          <w:rFonts w:ascii="Times New Roman" w:hAnsi="Times New Roman" w:cs="Times New Roman"/>
          <w:smallCaps/>
          <w:sz w:val="20"/>
          <w:szCs w:val="20"/>
        </w:rPr>
        <w:t>James A. Gross</w:t>
      </w:r>
      <w:r w:rsidRPr="006658C5">
        <w:rPr>
          <w:rFonts w:ascii="Times New Roman" w:hAnsi="Times New Roman" w:cs="Times New Roman"/>
          <w:sz w:val="20"/>
          <w:szCs w:val="20"/>
        </w:rPr>
        <w:t xml:space="preserve">, </w:t>
      </w:r>
      <w:r w:rsidRPr="006658C5">
        <w:rPr>
          <w:rFonts w:ascii="Times New Roman" w:hAnsi="Times New Roman" w:cs="Times New Roman"/>
          <w:smallCaps/>
          <w:sz w:val="20"/>
          <w:szCs w:val="20"/>
        </w:rPr>
        <w:t>The Making of the National Labor Relations Board: A Study in Economics, Policy, and the Law</w:t>
      </w:r>
      <w:r w:rsidRPr="006658C5">
        <w:rPr>
          <w:rFonts w:ascii="Times New Roman" w:hAnsi="Times New Roman" w:cs="Times New Roman"/>
          <w:sz w:val="20"/>
          <w:szCs w:val="20"/>
        </w:rPr>
        <w:t xml:space="preserve"> 150 (1974); </w:t>
      </w:r>
      <w:r w:rsidRPr="006658C5">
        <w:rPr>
          <w:rFonts w:ascii="Times New Roman" w:hAnsi="Times New Roman" w:cs="Times New Roman"/>
          <w:smallCaps/>
          <w:sz w:val="20"/>
          <w:szCs w:val="20"/>
        </w:rPr>
        <w:t>James A. Gross</w:t>
      </w:r>
      <w:r w:rsidRPr="006658C5">
        <w:rPr>
          <w:rFonts w:ascii="Times New Roman" w:hAnsi="Times New Roman" w:cs="Times New Roman"/>
          <w:sz w:val="20"/>
          <w:szCs w:val="20"/>
        </w:rPr>
        <w:t xml:space="preserve">, </w:t>
      </w:r>
      <w:r w:rsidRPr="006658C5">
        <w:rPr>
          <w:rFonts w:ascii="Times New Roman" w:hAnsi="Times New Roman" w:cs="Times New Roman"/>
          <w:smallCaps/>
          <w:sz w:val="20"/>
          <w:szCs w:val="20"/>
        </w:rPr>
        <w:t>The Reshaping of the National Labor Relations Board: National Labor Policy in Transition 1937-1947 226 (1981</w:t>
      </w:r>
      <w:r w:rsidRPr="006658C5">
        <w:rPr>
          <w:smallCaps/>
          <w:sz w:val="20"/>
          <w:szCs w:val="20"/>
        </w:rPr>
        <w:t>).</w:t>
      </w:r>
      <w:r w:rsidRPr="006658C5">
        <w:rPr>
          <w:rFonts w:ascii="Times New Roman" w:hAnsi="Times New Roman" w:cs="Times New Roman"/>
          <w:sz w:val="20"/>
          <w:szCs w:val="20"/>
        </w:rPr>
        <w:t xml:space="preserve"> </w:t>
      </w:r>
    </w:p>
  </w:footnote>
  <w:footnote w:id="115">
    <w:p w14:paraId="04A00BA8" w14:textId="3DCBF984" w:rsidR="00810AB4" w:rsidRPr="000E6D59" w:rsidRDefault="00810AB4">
      <w:pPr>
        <w:pStyle w:val="FootnoteText"/>
        <w:rPr>
          <w:i/>
        </w:rPr>
      </w:pPr>
      <w:r>
        <w:rPr>
          <w:rStyle w:val="FootnoteReference"/>
        </w:rPr>
        <w:footnoteRef/>
      </w:r>
      <w:r>
        <w:t xml:space="preserve"> </w:t>
      </w:r>
      <w:r>
        <w:rPr>
          <w:i/>
        </w:rPr>
        <w:t>Id.</w:t>
      </w:r>
    </w:p>
  </w:footnote>
  <w:footnote w:id="116">
    <w:p w14:paraId="4F725103" w14:textId="7777777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Samuel Estreicher, </w:t>
      </w:r>
      <w:r w:rsidRPr="00D851F9">
        <w:rPr>
          <w:rFonts w:ascii="Times New Roman" w:hAnsi="Times New Roman" w:cs="Times New Roman"/>
          <w:i/>
          <w:sz w:val="20"/>
          <w:szCs w:val="20"/>
        </w:rPr>
        <w:t>Policy Oscillations at the Labor Board: A Plea for Rulemaking</w:t>
      </w:r>
      <w:r w:rsidRPr="00D851F9">
        <w:rPr>
          <w:rFonts w:ascii="Times New Roman" w:hAnsi="Times New Roman" w:cs="Times New Roman"/>
          <w:sz w:val="20"/>
          <w:szCs w:val="20"/>
        </w:rPr>
        <w:t xml:space="preserve">, 37 </w:t>
      </w:r>
      <w:r w:rsidRPr="00D851F9">
        <w:rPr>
          <w:rFonts w:ascii="Times New Roman" w:hAnsi="Times New Roman" w:cs="Times New Roman"/>
          <w:smallCaps/>
          <w:sz w:val="20"/>
          <w:szCs w:val="20"/>
        </w:rPr>
        <w:t>Admin. L. Rev</w:t>
      </w:r>
      <w:r w:rsidRPr="00D851F9">
        <w:rPr>
          <w:rFonts w:ascii="Times New Roman" w:hAnsi="Times New Roman" w:cs="Times New Roman"/>
          <w:sz w:val="20"/>
          <w:szCs w:val="20"/>
        </w:rPr>
        <w:t xml:space="preserve">. 163, 167 (1985). </w:t>
      </w:r>
    </w:p>
  </w:footnote>
  <w:footnote w:id="117">
    <w:p w14:paraId="602CD742" w14:textId="31F4E1E0" w:rsidR="00810AB4" w:rsidRPr="00D851F9" w:rsidRDefault="00810AB4" w:rsidP="00AB3987">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For instance, legislators thought that expanding the term to five years would prevent Board members “from being subject to immediate political reactions at elections.” Flynn,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109, at 1363.</w:t>
      </w:r>
    </w:p>
  </w:footnote>
  <w:footnote w:id="118">
    <w:p w14:paraId="1B89068D" w14:textId="0744E78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Labor Management Relations (Taft-Hartley) Act, Pub. L. No. 80-101, 61 Stat. 136 (1947) (codified at 29 U.S.C. §§ 141-44.  </w:t>
      </w:r>
    </w:p>
  </w:footnote>
  <w:footnote w:id="119">
    <w:p w14:paraId="20B0B713" w14:textId="285B5587" w:rsidR="00810AB4" w:rsidRPr="00D851F9" w:rsidRDefault="00810AB4" w:rsidP="00AB3987">
      <w:pPr>
        <w:pStyle w:val="FootnoteText"/>
      </w:pPr>
      <w:r w:rsidRPr="00D851F9">
        <w:rPr>
          <w:rStyle w:val="FootnoteReference"/>
        </w:rPr>
        <w:footnoteRef/>
      </w:r>
      <w:r w:rsidRPr="00D851F9">
        <w:t xml:space="preserve"> </w:t>
      </w:r>
      <w:r w:rsidRPr="00D851F9">
        <w:rPr>
          <w:i/>
        </w:rPr>
        <w:t>See</w:t>
      </w:r>
      <w:r w:rsidRPr="00D851F9">
        <w:t xml:space="preserve"> Fisk &amp; Malamud, </w:t>
      </w:r>
      <w:r w:rsidRPr="00D851F9">
        <w:rPr>
          <w:i/>
        </w:rPr>
        <w:t>supra</w:t>
      </w:r>
      <w:r w:rsidRPr="00D851F9">
        <w:t xml:space="preserve"> note 18, at 2036.</w:t>
      </w:r>
    </w:p>
  </w:footnote>
  <w:footnote w:id="120">
    <w:p w14:paraId="366C092D" w14:textId="77777777" w:rsidR="00810AB4" w:rsidRPr="00D851F9" w:rsidRDefault="00810AB4" w:rsidP="00AB3987">
      <w:pPr>
        <w:pStyle w:val="FootnoteText"/>
      </w:pPr>
      <w:r w:rsidRPr="00D851F9">
        <w:rPr>
          <w:rStyle w:val="FootnoteReference"/>
        </w:rPr>
        <w:footnoteRef/>
      </w:r>
      <w:r w:rsidRPr="00D851F9">
        <w:t xml:space="preserve"> </w:t>
      </w:r>
      <w:r w:rsidRPr="00D851F9">
        <w:rPr>
          <w:i/>
        </w:rPr>
        <w:t>Id.</w:t>
      </w:r>
      <w:r w:rsidRPr="00D851F9">
        <w:t xml:space="preserve"> at 2034. </w:t>
      </w:r>
    </w:p>
  </w:footnote>
  <w:footnote w:id="121">
    <w:p w14:paraId="69A8E2CE" w14:textId="77777777" w:rsidR="00810AB4" w:rsidRPr="00D851F9" w:rsidRDefault="00810AB4" w:rsidP="00AB3987">
      <w:pPr>
        <w:pStyle w:val="FootnoteText"/>
      </w:pPr>
      <w:r w:rsidRPr="00D851F9">
        <w:rPr>
          <w:rStyle w:val="FootnoteReference"/>
        </w:rPr>
        <w:footnoteRef/>
      </w:r>
      <w:r w:rsidRPr="00D851F9">
        <w:t xml:space="preserve"> </w:t>
      </w:r>
      <w:r w:rsidRPr="00D851F9">
        <w:rPr>
          <w:i/>
        </w:rPr>
        <w:t>Id.</w:t>
      </w:r>
      <w:r w:rsidRPr="00D851F9">
        <w:t xml:space="preserve"> at 2034; William N. Eskridge, Jr. and John Ferejohn, </w:t>
      </w:r>
      <w:r w:rsidRPr="00D851F9">
        <w:rPr>
          <w:i/>
        </w:rPr>
        <w:t>Super-Statutes</w:t>
      </w:r>
      <w:r w:rsidRPr="00D851F9">
        <w:t xml:space="preserve">, 50 </w:t>
      </w:r>
      <w:r w:rsidRPr="00D851F9">
        <w:rPr>
          <w:smallCaps/>
        </w:rPr>
        <w:t>Duke L. J</w:t>
      </w:r>
      <w:r w:rsidRPr="00D851F9">
        <w:t>. 1215, 1217 (2001) (using the NLRB as an example of a super-statute).</w:t>
      </w:r>
    </w:p>
  </w:footnote>
  <w:footnote w:id="122">
    <w:p w14:paraId="0F11E26A" w14:textId="1BBD7F64" w:rsidR="00810AB4" w:rsidRPr="00D851F9" w:rsidRDefault="00810AB4" w:rsidP="00AB3987">
      <w:pPr>
        <w:pStyle w:val="FootnoteText"/>
      </w:pPr>
      <w:r w:rsidRPr="00D851F9">
        <w:rPr>
          <w:rStyle w:val="FootnoteReference"/>
        </w:rPr>
        <w:footnoteRef/>
      </w:r>
      <w:r w:rsidRPr="00D851F9">
        <w:t xml:space="preserve"> Fisk &amp; Malamud, </w:t>
      </w:r>
      <w:r w:rsidRPr="00D851F9">
        <w:rPr>
          <w:i/>
        </w:rPr>
        <w:t>supra</w:t>
      </w:r>
      <w:r w:rsidRPr="00D851F9">
        <w:t xml:space="preserve"> note 18, at 2034; </w:t>
      </w:r>
      <w:r w:rsidRPr="00D851F9">
        <w:rPr>
          <w:i/>
        </w:rPr>
        <w:t>see also</w:t>
      </w:r>
      <w:r w:rsidRPr="00D851F9">
        <w:t xml:space="preserve"> Nelson Lichtenstein, </w:t>
      </w:r>
      <w:r w:rsidRPr="00D851F9">
        <w:rPr>
          <w:i/>
        </w:rPr>
        <w:t>Politicized Unions and the New Deal Model: Labor, Business and Taft-Hartley</w:t>
      </w:r>
      <w:r w:rsidRPr="00D851F9">
        <w:t xml:space="preserve">, in </w:t>
      </w:r>
      <w:r w:rsidRPr="00D851F9">
        <w:rPr>
          <w:smallCaps/>
        </w:rPr>
        <w:t>The New Deal and the Triumph of Liberalism</w:t>
      </w:r>
      <w:r w:rsidRPr="00D851F9">
        <w:rPr>
          <w:i/>
        </w:rPr>
        <w:t xml:space="preserve"> </w:t>
      </w:r>
      <w:r w:rsidRPr="00D851F9">
        <w:t xml:space="preserve">135, 138 (Sidney M. Milkis &amp; Jerone M. Mileur, eds. 2002); Cynthia Estlund, </w:t>
      </w:r>
      <w:r w:rsidRPr="00D851F9">
        <w:rPr>
          <w:i/>
        </w:rPr>
        <w:t xml:space="preserve">The Ossification of American Labor </w:t>
      </w:r>
      <w:r w:rsidRPr="00D851F9">
        <w:t xml:space="preserve">Law, 102 </w:t>
      </w:r>
      <w:r w:rsidRPr="00D851F9">
        <w:rPr>
          <w:smallCaps/>
        </w:rPr>
        <w:t>Colum. L. Rev</w:t>
      </w:r>
      <w:r w:rsidRPr="00D851F9">
        <w:t xml:space="preserve">. 1527, 1533-35 (2002) (noting that Taft-Hartley set back the labor movement and arguing that the Taft-Hartley amendments work “largely by addition, not subtractions; they left the core provisions of the original New Deal text—and in particular the existing employer unfair labor practices—essentially intact.”); </w:t>
      </w:r>
      <w:r w:rsidRPr="00D851F9">
        <w:rPr>
          <w:i/>
        </w:rPr>
        <w:t>cf</w:t>
      </w:r>
      <w:r w:rsidRPr="00D851F9">
        <w:t xml:space="preserve"> Archibald Cox, </w:t>
      </w:r>
      <w:r w:rsidRPr="00D851F9">
        <w:rPr>
          <w:i/>
        </w:rPr>
        <w:t>Some Aspects of the Labor Management Relations Act</w:t>
      </w:r>
      <w:r w:rsidRPr="00D851F9">
        <w:t xml:space="preserve">, 1947, 61 </w:t>
      </w:r>
      <w:r w:rsidRPr="00D851F9">
        <w:rPr>
          <w:smallCaps/>
        </w:rPr>
        <w:t xml:space="preserve">Harvard L. Rev. </w:t>
      </w:r>
      <w:r w:rsidRPr="00D851F9">
        <w:t xml:space="preserve">274, 274 (1961) (arguing that Taft-Hartley “appears to reject the policy of encouraging the spread of collective bargaining, [and] accepts the institution where it already exists.”). </w:t>
      </w:r>
    </w:p>
  </w:footnote>
  <w:footnote w:id="123">
    <w:p w14:paraId="681555B8" w14:textId="71118F0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Labor Manage</w:t>
      </w:r>
      <w:r>
        <w:rPr>
          <w:rFonts w:ascii="Times New Roman" w:hAnsi="Times New Roman" w:cs="Times New Roman"/>
          <w:sz w:val="20"/>
          <w:szCs w:val="20"/>
        </w:rPr>
        <w:t>ment Relations Act of 1947, ch.</w:t>
      </w:r>
      <w:r w:rsidRPr="00D851F9">
        <w:rPr>
          <w:rFonts w:ascii="Times New Roman" w:hAnsi="Times New Roman" w:cs="Times New Roman"/>
          <w:sz w:val="20"/>
          <w:szCs w:val="20"/>
        </w:rPr>
        <w:t>120, 61 Stat. 136 (1947) (codified at 29 U.S.C. sections 141-187).  Taft-Hartley states the following concerning its purpose. “Experience has further demonstrated that certain practices by some labor organizations, their officers and members have the intent or the necessary effect of burdening or obstructing commerce by preventing the free flow of goods in such commerce through strikes and other forms of industrial unrest or through concerted activities which impair the interest of the public in the free flow of such commerce. The elimination of such practices is a necessary condition to the assurance of the rights herein guaranteed.”). Unlike other agencies, the Board has an independent General Counsel, who is appointed by the President, and who is separate from the Board, with adjudicatory and prosecutor functions being divided.</w:t>
      </w:r>
    </w:p>
  </w:footnote>
  <w:footnote w:id="124">
    <w:p w14:paraId="357E4087" w14:textId="7B598CB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29 U.S.C. § 153(a) (2006).  The Taft-Hartley Act of 1947 expanded the Board from three to five members. </w:t>
      </w:r>
      <w:r w:rsidRPr="00D851F9">
        <w:rPr>
          <w:rFonts w:ascii="Times New Roman" w:hAnsi="Times New Roman" w:cs="Times New Roman"/>
          <w:i/>
          <w:sz w:val="20"/>
          <w:szCs w:val="20"/>
        </w:rPr>
        <w:t>See id.</w:t>
      </w:r>
    </w:p>
  </w:footnote>
  <w:footnote w:id="125">
    <w:p w14:paraId="477E3975" w14:textId="204CB7FD"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Flynn,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112</w:t>
      </w:r>
      <w:r w:rsidRPr="00D851F9">
        <w:rPr>
          <w:rFonts w:ascii="Times New Roman" w:hAnsi="Times New Roman" w:cs="Times New Roman"/>
          <w:sz w:val="20"/>
          <w:szCs w:val="20"/>
        </w:rPr>
        <w:t>, at 1364-65.</w:t>
      </w:r>
    </w:p>
  </w:footnote>
  <w:footnote w:id="126">
    <w:p w14:paraId="1B195714" w14:textId="07F281D7"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Estreicher,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116</w:t>
      </w:r>
      <w:r w:rsidRPr="00D851F9">
        <w:rPr>
          <w:rFonts w:ascii="Times New Roman" w:hAnsi="Times New Roman" w:cs="Times New Roman"/>
          <w:sz w:val="20"/>
          <w:szCs w:val="20"/>
        </w:rPr>
        <w:t xml:space="preserve">, at 175 (noting that the Board uses adjudication to make policy as opposed to rulemaking); Flynn,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106, at 470 n.21 (same). NLRB has faced criticism of its failure to use rulemaking, with critics contending that an adjudicatory approach results in the Board frequently changing policies. </w:t>
      </w:r>
      <w:r w:rsidRPr="00D851F9">
        <w:rPr>
          <w:rFonts w:ascii="Times New Roman" w:hAnsi="Times New Roman" w:cs="Times New Roman"/>
          <w:i/>
          <w:sz w:val="20"/>
          <w:szCs w:val="20"/>
        </w:rPr>
        <w:t>See id.</w:t>
      </w:r>
    </w:p>
  </w:footnote>
  <w:footnote w:id="127">
    <w:p w14:paraId="4E57C28C" w14:textId="6732935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Claire Tuck, Note: Policy Formulation at the NLRB: A Viable Alternative to Notice and Comment Rulemaking, 27 </w:t>
      </w:r>
      <w:r w:rsidRPr="00D851F9">
        <w:rPr>
          <w:rFonts w:ascii="Times New Roman" w:hAnsi="Times New Roman" w:cs="Times New Roman"/>
          <w:smallCaps/>
          <w:sz w:val="20"/>
          <w:szCs w:val="20"/>
        </w:rPr>
        <w:t>Cardozo L. Rev</w:t>
      </w:r>
      <w:r w:rsidRPr="00D851F9">
        <w:rPr>
          <w:rFonts w:ascii="Times New Roman" w:hAnsi="Times New Roman" w:cs="Times New Roman"/>
          <w:sz w:val="20"/>
          <w:szCs w:val="20"/>
        </w:rPr>
        <w:t xml:space="preserve">. 1117, 1137-38 n.162 (2005) (noting role of General Counsel); Robert A. Gorman &amp; Matthew W. Finkin, </w:t>
      </w:r>
      <w:r w:rsidRPr="00D851F9">
        <w:rPr>
          <w:rFonts w:ascii="Times New Roman" w:hAnsi="Times New Roman" w:cs="Times New Roman"/>
          <w:smallCaps/>
          <w:sz w:val="20"/>
          <w:szCs w:val="20"/>
        </w:rPr>
        <w:t>Basic Text on Labor Law: Unionization and Collective Bargaining</w:t>
      </w:r>
      <w:r w:rsidRPr="00D851F9">
        <w:rPr>
          <w:rFonts w:ascii="Times New Roman" w:hAnsi="Times New Roman" w:cs="Times New Roman"/>
          <w:sz w:val="20"/>
          <w:szCs w:val="20"/>
        </w:rPr>
        <w:t xml:space="preserve"> 11-12 (2d ed. 2004) (noting procedures).</w:t>
      </w:r>
    </w:p>
  </w:footnote>
  <w:footnote w:id="128">
    <w:p w14:paraId="100EC96B" w14:textId="31E0465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Less than 1% of decisions ever reach the Board as most cases are resolved by a regional hearing officer on or before they are heard by ALJs, who are bound by Board precedent in issuing their decisions. </w:t>
      </w:r>
    </w:p>
  </w:footnote>
  <w:footnote w:id="129">
    <w:p w14:paraId="3BEC48E7" w14:textId="29E9BA1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Winter,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109</w:t>
      </w:r>
      <w:r w:rsidRPr="00D851F9">
        <w:rPr>
          <w:rFonts w:ascii="Times New Roman" w:hAnsi="Times New Roman" w:cs="Times New Roman"/>
          <w:sz w:val="20"/>
          <w:szCs w:val="20"/>
        </w:rPr>
        <w:t xml:space="preserve">, at 55. </w:t>
      </w:r>
    </w:p>
  </w:footnote>
  <w:footnote w:id="130">
    <w:p w14:paraId="4AD77A49" w14:textId="63EC9BB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Samuel Estreicher &amp; Richard L. Revesz, </w:t>
      </w:r>
      <w:r w:rsidRPr="00D851F9">
        <w:rPr>
          <w:rFonts w:ascii="Times New Roman" w:hAnsi="Times New Roman" w:cs="Times New Roman"/>
          <w:i/>
          <w:sz w:val="20"/>
          <w:szCs w:val="20"/>
        </w:rPr>
        <w:t>Nonacquiescence by Federal Administrative Agencies</w:t>
      </w:r>
      <w:r w:rsidRPr="00D851F9">
        <w:rPr>
          <w:rFonts w:ascii="Times New Roman" w:hAnsi="Times New Roman" w:cs="Times New Roman"/>
          <w:sz w:val="20"/>
          <w:szCs w:val="20"/>
        </w:rPr>
        <w:t xml:space="preserve">, 98 </w:t>
      </w:r>
      <w:r w:rsidRPr="00D851F9">
        <w:rPr>
          <w:rFonts w:ascii="Times New Roman" w:hAnsi="Times New Roman" w:cs="Times New Roman"/>
          <w:smallCaps/>
          <w:sz w:val="20"/>
          <w:szCs w:val="20"/>
        </w:rPr>
        <w:t>Yale L. J</w:t>
      </w:r>
      <w:r w:rsidRPr="00D851F9">
        <w:rPr>
          <w:rFonts w:ascii="Times New Roman" w:hAnsi="Times New Roman" w:cs="Times New Roman"/>
          <w:sz w:val="20"/>
          <w:szCs w:val="20"/>
        </w:rPr>
        <w:t xml:space="preserve">. 679, 681 (1989); Judy Flynn, </w:t>
      </w:r>
      <w:r w:rsidRPr="00D851F9">
        <w:rPr>
          <w:rFonts w:ascii="Times New Roman" w:hAnsi="Times New Roman" w:cs="Times New Roman"/>
          <w:i/>
          <w:sz w:val="20"/>
          <w:szCs w:val="20"/>
        </w:rPr>
        <w:t>Costs and Benefits of ‘Hiding the Ball’: NLRB Policymaking and the Failure of Judicial Review</w:t>
      </w:r>
      <w:r w:rsidRPr="00D851F9">
        <w:rPr>
          <w:rFonts w:ascii="Times New Roman" w:hAnsi="Times New Roman" w:cs="Times New Roman"/>
          <w:sz w:val="20"/>
          <w:szCs w:val="20"/>
        </w:rPr>
        <w:t xml:space="preserve">, 75 BU L. Rev. 387, 421 (1995) (noting that the General Counsel does not look to circuit precedent in deciding whether or not to issue a complaint); Rebecca Hanner White, </w:t>
      </w:r>
      <w:r w:rsidRPr="00D851F9">
        <w:rPr>
          <w:rFonts w:ascii="Times New Roman" w:hAnsi="Times New Roman" w:cs="Times New Roman"/>
          <w:i/>
          <w:sz w:val="20"/>
          <w:szCs w:val="20"/>
        </w:rPr>
        <w:t>Time for a New Approach: Why the Judiciary Should Disregard the ‘Law of the Circuit’ When Confronting Nonacquiescence by the National Labor Relations Board</w:t>
      </w:r>
      <w:r w:rsidRPr="00D851F9">
        <w:rPr>
          <w:rFonts w:ascii="Times New Roman" w:hAnsi="Times New Roman" w:cs="Times New Roman"/>
          <w:sz w:val="20"/>
          <w:szCs w:val="20"/>
        </w:rPr>
        <w:t xml:space="preserve">, 69 N.C. L. Rev. 639 (1991).  </w:t>
      </w:r>
    </w:p>
  </w:footnote>
  <w:footnote w:id="131">
    <w:p w14:paraId="7A91BDCB" w14:textId="0BD7A8F5" w:rsidR="00810AB4" w:rsidRPr="00D851F9" w:rsidRDefault="00810AB4" w:rsidP="009F176D">
      <w:pPr>
        <w:pStyle w:val="FootnoteText"/>
      </w:pPr>
      <w:r w:rsidRPr="00D851F9">
        <w:rPr>
          <w:rStyle w:val="FootnoteReference"/>
        </w:rPr>
        <w:footnoteRef/>
      </w:r>
      <w:r w:rsidRPr="00D851F9">
        <w:t xml:space="preserve"> Losing parties can seek judicial review of an adverse Board decision in the federal court where they petition for relief or seek enforcement of a Board order. 29 U.S.C. §160(e)-(f) (2012). The General Counsel can also seek enforcement of a Board order. </w:t>
      </w:r>
      <w:r w:rsidRPr="00D851F9">
        <w:rPr>
          <w:i/>
        </w:rPr>
        <w:t>Id.</w:t>
      </w:r>
      <w:r w:rsidRPr="00D851F9">
        <w:t xml:space="preserve"> Parties can file appeals “wherein such person resides or conducts business” or in the D.C. Circuit. </w:t>
      </w:r>
      <w:r w:rsidRPr="00D851F9">
        <w:rPr>
          <w:i/>
        </w:rPr>
        <w:t>Id.</w:t>
      </w:r>
      <w:r w:rsidRPr="00D851F9">
        <w:t xml:space="preserve"> § 160(f).</w:t>
      </w:r>
    </w:p>
  </w:footnote>
  <w:footnote w:id="132">
    <w:p w14:paraId="5814FD2E" w14:textId="13FCA73D" w:rsidR="00810AB4" w:rsidRPr="00D851F9" w:rsidRDefault="00810AB4" w:rsidP="009F176D">
      <w:pPr>
        <w:pStyle w:val="FootnoteText"/>
      </w:pPr>
      <w:r w:rsidRPr="00D851F9">
        <w:rPr>
          <w:rStyle w:val="FootnoteReference"/>
        </w:rPr>
        <w:footnoteRef/>
      </w:r>
      <w:r w:rsidRPr="00D851F9">
        <w:t xml:space="preserve"> </w:t>
      </w:r>
      <w:r w:rsidRPr="00D851F9">
        <w:rPr>
          <w:i/>
        </w:rPr>
        <w:t>See</w:t>
      </w:r>
      <w:r w:rsidRPr="00D851F9">
        <w:t xml:space="preserve"> Flynn, </w:t>
      </w:r>
      <w:r w:rsidRPr="00D851F9">
        <w:rPr>
          <w:i/>
        </w:rPr>
        <w:t>supra</w:t>
      </w:r>
      <w:r>
        <w:t xml:space="preserve"> note 130</w:t>
      </w:r>
      <w:r w:rsidRPr="00D851F9">
        <w:t>, at 426 n.165.</w:t>
      </w:r>
    </w:p>
  </w:footnote>
  <w:footnote w:id="133">
    <w:p w14:paraId="3A47CDA5" w14:textId="0269103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Estlund,</w:t>
      </w:r>
      <w:r w:rsidRPr="00D851F9">
        <w:rPr>
          <w:rFonts w:ascii="Times New Roman" w:hAnsi="Times New Roman" w:cs="Times New Roman"/>
          <w:i/>
          <w:sz w:val="20"/>
          <w:szCs w:val="20"/>
        </w:rPr>
        <w:t xml:space="preserve"> supra </w:t>
      </w:r>
      <w:r>
        <w:rPr>
          <w:rFonts w:ascii="Times New Roman" w:hAnsi="Times New Roman" w:cs="Times New Roman"/>
          <w:sz w:val="20"/>
          <w:szCs w:val="20"/>
        </w:rPr>
        <w:t>note 122</w:t>
      </w:r>
      <w:r w:rsidRPr="00D851F9">
        <w:rPr>
          <w:rFonts w:ascii="Times New Roman" w:hAnsi="Times New Roman" w:cs="Times New Roman"/>
          <w:sz w:val="20"/>
          <w:szCs w:val="20"/>
        </w:rPr>
        <w:t xml:space="preserve">, at 1530. The last major change was in 1959.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Labor-Management Reporting &amp; Disclosure (Landrum-Griffin) Act, Pub. L. No. 86-257, 73 Stat. 519 (1959) (codified at 29 U.S.C. §§ 401-503).</w:t>
      </w:r>
    </w:p>
  </w:footnote>
  <w:footnote w:id="134">
    <w:p w14:paraId="6248DD89" w14:textId="0E97463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29 U.S.C. § 160.</w:t>
      </w:r>
    </w:p>
  </w:footnote>
  <w:footnote w:id="135">
    <w:p w14:paraId="1FFDE23E" w14:textId="5443DFF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29 U.S.C. § 159.</w:t>
      </w:r>
    </w:p>
  </w:footnote>
  <w:footnote w:id="136">
    <w:p w14:paraId="373B1BDC" w14:textId="17EBBBC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 e.g.,</w:t>
      </w:r>
      <w:r w:rsidRPr="00D851F9">
        <w:rPr>
          <w:rFonts w:ascii="Times New Roman" w:hAnsi="Times New Roman" w:cs="Times New Roman"/>
          <w:sz w:val="20"/>
          <w:szCs w:val="20"/>
        </w:rPr>
        <w:t xml:space="preserve"> Fisk &amp; Malamud,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18, at 2020 (noting that “[a]cross a range of doctrinal areas, it is apparent that Bush II labor policy made a decisive shift in favor of protecting managerial prerogatives and augmenting the ability of employers and employees to oppose unionization”); Ronald Turner, </w:t>
      </w:r>
      <w:r w:rsidRPr="00D851F9">
        <w:rPr>
          <w:rFonts w:ascii="Times New Roman" w:hAnsi="Times New Roman" w:cs="Times New Roman"/>
          <w:i/>
          <w:sz w:val="20"/>
          <w:szCs w:val="20"/>
        </w:rPr>
        <w:t>Ideological Voting on the National Labor Relations Board</w:t>
      </w:r>
      <w:r w:rsidRPr="00D851F9">
        <w:rPr>
          <w:rFonts w:ascii="Times New Roman" w:hAnsi="Times New Roman" w:cs="Times New Roman"/>
          <w:sz w:val="20"/>
          <w:szCs w:val="20"/>
        </w:rPr>
        <w:t xml:space="preserve">, 8 </w:t>
      </w:r>
      <w:r w:rsidRPr="00D851F9">
        <w:rPr>
          <w:rFonts w:ascii="Times New Roman" w:hAnsi="Times New Roman" w:cs="Times New Roman"/>
          <w:smallCaps/>
          <w:sz w:val="20"/>
          <w:szCs w:val="20"/>
        </w:rPr>
        <w:t>U. Pa. Lab. &amp; Emp. L.</w:t>
      </w:r>
      <w:r w:rsidRPr="00D851F9">
        <w:rPr>
          <w:rFonts w:ascii="Times New Roman" w:hAnsi="Times New Roman" w:cs="Times New Roman"/>
          <w:sz w:val="20"/>
          <w:szCs w:val="20"/>
        </w:rPr>
        <w:t xml:space="preserve"> 707, 712 (2006) (noting the predictive value of ideology in votes at the Board); Flynn,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112</w:t>
      </w:r>
      <w:r w:rsidRPr="00D851F9">
        <w:rPr>
          <w:rFonts w:ascii="Times New Roman" w:hAnsi="Times New Roman" w:cs="Times New Roman"/>
          <w:sz w:val="20"/>
          <w:szCs w:val="20"/>
        </w:rPr>
        <w:t xml:space="preserve">, at 1411 (noting the partisan-based voting patterns); William N. Cooke &amp; Frederick H. Gautschi III, </w:t>
      </w:r>
      <w:r w:rsidRPr="00D851F9">
        <w:rPr>
          <w:rFonts w:ascii="Times New Roman" w:hAnsi="Times New Roman" w:cs="Times New Roman"/>
          <w:i/>
          <w:sz w:val="20"/>
          <w:szCs w:val="20"/>
        </w:rPr>
        <w:t>Political Bias in NLRB Unfair Labor Practice Decisions</w:t>
      </w:r>
      <w:r w:rsidRPr="00D851F9">
        <w:rPr>
          <w:rFonts w:ascii="Times New Roman" w:hAnsi="Times New Roman" w:cs="Times New Roman"/>
          <w:sz w:val="20"/>
          <w:szCs w:val="20"/>
        </w:rPr>
        <w:t xml:space="preserve">, 35 </w:t>
      </w:r>
      <w:r w:rsidRPr="00D851F9">
        <w:rPr>
          <w:rFonts w:ascii="Times New Roman" w:hAnsi="Times New Roman" w:cs="Times New Roman"/>
          <w:smallCaps/>
          <w:sz w:val="20"/>
          <w:szCs w:val="20"/>
        </w:rPr>
        <w:t>Indus. &amp; Lab. Rel. Rev.</w:t>
      </w:r>
      <w:r w:rsidRPr="00D851F9">
        <w:rPr>
          <w:rFonts w:ascii="Times New Roman" w:hAnsi="Times New Roman" w:cs="Times New Roman"/>
          <w:sz w:val="20"/>
          <w:szCs w:val="20"/>
        </w:rPr>
        <w:t xml:space="preserve"> 539, 549 (1982).</w:t>
      </w:r>
    </w:p>
  </w:footnote>
  <w:footnote w:id="137">
    <w:p w14:paraId="64612402" w14:textId="634C94F0"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Tuck,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127</w:t>
      </w:r>
      <w:r w:rsidRPr="00D851F9">
        <w:rPr>
          <w:rFonts w:ascii="Times New Roman" w:hAnsi="Times New Roman" w:cs="Times New Roman"/>
          <w:sz w:val="20"/>
          <w:szCs w:val="20"/>
        </w:rPr>
        <w:t>, at 1153 (noting how after there is a change in presidential administration, resulting in new Board members, the Board often reverses many of the precedents made by the prior Board).</w:t>
      </w:r>
    </w:p>
  </w:footnote>
  <w:footnote w:id="138">
    <w:p w14:paraId="29D295C2" w14:textId="27A41A2C"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Cooke &amp; Gautschi,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136</w:t>
      </w:r>
      <w:r w:rsidRPr="00D851F9">
        <w:rPr>
          <w:rFonts w:ascii="Times New Roman" w:hAnsi="Times New Roman" w:cs="Times New Roman"/>
          <w:sz w:val="20"/>
          <w:szCs w:val="20"/>
        </w:rPr>
        <w:t>, at 549 (noting how the inconsistency and ambiguity that plagues Board’s decisions can hinder labor management relations).</w:t>
      </w:r>
    </w:p>
  </w:footnote>
  <w:footnote w:id="139">
    <w:p w14:paraId="73A4AB6A" w14:textId="131F41FD" w:rsidR="00810AB4" w:rsidRPr="00D851F9" w:rsidRDefault="00810AB4" w:rsidP="009F176D">
      <w:pPr>
        <w:pStyle w:val="FootnoteText"/>
      </w:pPr>
      <w:r w:rsidRPr="00D851F9">
        <w:rPr>
          <w:rStyle w:val="FootnoteReference"/>
        </w:rPr>
        <w:footnoteRef/>
      </w:r>
      <w:r w:rsidRPr="00D851F9">
        <w:t xml:space="preserve"> Flynn, </w:t>
      </w:r>
      <w:r w:rsidRPr="00D851F9">
        <w:rPr>
          <w:i/>
        </w:rPr>
        <w:t xml:space="preserve">supra </w:t>
      </w:r>
      <w:r>
        <w:t>note 112</w:t>
      </w:r>
      <w:r w:rsidRPr="00D851F9">
        <w:t>, at 1366. Changes in the app</w:t>
      </w:r>
      <w:r>
        <w:t>ointment process over the years</w:t>
      </w:r>
      <w:r w:rsidRPr="00D851F9">
        <w:t xml:space="preserve">—including the rise of “package” appointments where groups of nominees for different governmental posts are “packaged” together for a Senate vote—exacerbated the trend of a more partisan nomination process. </w:t>
      </w:r>
      <w:r w:rsidRPr="00D851F9">
        <w:rPr>
          <w:i/>
        </w:rPr>
        <w:t>See id.</w:t>
      </w:r>
      <w:r w:rsidRPr="00D851F9">
        <w:t xml:space="preserve"> at 1366. Indeed, with one exception, all of President Clinton’s appointees have been package nominations. </w:t>
      </w:r>
      <w:r w:rsidRPr="00D851F9">
        <w:rPr>
          <w:i/>
        </w:rPr>
        <w:t xml:space="preserve">Administration Faces Possibility </w:t>
      </w:r>
      <w:proofErr w:type="gramStart"/>
      <w:r w:rsidRPr="00D851F9">
        <w:rPr>
          <w:i/>
        </w:rPr>
        <w:t>pf</w:t>
      </w:r>
      <w:proofErr w:type="gramEnd"/>
      <w:r w:rsidRPr="00D851F9">
        <w:rPr>
          <w:i/>
        </w:rPr>
        <w:t xml:space="preserve"> Four Vacancies, No Quorum on NLRB</w:t>
      </w:r>
      <w:r w:rsidRPr="00D851F9">
        <w:t xml:space="preserve">, 1997 </w:t>
      </w:r>
      <w:r w:rsidRPr="00D851F9">
        <w:rPr>
          <w:smallCaps/>
        </w:rPr>
        <w:t>Daily Lab. Rep</w:t>
      </w:r>
      <w:r w:rsidRPr="00D851F9">
        <w:t xml:space="preserve">. (BNA) No. 202, at A-8 (Oct. 20, 1997) (noting that Clinton had to make recess appointments to keep the agency up and running). </w:t>
      </w:r>
    </w:p>
  </w:footnote>
  <w:footnote w:id="140">
    <w:p w14:paraId="3132C946" w14:textId="08B1EBB4" w:rsidR="00810AB4" w:rsidRPr="00D851F9" w:rsidRDefault="00810AB4" w:rsidP="009F176D">
      <w:pPr>
        <w:pStyle w:val="FootnoteText"/>
      </w:pPr>
      <w:r w:rsidRPr="00D851F9">
        <w:rPr>
          <w:rStyle w:val="FootnoteReference"/>
        </w:rPr>
        <w:footnoteRef/>
      </w:r>
      <w:r w:rsidRPr="00D851F9">
        <w:t xml:space="preserve"> William P. Gould, IV, </w:t>
      </w:r>
      <w:r w:rsidRPr="00D851F9">
        <w:rPr>
          <w:i/>
        </w:rPr>
        <w:t>Politics and the Effects of the National Labor Relations Board’s Adjudicative and Rulemaking Processes</w:t>
      </w:r>
      <w:r w:rsidRPr="00D851F9">
        <w:t xml:space="preserve">, 64 </w:t>
      </w:r>
      <w:r w:rsidRPr="00D851F9">
        <w:rPr>
          <w:smallCaps/>
        </w:rPr>
        <w:t>Emory L. J</w:t>
      </w:r>
      <w:r w:rsidRPr="00D851F9">
        <w:t xml:space="preserve">. 1501, 1526 (2015); Gilliam E. Metzger, </w:t>
      </w:r>
      <w:r w:rsidRPr="00D851F9">
        <w:rPr>
          <w:i/>
        </w:rPr>
        <w:t>Agencies, Polarization and the States</w:t>
      </w:r>
      <w:r w:rsidRPr="00D851F9">
        <w:t xml:space="preserve">, 115 </w:t>
      </w:r>
      <w:r w:rsidRPr="00D851F9">
        <w:rPr>
          <w:smallCaps/>
        </w:rPr>
        <w:t>Colum. L. Rev</w:t>
      </w:r>
      <w:r w:rsidRPr="00D851F9">
        <w:t xml:space="preserve">. 1739, 1762 &amp; n.112 (2015) (noting how insiders composed many of the appointments). </w:t>
      </w:r>
    </w:p>
  </w:footnote>
  <w:footnote w:id="141">
    <w:p w14:paraId="184C5EC9" w14:textId="3F598CF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Turner, </w:t>
      </w:r>
      <w:r w:rsidRPr="00D851F9">
        <w:rPr>
          <w:rFonts w:ascii="Times New Roman" w:hAnsi="Times New Roman" w:cs="Times New Roman"/>
          <w:i/>
          <w:sz w:val="20"/>
          <w:szCs w:val="20"/>
        </w:rPr>
        <w:t xml:space="preserve">supra </w:t>
      </w:r>
      <w:r>
        <w:rPr>
          <w:rFonts w:ascii="Times New Roman" w:hAnsi="Times New Roman" w:cs="Times New Roman"/>
          <w:sz w:val="20"/>
          <w:szCs w:val="20"/>
        </w:rPr>
        <w:t>note 136</w:t>
      </w:r>
      <w:r w:rsidRPr="00D851F9">
        <w:rPr>
          <w:rFonts w:ascii="Times New Roman" w:hAnsi="Times New Roman" w:cs="Times New Roman"/>
          <w:sz w:val="20"/>
          <w:szCs w:val="20"/>
        </w:rPr>
        <w:t xml:space="preserve">, at 714 (“As a matter of custom, and not law, no more than three of the five NLRB members may belong to the President’s political party.”); Estreicher, </w:t>
      </w:r>
      <w:r w:rsidRPr="00D851F9">
        <w:rPr>
          <w:rFonts w:ascii="Times New Roman" w:hAnsi="Times New Roman" w:cs="Times New Roman"/>
          <w:i/>
          <w:sz w:val="20"/>
          <w:szCs w:val="20"/>
        </w:rPr>
        <w:t xml:space="preserve">supra </w:t>
      </w:r>
      <w:r>
        <w:rPr>
          <w:rFonts w:ascii="Times New Roman" w:hAnsi="Times New Roman" w:cs="Times New Roman"/>
          <w:sz w:val="20"/>
          <w:szCs w:val="20"/>
        </w:rPr>
        <w:t>note 116</w:t>
      </w:r>
      <w:r w:rsidRPr="00D851F9">
        <w:rPr>
          <w:rFonts w:ascii="Times New Roman" w:hAnsi="Times New Roman" w:cs="Times New Roman"/>
          <w:sz w:val="20"/>
          <w:szCs w:val="20"/>
        </w:rPr>
        <w:t xml:space="preserve">, at 170 (noting how the Board’s law-making is often seen as “unstable”); Tuck,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127</w:t>
      </w:r>
      <w:r w:rsidRPr="00D851F9">
        <w:rPr>
          <w:rFonts w:ascii="Times New Roman" w:hAnsi="Times New Roman" w:cs="Times New Roman"/>
          <w:sz w:val="20"/>
          <w:szCs w:val="20"/>
        </w:rPr>
        <w:t>, at 1118 (arguing that the Board’s flip-flops “</w:t>
      </w:r>
      <w:proofErr w:type="gramStart"/>
      <w:r w:rsidRPr="00D851F9">
        <w:rPr>
          <w:rFonts w:ascii="Times New Roman" w:hAnsi="Times New Roman" w:cs="Times New Roman"/>
          <w:sz w:val="20"/>
          <w:szCs w:val="20"/>
        </w:rPr>
        <w:t>undermine[</w:t>
      </w:r>
      <w:proofErr w:type="gramEnd"/>
      <w:r w:rsidRPr="00D851F9">
        <w:rPr>
          <w:rFonts w:ascii="Times New Roman" w:hAnsi="Times New Roman" w:cs="Times New Roman"/>
          <w:sz w:val="20"/>
          <w:szCs w:val="20"/>
        </w:rPr>
        <w:t xml:space="preserve">] the stability, certainty and efficiency of …. policies…because neither party can rely on Board precedent”). </w:t>
      </w:r>
    </w:p>
  </w:footnote>
  <w:footnote w:id="142">
    <w:p w14:paraId="62F297F0" w14:textId="04CD517B" w:rsidR="00810AB4" w:rsidRPr="00D851F9" w:rsidRDefault="00810AB4" w:rsidP="009F176D">
      <w:pPr>
        <w:pStyle w:val="FootnoteText"/>
      </w:pPr>
      <w:r w:rsidRPr="00D851F9">
        <w:rPr>
          <w:rStyle w:val="FootnoteReference"/>
        </w:rPr>
        <w:footnoteRef/>
      </w:r>
      <w:r w:rsidRPr="00D851F9">
        <w:t xml:space="preserve"> </w:t>
      </w:r>
      <w:r w:rsidRPr="00D851F9">
        <w:rPr>
          <w:i/>
        </w:rPr>
        <w:t>See</w:t>
      </w:r>
      <w:r w:rsidRPr="00D851F9">
        <w:t xml:space="preserve"> Turner, </w:t>
      </w:r>
      <w:r w:rsidRPr="00D851F9">
        <w:rPr>
          <w:i/>
        </w:rPr>
        <w:t>supra</w:t>
      </w:r>
      <w:r>
        <w:t xml:space="preserve"> note 136</w:t>
      </w:r>
      <w:r w:rsidRPr="00D851F9">
        <w:t xml:space="preserve">, at 74 (listing experience of Board members in the Appendix). </w:t>
      </w:r>
    </w:p>
  </w:footnote>
  <w:footnote w:id="143">
    <w:p w14:paraId="7888C18F" w14:textId="26C3942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See Amy Semet, </w:t>
      </w:r>
      <w:r w:rsidRPr="00D851F9">
        <w:rPr>
          <w:rFonts w:ascii="Times New Roman" w:hAnsi="Times New Roman" w:cs="Times New Roman"/>
          <w:i/>
          <w:sz w:val="20"/>
          <w:szCs w:val="20"/>
        </w:rPr>
        <w:t xml:space="preserve">Political Decision Making at the National Labor Relations Board: An Empirical Examination of the Board’s Decisions through the Clinton and Bush Years, </w:t>
      </w:r>
      <w:r w:rsidRPr="00D851F9">
        <w:rPr>
          <w:rFonts w:ascii="Times New Roman" w:hAnsi="Times New Roman" w:cs="Times New Roman"/>
          <w:sz w:val="20"/>
          <w:szCs w:val="20"/>
        </w:rPr>
        <w:t xml:space="preserve">37 </w:t>
      </w:r>
      <w:r w:rsidRPr="00D851F9">
        <w:rPr>
          <w:rFonts w:ascii="Times New Roman" w:hAnsi="Times New Roman" w:cs="Times New Roman"/>
          <w:smallCaps/>
          <w:sz w:val="20"/>
          <w:szCs w:val="20"/>
        </w:rPr>
        <w:t>Berkeley J. Emp. &amp; Lab. Law</w:t>
      </w:r>
      <w:r w:rsidRPr="00D851F9">
        <w:rPr>
          <w:rFonts w:ascii="Times New Roman" w:hAnsi="Times New Roman" w:cs="Times New Roman"/>
          <w:sz w:val="20"/>
          <w:szCs w:val="20"/>
        </w:rPr>
        <w:t xml:space="preserve">. 2 (2016). In the prior analysis, I only looked at unfair labor practice cases. </w:t>
      </w:r>
    </w:p>
  </w:footnote>
  <w:footnote w:id="144">
    <w:p w14:paraId="4E63EE40" w14:textId="27892DD9" w:rsidR="00810AB4" w:rsidRPr="00D851F9" w:rsidRDefault="00810AB4" w:rsidP="00354A40">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These words include “statutory construction,” “statutory interpretation,” “plain meaning,” “dictionary,” “statutory canons,” “redundancy,” “exclusion,” “clear statement,” “canons of construction,” searches for the Latin canons and the names of other substantive and textual cases as well as searches for “ambiguous” or “text” within the same sentence as “statute” or “statutory.” I also did searches under “concerted action,” and various iterations of the word “violations” or “violate” and “statute.” I separately did a search in the federal courts of appeals to see cases where courts applied </w:t>
      </w:r>
      <w:r w:rsidRPr="00D851F9">
        <w:rPr>
          <w:rFonts w:ascii="Times New Roman" w:hAnsi="Times New Roman" w:cs="Times New Roman"/>
          <w:i/>
          <w:sz w:val="20"/>
          <w:szCs w:val="20"/>
        </w:rPr>
        <w:t>Chevron</w:t>
      </w:r>
      <w:r w:rsidRPr="00D851F9">
        <w:rPr>
          <w:rFonts w:ascii="Times New Roman" w:hAnsi="Times New Roman" w:cs="Times New Roman"/>
          <w:sz w:val="20"/>
          <w:szCs w:val="20"/>
        </w:rPr>
        <w:t xml:space="preserve"> or other deference regimes to see I could pick up additional cases. As part of another project, I coded over 1,000 appellate court decisions referencing the NLRB from 1993-2012 and I referred to that database as an additional check.</w:t>
      </w:r>
    </w:p>
  </w:footnote>
  <w:footnote w:id="145">
    <w:p w14:paraId="3A35078E" w14:textId="4DC1A61C"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Fisk &amp; Malamud,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note 18, at 2039.</w:t>
      </w:r>
    </w:p>
  </w:footnote>
  <w:footnote w:id="146">
    <w:p w14:paraId="76F01492" w14:textId="7513B8C8"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 id.</w:t>
      </w:r>
    </w:p>
  </w:footnote>
  <w:footnote w:id="147">
    <w:p w14:paraId="7C4EEB91" w14:textId="6550B49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Wright Line et al., 343 N.L.R.B. 344 (1996).</w:t>
      </w:r>
    </w:p>
  </w:footnote>
  <w:footnote w:id="148">
    <w:p w14:paraId="1F9D7966" w14:textId="6F1E6357" w:rsidR="00810AB4" w:rsidRPr="00D851F9" w:rsidRDefault="00810AB4" w:rsidP="001A43BF">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As an example, </w:t>
      </w:r>
      <w:r>
        <w:rPr>
          <w:rFonts w:ascii="Times New Roman" w:hAnsi="Times New Roman" w:cs="Times New Roman"/>
          <w:sz w:val="20"/>
          <w:szCs w:val="20"/>
        </w:rPr>
        <w:t xml:space="preserve">the </w:t>
      </w:r>
      <w:r w:rsidRPr="00D851F9">
        <w:rPr>
          <w:rFonts w:ascii="Times New Roman" w:hAnsi="Times New Roman" w:cs="Times New Roman"/>
          <w:sz w:val="20"/>
          <w:szCs w:val="20"/>
        </w:rPr>
        <w:t>Board</w:t>
      </w:r>
      <w:r>
        <w:rPr>
          <w:rFonts w:ascii="Times New Roman" w:hAnsi="Times New Roman" w:cs="Times New Roman"/>
          <w:sz w:val="20"/>
          <w:szCs w:val="20"/>
        </w:rPr>
        <w:t xml:space="preserve"> may have to decide whether its jurisdiction extends to employee practices at Native American casinos</w:t>
      </w:r>
      <w:r w:rsidRPr="00D851F9">
        <w:rPr>
          <w:rFonts w:ascii="Times New Roman" w:hAnsi="Times New Roman" w:cs="Times New Roman"/>
          <w:sz w:val="20"/>
          <w:szCs w:val="20"/>
        </w:rPr>
        <w:t xml:space="preserve">. </w:t>
      </w:r>
    </w:p>
    <w:p w14:paraId="589B8FF5" w14:textId="7486B8A7" w:rsidR="00810AB4" w:rsidRPr="00D851F9" w:rsidRDefault="00810AB4">
      <w:pPr>
        <w:pStyle w:val="FootnoteText"/>
      </w:pPr>
    </w:p>
  </w:footnote>
  <w:footnote w:id="149">
    <w:p w14:paraId="693662DC" w14:textId="53845B5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The Board rarely relies on circuit court cases as precedent in guiding decision-making. The Board occasionally cites circuit court cases and it sometimes uses their reasoning to guide decision-making, but its use is usually supplementary to Board or Supreme Court decisions. This is not all together surprising given that the Board engages in a policy of nonacquiescence of appellate court decisions. My data reveals that this policy is not merely theoretical; in actuality, my own observation after reading over 4,000 NLRB cases it that the Board rarely will voice concern that its ruling will conflict with a precedent set by whatever regional court will likely review the case.</w:t>
      </w:r>
    </w:p>
  </w:footnote>
  <w:footnote w:id="150">
    <w:p w14:paraId="40F9E2E9" w14:textId="0D70D0C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e.g., </w:t>
      </w:r>
      <w:r w:rsidRPr="00D851F9">
        <w:rPr>
          <w:rFonts w:ascii="Times New Roman" w:hAnsi="Times New Roman" w:cs="Times New Roman"/>
          <w:sz w:val="20"/>
          <w:szCs w:val="20"/>
        </w:rPr>
        <w:t xml:space="preserve">Krishnakumar,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_Ref460546150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9</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922; </w:t>
      </w:r>
      <w:r>
        <w:rPr>
          <w:rFonts w:ascii="Times New Roman" w:hAnsi="Times New Roman" w:cs="Times New Roman"/>
          <w:sz w:val="20"/>
          <w:szCs w:val="20"/>
        </w:rPr>
        <w:t xml:space="preserve">Cross, </w:t>
      </w:r>
      <w:r>
        <w:rPr>
          <w:rFonts w:ascii="Times New Roman" w:hAnsi="Times New Roman" w:cs="Times New Roman"/>
          <w:i/>
          <w:sz w:val="20"/>
          <w:szCs w:val="20"/>
        </w:rPr>
        <w:t xml:space="preserve">supra </w:t>
      </w:r>
      <w:r>
        <w:rPr>
          <w:rFonts w:ascii="Times New Roman" w:hAnsi="Times New Roman" w:cs="Times New Roman"/>
          <w:sz w:val="20"/>
          <w:szCs w:val="20"/>
        </w:rPr>
        <w:t xml:space="preserve">note 68, at 148 </w:t>
      </w:r>
      <w:r w:rsidRPr="00D851F9">
        <w:rPr>
          <w:rFonts w:ascii="Times New Roman" w:hAnsi="Times New Roman" w:cs="Times New Roman"/>
          <w:sz w:val="20"/>
          <w:szCs w:val="20"/>
        </w:rPr>
        <w:t xml:space="preserve"> (analyzing Roberts’ Court use of statutory interpretive tools); </w:t>
      </w:r>
    </w:p>
  </w:footnote>
  <w:footnote w:id="151">
    <w:p w14:paraId="5DA968B0" w14:textId="3FE7840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But see </w:t>
      </w:r>
      <w:r w:rsidRPr="00D851F9">
        <w:rPr>
          <w:rFonts w:ascii="Times New Roman" w:hAnsi="Times New Roman" w:cs="Times New Roman"/>
          <w:sz w:val="20"/>
          <w:szCs w:val="20"/>
        </w:rPr>
        <w:t xml:space="preserve">Krishnakumar,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_Ref460546150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9</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922. </w:t>
      </w:r>
    </w:p>
  </w:footnote>
  <w:footnote w:id="152">
    <w:p w14:paraId="2DB5C404" w14:textId="058CFE6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id. </w:t>
      </w:r>
      <w:r w:rsidRPr="00D851F9">
        <w:rPr>
          <w:rFonts w:ascii="Times New Roman" w:hAnsi="Times New Roman" w:cs="Times New Roman"/>
          <w:sz w:val="20"/>
          <w:szCs w:val="20"/>
        </w:rPr>
        <w:t>at 961.</w:t>
      </w:r>
    </w:p>
  </w:footnote>
  <w:footnote w:id="153">
    <w:p w14:paraId="2707C181" w14:textId="15A7B17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971. </w:t>
      </w:r>
    </w:p>
  </w:footnote>
  <w:footnote w:id="154">
    <w:p w14:paraId="7986F37F" w14:textId="1DB943DD"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In any event, the results likely would not differ. Most dissent writers employed the same methodology as their fellow dissent writer; in only four or five cases did one dissent use a statutory methodology that was not employed by the other dissents. Often, this methodology was legislative history, with one dissent writer employing legislative history to buttress their point to a limited extent. Moreover, about 80% of cases concerned a single dissent, and nearly 90% of cases in the Bush II and Clinton years concerned a single or joint dissent. Recent Board members Philip Miscimarra and Harry Johnson have a habit of writing very long and detailed separate dissents, a pattern that contrasts with the single dissents written during the Bush II and Clinton year. During the earlier period, Hurtgen/Brame and Liebman/Walsh often wrote joint dissents.</w:t>
      </w:r>
    </w:p>
  </w:footnote>
  <w:footnote w:id="155">
    <w:p w14:paraId="0269B0DD" w14:textId="46BAB2A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Miles &amp; Sunstein,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65</w:t>
      </w:r>
      <w:r w:rsidRPr="00D851F9">
        <w:rPr>
          <w:rFonts w:ascii="Times New Roman" w:hAnsi="Times New Roman" w:cs="Times New Roman"/>
          <w:sz w:val="20"/>
          <w:szCs w:val="20"/>
        </w:rPr>
        <w:t>, at 828-29 (“[T]here is no logical or necessary connection between adoption of ‘plain meaning’ approaches and being ‘liberal’ or ‘conservative.’ But as an empirical matter, the more conservative Justices …have embraced ‘plain meaning’ approaches and the more liberal justices have not.”).</w:t>
      </w:r>
    </w:p>
  </w:footnote>
  <w:footnote w:id="156">
    <w:p w14:paraId="009040E8" w14:textId="1C3C09FC" w:rsidR="00810AB4" w:rsidRPr="00D851F9" w:rsidRDefault="00810AB4">
      <w:pPr>
        <w:pStyle w:val="FootnoteText"/>
      </w:pPr>
      <w:r w:rsidRPr="00D851F9">
        <w:rPr>
          <w:rStyle w:val="FootnoteReference"/>
        </w:rPr>
        <w:footnoteRef/>
      </w:r>
      <w:r w:rsidRPr="00D851F9">
        <w:t xml:space="preserve"> * signifies statistical significance at 90% confidence; ** 95% confidence; and *** 99% confidence. The standard benchmark is to use 95% confidence to imply statistical significance. </w:t>
      </w:r>
    </w:p>
  </w:footnote>
  <w:footnote w:id="157">
    <w:p w14:paraId="66F79FFC" w14:textId="177A6F02" w:rsidR="00810AB4" w:rsidRPr="00D851F9" w:rsidRDefault="00810AB4">
      <w:pPr>
        <w:pStyle w:val="FootnoteText"/>
      </w:pPr>
      <w:r w:rsidRPr="00D851F9">
        <w:rPr>
          <w:rStyle w:val="FootnoteReference"/>
        </w:rPr>
        <w:footnoteRef/>
      </w:r>
      <w:r w:rsidRPr="00D851F9">
        <w:t xml:space="preserve"> </w:t>
      </w:r>
      <w:r w:rsidRPr="00D851F9">
        <w:rPr>
          <w:i/>
        </w:rPr>
        <w:t>See</w:t>
      </w:r>
      <w:r w:rsidRPr="00D851F9">
        <w:t xml:space="preserve"> New Process Steel, L.P. v. N.L.R.B., 560 U.S. 674 (2010) (holding in a five-justice majority decision that two members hearing NLRB cases were insufficient for a quorum). </w:t>
      </w:r>
    </w:p>
  </w:footnote>
  <w:footnote w:id="158">
    <w:p w14:paraId="11E22B3D" w14:textId="7E653BD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Alexandria Clinic, P.A. et al., 339 N.L.R.B. 162, 2003 WL 22027491 (Aug. 21, 2003).</w:t>
      </w:r>
    </w:p>
  </w:footnote>
  <w:footnote w:id="159">
    <w:p w14:paraId="204EC312" w14:textId="019D182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w:t>
      </w:r>
    </w:p>
  </w:footnote>
  <w:footnote w:id="160">
    <w:p w14:paraId="77BE409E" w14:textId="0500293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(“We view this case as covered by the clear language of Section 8(g).”  Section 8(g) requires that strikers give ten </w:t>
      </w:r>
      <w:proofErr w:type="gramStart"/>
      <w:r w:rsidRPr="00D851F9">
        <w:rPr>
          <w:rFonts w:ascii="Times New Roman" w:hAnsi="Times New Roman" w:cs="Times New Roman"/>
          <w:sz w:val="20"/>
          <w:szCs w:val="20"/>
        </w:rPr>
        <w:t>days</w:t>
      </w:r>
      <w:proofErr w:type="gramEnd"/>
      <w:r w:rsidRPr="00D851F9">
        <w:rPr>
          <w:rFonts w:ascii="Times New Roman" w:hAnsi="Times New Roman" w:cs="Times New Roman"/>
          <w:sz w:val="20"/>
          <w:szCs w:val="20"/>
        </w:rPr>
        <w:t xml:space="preserve"> written notice and that “notice, once given, may be extended by written agreement of the parties.”</w:t>
      </w:r>
      <w:r>
        <w:rPr>
          <w:rFonts w:ascii="Times New Roman" w:hAnsi="Times New Roman" w:cs="Times New Roman"/>
          <w:sz w:val="20"/>
          <w:szCs w:val="20"/>
        </w:rPr>
        <w:t>).</w:t>
      </w:r>
    </w:p>
  </w:footnote>
  <w:footnote w:id="161">
    <w:p w14:paraId="44933033" w14:textId="7D01E10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7. </w:t>
      </w:r>
    </w:p>
  </w:footnote>
  <w:footnote w:id="162">
    <w:p w14:paraId="7CAD7137" w14:textId="07B6FB6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Greater New Orleans Artificial Kidney Center, 240 N.L.R.B. 432 (1979) (finding no violation under section 8(g).</w:t>
      </w:r>
    </w:p>
  </w:footnote>
  <w:footnote w:id="163">
    <w:p w14:paraId="382C9803" w14:textId="296E38D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Alexandria Clinic, 2003 WL 22027491, at 3.</w:t>
      </w:r>
    </w:p>
  </w:footnote>
  <w:footnote w:id="164">
    <w:p w14:paraId="7A229AF6" w14:textId="4357554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w:t>
      </w:r>
    </w:p>
  </w:footnote>
  <w:footnote w:id="165">
    <w:p w14:paraId="0D70DFC0" w14:textId="3F25C3A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w:t>
      </w:r>
    </w:p>
  </w:footnote>
  <w:footnote w:id="166">
    <w:p w14:paraId="3BB2B827" w14:textId="38B337A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The Board noted that the use of the word “shall” made it mandatory. </w:t>
      </w:r>
      <w:r w:rsidRPr="00D851F9">
        <w:rPr>
          <w:rFonts w:ascii="Times New Roman" w:hAnsi="Times New Roman" w:cs="Times New Roman"/>
          <w:i/>
          <w:sz w:val="20"/>
          <w:szCs w:val="20"/>
        </w:rPr>
        <w:t>Id.</w:t>
      </w:r>
    </w:p>
  </w:footnote>
  <w:footnote w:id="167">
    <w:p w14:paraId="434E9955" w14:textId="4D73CAE9"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168">
    <w:p w14:paraId="1D50496B" w14:textId="5D02CF1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(noting that “Congress intended that the </w:t>
      </w:r>
      <w:proofErr w:type="gramStart"/>
      <w:r w:rsidRPr="00D851F9">
        <w:rPr>
          <w:rFonts w:ascii="Times New Roman" w:hAnsi="Times New Roman" w:cs="Times New Roman"/>
          <w:sz w:val="20"/>
          <w:szCs w:val="20"/>
        </w:rPr>
        <w:t>10 day</w:t>
      </w:r>
      <w:proofErr w:type="gramEnd"/>
      <w:r w:rsidRPr="00D851F9">
        <w:rPr>
          <w:rFonts w:ascii="Times New Roman" w:hAnsi="Times New Roman" w:cs="Times New Roman"/>
          <w:sz w:val="20"/>
          <w:szCs w:val="20"/>
        </w:rPr>
        <w:t xml:space="preserve"> notice provision of Section 8(g) be interpreted according to its literal meaning”). </w:t>
      </w:r>
    </w:p>
  </w:footnote>
  <w:footnote w:id="169">
    <w:p w14:paraId="37B54947" w14:textId="7B5795D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5. </w:t>
      </w:r>
    </w:p>
  </w:footnote>
  <w:footnote w:id="170">
    <w:p w14:paraId="7E70B77D" w14:textId="1C9643E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7. </w:t>
      </w:r>
    </w:p>
  </w:footnote>
  <w:footnote w:id="171">
    <w:p w14:paraId="412C88F0" w14:textId="7777777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See St Clare’s Hosp. &amp; Health Ctr., 226 NLRB 1000, 1003-04 (1977) (holding that house staff are employees but cannot bargain); Cedar’s Sinai Med. Ctr., 223 NLRB 251, 251 (1976) ((holding that house staff are not ‘employees’ under the NLRA); Leland Stanford Junior Univ., 214 NLRB 621, 621 (1974) (holding that TAs are not employees); Cornell Univ., 183 NLRB 329, 331 (1971) (asserting jxn over private, nonprofit universities).</w:t>
      </w:r>
    </w:p>
  </w:footnote>
  <w:footnote w:id="172">
    <w:p w14:paraId="648E4098" w14:textId="541067A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Boston Med. Ctr. Corp., 330 NLRB 152 (1999); N.Y. Univ., 332 NLRB 1205 (2000).</w:t>
      </w:r>
    </w:p>
  </w:footnote>
  <w:footnote w:id="173">
    <w:p w14:paraId="4050E627" w14:textId="4E9CD40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Brown Univ., 342 NLRB 483, 490 (2004).</w:t>
      </w:r>
    </w:p>
  </w:footnote>
  <w:footnote w:id="174">
    <w:p w14:paraId="61F3E8B6" w14:textId="3AD6915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Colum. Univ. et al., Case No. 02-RC-143012, 364 N.L.R.B. 90 (Aug. 26, 2016) (NLRB website).</w:t>
      </w:r>
    </w:p>
  </w:footnote>
  <w:footnote w:id="175">
    <w:p w14:paraId="378EF79F" w14:textId="1556D08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 see also New York University et al</w:t>
      </w:r>
      <w:r w:rsidRPr="00D851F9">
        <w:rPr>
          <w:rFonts w:ascii="Times New Roman" w:hAnsi="Times New Roman" w:cs="Times New Roman"/>
          <w:sz w:val="20"/>
          <w:szCs w:val="20"/>
        </w:rPr>
        <w:t xml:space="preserve">., 332 N.L.R.B. 1205, 1209 (2006) which, like Columbia University, advanced a textualist approach to find TAs as covered. In turn, Columbia University reversed Brown in August 2016. </w:t>
      </w:r>
    </w:p>
  </w:footnote>
  <w:footnote w:id="176">
    <w:p w14:paraId="407747C6" w14:textId="6CFF2760" w:rsidR="00810AB4" w:rsidRPr="00D851F9" w:rsidRDefault="00810AB4">
      <w:pPr>
        <w:pStyle w:val="FootnoteText"/>
      </w:pPr>
      <w:r w:rsidRPr="00D851F9">
        <w:rPr>
          <w:rStyle w:val="FootnoteReference"/>
        </w:rPr>
        <w:footnoteRef/>
      </w:r>
      <w:r w:rsidRPr="00D851F9">
        <w:t xml:space="preserve"> Colum. Univ., 364 N.L.R.B. 90, Case No. 02-RC-143012 (Aug. 23, 2016), at 1.</w:t>
      </w:r>
    </w:p>
  </w:footnote>
  <w:footnote w:id="177">
    <w:p w14:paraId="4F4E53AC" w14:textId="63058ABE" w:rsidR="00810AB4" w:rsidRPr="00D851F9" w:rsidRDefault="00810AB4">
      <w:pPr>
        <w:pStyle w:val="FootnoteText"/>
      </w:pPr>
      <w:r w:rsidRPr="00D851F9">
        <w:rPr>
          <w:rStyle w:val="FootnoteReference"/>
        </w:rPr>
        <w:footnoteRef/>
      </w:r>
      <w:r w:rsidRPr="00D851F9">
        <w:t xml:space="preserve"> </w:t>
      </w:r>
      <w:r w:rsidRPr="00D851F9">
        <w:rPr>
          <w:i/>
        </w:rPr>
        <w:t>Id.</w:t>
      </w:r>
      <w:r w:rsidRPr="00D851F9">
        <w:t xml:space="preserve"> at 1-2.</w:t>
      </w:r>
    </w:p>
  </w:footnote>
  <w:footnote w:id="178">
    <w:p w14:paraId="35311FEE" w14:textId="7F990794" w:rsidR="00810AB4" w:rsidRPr="00D851F9" w:rsidRDefault="00810AB4">
      <w:pPr>
        <w:pStyle w:val="FootnoteText"/>
      </w:pPr>
      <w:r w:rsidRPr="00D851F9">
        <w:rPr>
          <w:rStyle w:val="FootnoteReference"/>
        </w:rPr>
        <w:footnoteRef/>
      </w:r>
      <w:r w:rsidRPr="00D851F9">
        <w:t xml:space="preserve"> </w:t>
      </w:r>
      <w:r w:rsidRPr="00D851F9">
        <w:rPr>
          <w:i/>
        </w:rPr>
        <w:t>Id.</w:t>
      </w:r>
      <w:r w:rsidRPr="00D851F9">
        <w:t xml:space="preserve"> at 4-6 (“The absence of student assistants from the Act’s enumeration of categories excluded from the definition of employee is itself strong evidence of statutory coverage.”).</w:t>
      </w:r>
    </w:p>
  </w:footnote>
  <w:footnote w:id="179">
    <w:p w14:paraId="4DA5530E" w14:textId="7777777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When the Board advanced an expansionist “no limits” reading of the statute, it only referred to practical implications 39% of the time.</w:t>
      </w:r>
    </w:p>
  </w:footnote>
  <w:footnote w:id="180">
    <w:p w14:paraId="011BC437" w14:textId="339207E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Interestingly, the only time the Board expressly invoked any of the Latin terms was in contract interpretation cases.  In those cases, the Board would on occasion note that methods of statutory interpretation— such as </w:t>
      </w:r>
      <w:r w:rsidRPr="00D851F9">
        <w:rPr>
          <w:rFonts w:ascii="Times New Roman" w:hAnsi="Times New Roman" w:cs="Times New Roman"/>
          <w:i/>
          <w:sz w:val="20"/>
          <w:szCs w:val="20"/>
        </w:rPr>
        <w:t>expression unius</w:t>
      </w:r>
      <w:r w:rsidRPr="00D851F9">
        <w:rPr>
          <w:rFonts w:ascii="Times New Roman" w:hAnsi="Times New Roman" w:cs="Times New Roman"/>
          <w:sz w:val="20"/>
          <w:szCs w:val="20"/>
        </w:rPr>
        <w:t>, etc.— could also be used to interpret the language of the contract.</w:t>
      </w:r>
    </w:p>
  </w:footnote>
  <w:footnote w:id="181">
    <w:p w14:paraId="58CE64B0" w14:textId="212AC4BF" w:rsidR="00810AB4" w:rsidRPr="00F45650" w:rsidRDefault="00810AB4">
      <w:pPr>
        <w:pStyle w:val="FootnoteText"/>
      </w:pPr>
      <w:r>
        <w:rPr>
          <w:rStyle w:val="FootnoteReference"/>
        </w:rPr>
        <w:footnoteRef/>
      </w:r>
      <w:r>
        <w:t xml:space="preserve"> In </w:t>
      </w:r>
      <w:r w:rsidRPr="00F45650">
        <w:rPr>
          <w:i/>
        </w:rPr>
        <w:t>Ellis v. Brac,</w:t>
      </w:r>
      <w:r>
        <w:t xml:space="preserve"> 460 U.S. 433 (1984) the Supreme Court held that the Railway Labor Act and the NLRA were statutory equivalents, thus spawning disputes about when the NLRA case is analogous to a Railway Labor Act case so as to come within the Ellis holding. Some cases consider whether standards applied for the Railway Labor Act should also apply to Taft-Hartley labor unions. </w:t>
      </w:r>
      <w:r>
        <w:rPr>
          <w:i/>
        </w:rPr>
        <w:t>See</w:t>
      </w:r>
      <w:r>
        <w:t xml:space="preserve"> Roger C. Hartley, </w:t>
      </w:r>
      <w:r>
        <w:rPr>
          <w:i/>
        </w:rPr>
        <w:t>Constitutional Values and the Adjudication of Taft-Hartley Act Dues Objector Cases</w:t>
      </w:r>
      <w:r>
        <w:t xml:space="preserve">, 1989 </w:t>
      </w:r>
      <w:r w:rsidRPr="005E768D">
        <w:rPr>
          <w:smallCaps/>
        </w:rPr>
        <w:t>Hastings L. J.</w:t>
      </w:r>
      <w:r>
        <w:t xml:space="preserve"> 1, 12 (1989). </w:t>
      </w:r>
    </w:p>
  </w:footnote>
  <w:footnote w:id="182">
    <w:p w14:paraId="4EFF8CFB" w14:textId="5FD602F0" w:rsidR="00810AB4" w:rsidRPr="00783C36" w:rsidRDefault="00810AB4">
      <w:pPr>
        <w:pStyle w:val="FootnoteText"/>
        <w:rPr>
          <w:i/>
        </w:rPr>
      </w:pPr>
      <w:r>
        <w:rPr>
          <w:rStyle w:val="FootnoteReference"/>
        </w:rPr>
        <w:footnoteRef/>
      </w:r>
      <w:r>
        <w:t xml:space="preserve"> </w:t>
      </w:r>
      <w:r>
        <w:rPr>
          <w:i/>
        </w:rPr>
        <w:t>Id.</w:t>
      </w:r>
    </w:p>
  </w:footnote>
  <w:footnote w:id="183">
    <w:p w14:paraId="13DD05CF" w14:textId="64A6DC5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Lincoln Lutheran of Racine et al., 2015 WL 5047778, at 5.</w:t>
      </w:r>
    </w:p>
  </w:footnote>
  <w:footnote w:id="184">
    <w:p w14:paraId="17F2CFC9" w14:textId="0311ED18"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at 5.</w:t>
      </w:r>
    </w:p>
  </w:footnote>
  <w:footnote w:id="185">
    <w:p w14:paraId="6ACF4D78" w14:textId="345DF18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(“Congress’ treatment of employer payments to employee trust funds [in another provision of the statute] further illustrates that Congress contemplated that dues-checkoff arrangements could survive contract expiration.”</w:t>
      </w:r>
    </w:p>
  </w:footnote>
  <w:footnote w:id="186">
    <w:p w14:paraId="69164C33" w14:textId="7693B10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w:t>
      </w:r>
    </w:p>
  </w:footnote>
  <w:footnote w:id="187">
    <w:p w14:paraId="60767D71" w14:textId="2C6E1688"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at 7.</w:t>
      </w:r>
    </w:p>
  </w:footnote>
  <w:footnote w:id="188">
    <w:p w14:paraId="51251116" w14:textId="458D6D43" w:rsidR="00810AB4" w:rsidRPr="00D851F9" w:rsidRDefault="00810AB4">
      <w:pPr>
        <w:pStyle w:val="FootnoteText"/>
        <w:rPr>
          <w:i/>
        </w:rPr>
      </w:pPr>
      <w:r w:rsidRPr="00D851F9">
        <w:rPr>
          <w:rStyle w:val="FootnoteReference"/>
        </w:rPr>
        <w:footnoteRef/>
      </w:r>
      <w:r w:rsidRPr="00D851F9">
        <w:t xml:space="preserve"> </w:t>
      </w:r>
      <w:r w:rsidRPr="00D851F9">
        <w:rPr>
          <w:i/>
        </w:rPr>
        <w:t>Id.</w:t>
      </w:r>
    </w:p>
  </w:footnote>
  <w:footnote w:id="189">
    <w:p w14:paraId="3382CADE" w14:textId="568B960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6 &amp; n17 (“the policies of the Act strongly support a finding that dues checkoff should be included with the overwhelming majority of terms and conditions of employment that remain in effect even after the contract containing them expires”)</w:t>
      </w:r>
    </w:p>
  </w:footnote>
  <w:footnote w:id="190">
    <w:p w14:paraId="386F3F62" w14:textId="3341B680" w:rsidR="00810AB4" w:rsidRPr="00D851F9" w:rsidRDefault="00810AB4" w:rsidP="009F176D">
      <w:pPr>
        <w:pStyle w:val="FootnoteText"/>
      </w:pPr>
      <w:r w:rsidRPr="00D851F9">
        <w:rPr>
          <w:rStyle w:val="FootnoteReference"/>
        </w:rPr>
        <w:footnoteRef/>
      </w:r>
      <w:r w:rsidRPr="00D851F9">
        <w:t xml:space="preserve"> Gluck &amp; Bressman and Walker similarly found that legislative history helps explain the purpose of the statute, with 80% of respondents in the Walker survey also finding that legislative history also helped define terms. Gluck &amp; Bressman, </w:t>
      </w:r>
      <w:r w:rsidRPr="00D851F9">
        <w:rPr>
          <w:i/>
        </w:rPr>
        <w:t xml:space="preserve">supra </w:t>
      </w:r>
      <w:r w:rsidRPr="00D851F9">
        <w:t xml:space="preserve">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xml:space="preserve">, at 971 fig. 7; Walker,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xml:space="preserve">, at 1040. As one respondent in the Walker survey put it, “Legislative history can help to clarify Congress’s purpose in enacting particular provisions, which in turn can help the Agency resolve ambiguities in a way that is consistent with legislative intent.” Walker,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xml:space="preserve">, at 1044. </w:t>
      </w:r>
    </w:p>
  </w:footnote>
  <w:footnote w:id="191">
    <w:p w14:paraId="5213317F" w14:textId="5128CDD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Northeast Ohio District Council of the United Brotherhood of Carpenters and Joinders of America et al., 310 N.L.R.B. 172, 1993 WL 104853, at 1(1993).</w:t>
      </w:r>
    </w:p>
  </w:footnote>
  <w:footnote w:id="192">
    <w:p w14:paraId="30FAB3FC" w14:textId="70D2B51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w:t>
      </w:r>
    </w:p>
  </w:footnote>
  <w:footnote w:id="193">
    <w:p w14:paraId="7B2CAA67" w14:textId="166ECF6C"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194">
    <w:p w14:paraId="74AE91D6" w14:textId="763795D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at 7.</w:t>
      </w:r>
    </w:p>
  </w:footnote>
  <w:footnote w:id="195">
    <w:p w14:paraId="53513DD7" w14:textId="56FDEBC0"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at 6.</w:t>
      </w:r>
    </w:p>
  </w:footnote>
  <w:footnote w:id="196">
    <w:p w14:paraId="08229461" w14:textId="1A89D48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197">
    <w:p w14:paraId="4336137F" w14:textId="5CAED1E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w:t>
      </w:r>
    </w:p>
  </w:footnote>
  <w:footnote w:id="198">
    <w:p w14:paraId="6EA72BD1" w14:textId="68792DE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8. For instance, the Board said that a somewhat contrary statement by the bill’s sponsor, Senator Kennedy were too “ambiguous” to support a contrary reading of the statute, despite what the dissent argued.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9. </w:t>
      </w:r>
    </w:p>
  </w:footnote>
  <w:footnote w:id="199">
    <w:p w14:paraId="536A43E9" w14:textId="6D47073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Pr>
          <w:rFonts w:ascii="Times New Roman" w:hAnsi="Times New Roman" w:cs="Times New Roman"/>
          <w:i/>
          <w:sz w:val="20"/>
          <w:szCs w:val="20"/>
        </w:rPr>
        <w:t>Id.</w:t>
      </w:r>
      <w:r w:rsidRPr="00D851F9">
        <w:rPr>
          <w:rFonts w:ascii="Times New Roman" w:hAnsi="Times New Roman" w:cs="Times New Roman"/>
          <w:i/>
          <w:sz w:val="20"/>
          <w:szCs w:val="20"/>
        </w:rPr>
        <w:t xml:space="preserve"> </w:t>
      </w:r>
      <w:r w:rsidRPr="00D851F9">
        <w:rPr>
          <w:rFonts w:ascii="Times New Roman" w:hAnsi="Times New Roman" w:cs="Times New Roman"/>
          <w:sz w:val="20"/>
          <w:szCs w:val="20"/>
        </w:rPr>
        <w:t xml:space="preserve">at 7. Specifically, the Board relied on a statement from the House Conference Report that the construction proviso was not meant to “change the present state of the law” as signifying that the proviso should be interpreted according to the “status quo” of the enacting legislature. </w:t>
      </w:r>
      <w:r w:rsidRPr="00D851F9">
        <w:rPr>
          <w:rFonts w:ascii="Times New Roman" w:hAnsi="Times New Roman" w:cs="Times New Roman"/>
          <w:i/>
          <w:sz w:val="20"/>
          <w:szCs w:val="20"/>
        </w:rPr>
        <w:t>Id</w:t>
      </w:r>
      <w:r>
        <w:rPr>
          <w:rFonts w:ascii="Times New Roman" w:hAnsi="Times New Roman" w:cs="Times New Roman"/>
          <w:i/>
          <w:sz w:val="20"/>
          <w:szCs w:val="20"/>
        </w:rPr>
        <w:t>.</w:t>
      </w:r>
      <w:r w:rsidRPr="00D851F9">
        <w:rPr>
          <w:rFonts w:ascii="Times New Roman" w:hAnsi="Times New Roman" w:cs="Times New Roman"/>
          <w:i/>
          <w:sz w:val="20"/>
          <w:szCs w:val="20"/>
        </w:rPr>
        <w:t xml:space="preserve"> </w:t>
      </w:r>
      <w:r w:rsidRPr="00D851F9">
        <w:rPr>
          <w:rFonts w:ascii="Times New Roman" w:hAnsi="Times New Roman" w:cs="Times New Roman"/>
          <w:sz w:val="20"/>
          <w:szCs w:val="20"/>
        </w:rPr>
        <w:t>at 8.</w:t>
      </w:r>
    </w:p>
  </w:footnote>
  <w:footnote w:id="200">
    <w:p w14:paraId="06079DE8" w14:textId="598B074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Lincoln Lutheran of Racine, 2015 WL 5047778, at *5 n17 (citing 93 Cong. Rec. 4876, reprinted in 2 NLRB, Legislative History of the Labor Management Relations Act, 1947, at 1311 (1948).</w:t>
      </w:r>
    </w:p>
  </w:footnote>
  <w:footnote w:id="201">
    <w:p w14:paraId="2EB8AB56" w14:textId="25D414D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Service Employees International Union et al., 329 N.L.R.B. 64, 1999 WL 958483, at 14 (Sept. 30, 1999).</w:t>
      </w:r>
    </w:p>
  </w:footnote>
  <w:footnote w:id="202">
    <w:p w14:paraId="17473D46" w14:textId="49CDD17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w:t>
      </w:r>
    </w:p>
  </w:footnote>
  <w:footnote w:id="203">
    <w:p w14:paraId="6117D103" w14:textId="49258AB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14.</w:t>
      </w:r>
    </w:p>
  </w:footnote>
  <w:footnote w:id="204">
    <w:p w14:paraId="6E8556A1" w14:textId="019E8D0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(noting that “[a]s clear as the legislative intent may appear, its boundaries … have consequently produced much additional gloss.”).</w:t>
      </w:r>
    </w:p>
  </w:footnote>
  <w:footnote w:id="205">
    <w:p w14:paraId="484273B1" w14:textId="7777777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Because much of the Board’s interpretation is so caselaw-based it is difficult to tease out exactly how they are interpreting statutes as they cite to Supreme Court or Board decisions, which in turn have internal citations to statutory interpretation or references to legislative history. Moreover, in about 35% of cases, the Board advances concerns for practical implications of its rulings, such as the impact imposing a strict deadline will have on striking words if they strictly read the text.</w:t>
      </w:r>
    </w:p>
    <w:p w14:paraId="2523C67E" w14:textId="736D6ED9" w:rsidR="00810AB4" w:rsidRPr="00D851F9" w:rsidRDefault="00810AB4" w:rsidP="009F176D">
      <w:pPr>
        <w:spacing w:after="0" w:line="240" w:lineRule="auto"/>
        <w:rPr>
          <w:rFonts w:ascii="Times New Roman" w:hAnsi="Times New Roman" w:cs="Times New Roman"/>
          <w:sz w:val="20"/>
          <w:szCs w:val="20"/>
        </w:rPr>
      </w:pPr>
    </w:p>
  </w:footnote>
  <w:footnote w:id="206">
    <w:p w14:paraId="0E41C75C" w14:textId="5EDE27B3" w:rsidR="00810AB4" w:rsidRPr="00D851F9" w:rsidRDefault="00810AB4">
      <w:pPr>
        <w:pStyle w:val="FootnoteText"/>
      </w:pPr>
      <w:r w:rsidRPr="00D851F9">
        <w:rPr>
          <w:rStyle w:val="FootnoteReference"/>
        </w:rPr>
        <w:footnoteRef/>
      </w:r>
      <w:r w:rsidRPr="00D851F9">
        <w:t xml:space="preserve"> Fisk &amp; Malamud, </w:t>
      </w:r>
      <w:r w:rsidRPr="00D851F9">
        <w:rPr>
          <w:i/>
        </w:rPr>
        <w:t>supra</w:t>
      </w:r>
      <w:r w:rsidRPr="00D851F9">
        <w:t xml:space="preserve"> note 18, at 2020.</w:t>
      </w:r>
    </w:p>
  </w:footnote>
  <w:footnote w:id="207">
    <w:p w14:paraId="4DEBEA8E" w14:textId="7777777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Brown Univ., 342 N.L.R.B. at 483.</w:t>
      </w:r>
    </w:p>
  </w:footnote>
  <w:footnote w:id="208">
    <w:p w14:paraId="6E92297E" w14:textId="6217EB1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27. </w:t>
      </w:r>
    </w:p>
  </w:footnote>
  <w:footnote w:id="209">
    <w:p w14:paraId="42A4D999" w14:textId="4D36395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36. </w:t>
      </w:r>
    </w:p>
  </w:footnote>
  <w:footnote w:id="210">
    <w:p w14:paraId="7DCFDA60" w14:textId="3A28C55F" w:rsidR="00810AB4" w:rsidRPr="00D851F9" w:rsidRDefault="00810AB4">
      <w:pPr>
        <w:pStyle w:val="FootnoteText"/>
      </w:pPr>
      <w:r w:rsidRPr="00D851F9">
        <w:rPr>
          <w:rStyle w:val="FootnoteReference"/>
        </w:rPr>
        <w:footnoteRef/>
      </w:r>
      <w:r w:rsidRPr="00D851F9">
        <w:t xml:space="preserve"> Colum. Univ., Case No. 02-RC-143012, 364 N.L.R.B. 90 (Aug. 23, 2016).</w:t>
      </w:r>
    </w:p>
  </w:footnote>
  <w:footnote w:id="211">
    <w:p w14:paraId="1E9C51F7" w14:textId="65BE85E4" w:rsidR="00810AB4" w:rsidRPr="00D851F9" w:rsidRDefault="00810AB4">
      <w:pPr>
        <w:pStyle w:val="FootnoteText"/>
      </w:pPr>
      <w:r w:rsidRPr="00D851F9">
        <w:rPr>
          <w:rStyle w:val="FootnoteReference"/>
        </w:rPr>
        <w:footnoteRef/>
      </w:r>
      <w:r w:rsidRPr="00D851F9">
        <w:t xml:space="preserve"> </w:t>
      </w:r>
      <w:r w:rsidRPr="00D851F9">
        <w:rPr>
          <w:i/>
        </w:rPr>
        <w:t>Id.</w:t>
      </w:r>
      <w:r w:rsidRPr="00D851F9">
        <w:t xml:space="preserve"> at 7.</w:t>
      </w:r>
    </w:p>
  </w:footnote>
  <w:footnote w:id="212">
    <w:p w14:paraId="577CC486" w14:textId="3B37A316"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159.</w:t>
      </w:r>
    </w:p>
  </w:footnote>
  <w:footnote w:id="213">
    <w:p w14:paraId="021F5E11" w14:textId="1E212A33" w:rsidR="00810AB4" w:rsidRPr="00D851F9" w:rsidRDefault="00810AB4" w:rsidP="009F176D">
      <w:pPr>
        <w:pStyle w:val="FootnoteText"/>
      </w:pPr>
      <w:r w:rsidRPr="00D851F9">
        <w:rPr>
          <w:rStyle w:val="FootnoteReference"/>
        </w:rPr>
        <w:footnoteRef/>
      </w:r>
      <w:r w:rsidRPr="00D851F9">
        <w:t xml:space="preserve"> </w:t>
      </w:r>
      <w:r w:rsidRPr="00D851F9">
        <w:rPr>
          <w:i/>
        </w:rPr>
        <w:t xml:space="preserve">Id. </w:t>
      </w:r>
      <w:r w:rsidRPr="00D851F9">
        <w:t>at 159-60.</w:t>
      </w:r>
    </w:p>
  </w:footnote>
  <w:footnote w:id="214">
    <w:p w14:paraId="060FCB3E" w14:textId="2FD3A5AB"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163. </w:t>
      </w:r>
    </w:p>
  </w:footnote>
  <w:footnote w:id="215">
    <w:p w14:paraId="33F66A33" w14:textId="39EC988B"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163. </w:t>
      </w:r>
    </w:p>
  </w:footnote>
  <w:footnote w:id="216">
    <w:p w14:paraId="75985909" w14:textId="4B352EB5" w:rsidR="00810AB4" w:rsidRPr="00D851F9" w:rsidRDefault="00810AB4" w:rsidP="009F176D">
      <w:pPr>
        <w:pStyle w:val="FootnoteText"/>
        <w:rPr>
          <w:i/>
        </w:rPr>
      </w:pPr>
      <w:r w:rsidRPr="00D851F9">
        <w:rPr>
          <w:rStyle w:val="FootnoteReference"/>
        </w:rPr>
        <w:footnoteRef/>
      </w:r>
      <w:r w:rsidRPr="00D851F9">
        <w:t xml:space="preserve"> </w:t>
      </w:r>
      <w:r w:rsidRPr="00D851F9">
        <w:rPr>
          <w:i/>
        </w:rPr>
        <w:t>Id.</w:t>
      </w:r>
    </w:p>
  </w:footnote>
  <w:footnote w:id="217">
    <w:p w14:paraId="23344C77" w14:textId="71B0E034"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153-156.</w:t>
      </w:r>
    </w:p>
  </w:footnote>
  <w:footnote w:id="218">
    <w:p w14:paraId="476063F5" w14:textId="45EDBDB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Browning-Ferris Industries of California, Inc. et al., 326 N.L.R.B. 186 (2015).</w:t>
      </w:r>
    </w:p>
  </w:footnote>
  <w:footnote w:id="219">
    <w:p w14:paraId="0D51662C" w14:textId="1317888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at 2.</w:t>
      </w:r>
    </w:p>
  </w:footnote>
  <w:footnote w:id="220">
    <w:p w14:paraId="7B62E85F" w14:textId="79939AC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221">
    <w:p w14:paraId="5D3E53C1" w14:textId="464725B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15.</w:t>
      </w:r>
    </w:p>
  </w:footnote>
  <w:footnote w:id="222">
    <w:p w14:paraId="0E9865FB" w14:textId="71DA884F"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223">
    <w:p w14:paraId="14D897E3" w14:textId="4617BE53"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17.</w:t>
      </w:r>
    </w:p>
  </w:footnote>
  <w:footnote w:id="224">
    <w:p w14:paraId="77E72B66" w14:textId="4F3EFC3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20-21.</w:t>
      </w:r>
    </w:p>
  </w:footnote>
  <w:footnote w:id="225">
    <w:p w14:paraId="68F49F82" w14:textId="07E06F9C"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24. The Board cited to the Supreme Court in noting that “[t]he </w:t>
      </w:r>
      <w:proofErr w:type="gramStart"/>
      <w:r w:rsidRPr="00D851F9">
        <w:rPr>
          <w:rFonts w:ascii="Times New Roman" w:hAnsi="Times New Roman" w:cs="Times New Roman"/>
          <w:sz w:val="20"/>
          <w:szCs w:val="20"/>
        </w:rPr>
        <w:t>use</w:t>
      </w:r>
      <w:proofErr w:type="gramEnd"/>
      <w:r w:rsidRPr="00D851F9">
        <w:rPr>
          <w:rFonts w:ascii="Times New Roman" w:hAnsi="Times New Roman" w:cs="Times New Roman"/>
          <w:sz w:val="20"/>
          <w:szCs w:val="20"/>
        </w:rPr>
        <w:t xml:space="preserve"> by an administrative agency of the evolutional approach is particularly fitting. To hold that the Board’s earlier decisions froze the development … of the national labor law would misconceive the nature of administrative decisionmaking.”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24 (internal citations omitted).</w:t>
      </w:r>
    </w:p>
  </w:footnote>
  <w:footnote w:id="226">
    <w:p w14:paraId="35C33EF1" w14:textId="40B7D42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Auciello Iron Works, Inc. et al., 317 N.L.R.B. 60, 369, 1995 WL 291061, at *7 (1995).</w:t>
      </w:r>
    </w:p>
  </w:footnote>
  <w:footnote w:id="227">
    <w:p w14:paraId="6B437282" w14:textId="1B33C06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w:t>
      </w:r>
    </w:p>
  </w:footnote>
  <w:footnote w:id="228">
    <w:p w14:paraId="33BDBEC5" w14:textId="130BE7A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N.L.R.B. v. Aucielle Iron Works, 980 F.2d 804, 812 (1</w:t>
      </w:r>
      <w:r w:rsidRPr="00D851F9">
        <w:rPr>
          <w:rFonts w:ascii="Times New Roman" w:hAnsi="Times New Roman" w:cs="Times New Roman"/>
          <w:sz w:val="20"/>
          <w:szCs w:val="20"/>
          <w:vertAlign w:val="superscript"/>
        </w:rPr>
        <w:t>st</w:t>
      </w:r>
      <w:r w:rsidRPr="00D851F9">
        <w:rPr>
          <w:rFonts w:ascii="Times New Roman" w:hAnsi="Times New Roman" w:cs="Times New Roman"/>
          <w:sz w:val="20"/>
          <w:szCs w:val="20"/>
        </w:rPr>
        <w:t xml:space="preserve"> Cir. 1992).</w:t>
      </w:r>
    </w:p>
  </w:footnote>
  <w:footnote w:id="229">
    <w:p w14:paraId="46CC88EB" w14:textId="17CEAE31"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812 (noting that “we reaffirm as consistent with our statutory mandate and the practicalities of case litigation the rule that once the union accepts the employer’s offer, in the absence of a previous assertion of good faith doubt or other changed circumstance to call into question the union’s competence to enter into a contract, the parties have formed a valid contract precluding the employer from raising a good faith doubt or refusing to bargain with the union…”).</w:t>
      </w:r>
    </w:p>
  </w:footnote>
  <w:footnote w:id="230">
    <w:p w14:paraId="219E3EF5" w14:textId="7B03285C" w:rsidR="00810AB4" w:rsidRPr="00D851F9" w:rsidRDefault="00810AB4" w:rsidP="009F176D">
      <w:pPr>
        <w:pStyle w:val="FootnoteText"/>
        <w:rPr>
          <w:i/>
        </w:rPr>
      </w:pPr>
      <w:r w:rsidRPr="00D851F9">
        <w:rPr>
          <w:rStyle w:val="FootnoteReference"/>
        </w:rPr>
        <w:footnoteRef/>
      </w:r>
      <w:r w:rsidRPr="00D851F9">
        <w:t xml:space="preserve"> In his survey, Walker found that many rule drafters commented on the declining usefulness of legislative history. Walker,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xml:space="preserve">, at 1040. As one respondent noted: “Legislative history is sometimes useful, but it is becoming less so. Congress puts less time into drafting legislative history that is useful to interpretation of the statute and leaving more of the work to agencies. The administrative rulemaking process is taking on a larger role in shaping the rules that actually apply to the country.” </w:t>
      </w:r>
      <w:r w:rsidRPr="00D851F9">
        <w:rPr>
          <w:i/>
        </w:rPr>
        <w:t>Id.</w:t>
      </w:r>
    </w:p>
  </w:footnote>
  <w:footnote w:id="231">
    <w:p w14:paraId="365F9535" w14:textId="433045C9" w:rsidR="00810AB4" w:rsidRPr="00D851F9" w:rsidRDefault="00810AB4" w:rsidP="009F176D">
      <w:pPr>
        <w:pStyle w:val="FootnoteText"/>
      </w:pPr>
      <w:r w:rsidRPr="00D851F9">
        <w:rPr>
          <w:rStyle w:val="FootnoteReference"/>
        </w:rPr>
        <w:footnoteRef/>
      </w:r>
      <w:r w:rsidRPr="00D851F9">
        <w:t xml:space="preserve"> Gluck &amp; Bressman,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xml:space="preserve">, at 936. </w:t>
      </w:r>
    </w:p>
  </w:footnote>
  <w:footnote w:id="232">
    <w:p w14:paraId="63373398" w14:textId="6389A378" w:rsidR="00810AB4" w:rsidRPr="00D851F9" w:rsidRDefault="00810AB4" w:rsidP="009F176D">
      <w:pPr>
        <w:pStyle w:val="FootnoteText"/>
      </w:pPr>
      <w:r w:rsidRPr="00D851F9">
        <w:rPr>
          <w:rStyle w:val="FootnoteReference"/>
        </w:rPr>
        <w:footnoteRef/>
      </w:r>
      <w:r w:rsidRPr="00D851F9">
        <w:t xml:space="preserve"> </w:t>
      </w:r>
      <w:r w:rsidRPr="00D851F9">
        <w:rPr>
          <w:i/>
        </w:rPr>
        <w:t xml:space="preserve">Id. </w:t>
      </w:r>
      <w:r w:rsidRPr="00D851F9">
        <w:t xml:space="preserve">at 937. </w:t>
      </w:r>
    </w:p>
  </w:footnote>
  <w:footnote w:id="233">
    <w:p w14:paraId="0E060CB3" w14:textId="7450F464" w:rsidR="00810AB4" w:rsidRPr="0048169C" w:rsidRDefault="00810AB4">
      <w:pPr>
        <w:pStyle w:val="FootnoteText"/>
      </w:pPr>
      <w:r>
        <w:rPr>
          <w:rStyle w:val="FootnoteReference"/>
        </w:rPr>
        <w:footnoteRef/>
      </w:r>
      <w:r>
        <w:t xml:space="preserve"> Fisk &amp; Malamud, </w:t>
      </w:r>
      <w:r>
        <w:rPr>
          <w:i/>
        </w:rPr>
        <w:t>supra</w:t>
      </w:r>
      <w:r>
        <w:t xml:space="preserve"> note 18, at 2020.</w:t>
      </w:r>
    </w:p>
  </w:footnote>
  <w:footnote w:id="234">
    <w:p w14:paraId="47BC402F" w14:textId="29BF7ED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See Krishmanuar,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_Ref460546150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9</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961.</w:t>
      </w:r>
    </w:p>
  </w:footnote>
  <w:footnote w:id="235">
    <w:p w14:paraId="1BF72298" w14:textId="6F07D64A"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971. </w:t>
      </w:r>
    </w:p>
  </w:footnote>
  <w:footnote w:id="236">
    <w:p w14:paraId="05185B6A" w14:textId="4C6493D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This is why we see the sharp uptake up to 21% in CB cases under “Statute” in Table 13.</w:t>
      </w:r>
    </w:p>
  </w:footnote>
  <w:footnote w:id="237">
    <w:p w14:paraId="19A8FCFF" w14:textId="2E7D1CE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Alexandria Clinic, P.A. et al, 339 N.L.R.B. 162, 2003 WL 22027491, at *5.</w:t>
      </w:r>
    </w:p>
  </w:footnote>
  <w:footnote w:id="238">
    <w:p w14:paraId="1A1C9755" w14:textId="22B21E7E"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15.</w:t>
      </w:r>
    </w:p>
  </w:footnote>
  <w:footnote w:id="239">
    <w:p w14:paraId="077DDA73" w14:textId="4B38A82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at 16 (citing S. Rep. 93-766, 93d Cong., 2d Sess, at 4; H.R. Rep. 93-1051, 93d Cong., 2d Sess., at 5, as reprinted in Legislative History of the Coverage of Nonprofit Hospitals under the National Labor Relations Act, 1974, at 11 &amp; 273 (1974).</w:t>
      </w:r>
    </w:p>
  </w:footnote>
  <w:footnote w:id="240">
    <w:p w14:paraId="597DD323" w14:textId="67E0343F"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16. </w:t>
      </w:r>
    </w:p>
  </w:footnote>
  <w:footnote w:id="241">
    <w:p w14:paraId="11699762" w14:textId="7777777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Alexandria Clinic, P.A. et al., 339 N.L.R.B. 162, 2003 WL 22027491, at *5 (2003).</w:t>
      </w:r>
    </w:p>
  </w:footnote>
  <w:footnote w:id="242">
    <w:p w14:paraId="3DE1DE22" w14:textId="6FA369F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7.</w:t>
      </w:r>
    </w:p>
  </w:footnote>
  <w:footnote w:id="243">
    <w:p w14:paraId="30DEFC9A" w14:textId="2CCF407D"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w:t>
      </w:r>
    </w:p>
  </w:footnote>
  <w:footnote w:id="244">
    <w:p w14:paraId="58AE42F6" w14:textId="2BBCCAA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14.</w:t>
      </w:r>
    </w:p>
  </w:footnote>
  <w:footnote w:id="245">
    <w:p w14:paraId="51A1058B" w14:textId="7778E3A9" w:rsidR="00810AB4" w:rsidRPr="00D851F9" w:rsidRDefault="00810AB4" w:rsidP="009F176D">
      <w:pPr>
        <w:spacing w:after="0" w:line="240" w:lineRule="auto"/>
        <w:rPr>
          <w:rFonts w:ascii="Times New Roman" w:hAnsi="Times New Roman" w:cs="Times New Roman"/>
          <w:i/>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p>
  </w:footnote>
  <w:footnote w:id="246">
    <w:p w14:paraId="6A3DAE37" w14:textId="32498F86"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15. </w:t>
      </w:r>
    </w:p>
  </w:footnote>
  <w:footnote w:id="247">
    <w:p w14:paraId="01DE88C4" w14:textId="366EE38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16. </w:t>
      </w:r>
    </w:p>
  </w:footnote>
  <w:footnote w:id="248">
    <w:p w14:paraId="60F899BF" w14:textId="69543B4B"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17.</w:t>
      </w:r>
    </w:p>
  </w:footnote>
  <w:footnote w:id="249">
    <w:p w14:paraId="09EFB772" w14:textId="7777777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Amy Semet, Appellate Court Decisionmaking in NLRB Cases, Unpublished Manuscript.</w:t>
      </w:r>
    </w:p>
  </w:footnote>
  <w:footnote w:id="250">
    <w:p w14:paraId="20B563F5" w14:textId="77777777" w:rsidR="00810AB4" w:rsidRPr="00D851F9" w:rsidRDefault="00810AB4" w:rsidP="00193F3C">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Jason Czarnezki, </w:t>
      </w:r>
      <w:r w:rsidRPr="00D851F9">
        <w:rPr>
          <w:rFonts w:ascii="Times New Roman" w:hAnsi="Times New Roman" w:cs="Times New Roman"/>
          <w:i/>
          <w:sz w:val="20"/>
          <w:szCs w:val="20"/>
        </w:rPr>
        <w:t>An Empirical Investigation of Judicial Decisionmaking, Statutory Interpretation, and the Chevron Doctrine in Environmental Law</w:t>
      </w:r>
      <w:r w:rsidRPr="00D851F9">
        <w:rPr>
          <w:rFonts w:ascii="Times New Roman" w:hAnsi="Times New Roman" w:cs="Times New Roman"/>
          <w:sz w:val="20"/>
          <w:szCs w:val="20"/>
        </w:rPr>
        <w:t xml:space="preserve">, 79 </w:t>
      </w:r>
      <w:r w:rsidRPr="00D851F9">
        <w:rPr>
          <w:rFonts w:ascii="Times New Roman" w:hAnsi="Times New Roman" w:cs="Times New Roman"/>
          <w:smallCaps/>
          <w:sz w:val="20"/>
          <w:szCs w:val="20"/>
        </w:rPr>
        <w:t>U. Colo. L. Rev</w:t>
      </w:r>
      <w:r w:rsidRPr="00D851F9">
        <w:rPr>
          <w:rFonts w:ascii="Times New Roman" w:hAnsi="Times New Roman" w:cs="Times New Roman"/>
          <w:sz w:val="20"/>
          <w:szCs w:val="20"/>
        </w:rPr>
        <w:t>. 767, 770-71 (2008) (noting that “there remains confusion and conflation in the circuits over how to apply the Chevron doctrine).</w:t>
      </w:r>
    </w:p>
  </w:footnote>
  <w:footnote w:id="251">
    <w:p w14:paraId="69C8612D" w14:textId="3CD5F327" w:rsidR="00810AB4" w:rsidRPr="00D851F9" w:rsidRDefault="00810AB4" w:rsidP="00193F3C">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Eskridge &amp; Bauer, </w:t>
      </w:r>
      <w:r w:rsidRPr="00D851F9">
        <w:rPr>
          <w:rFonts w:ascii="Times New Roman" w:hAnsi="Times New Roman" w:cs="Times New Roman"/>
          <w:i/>
          <w:sz w:val="20"/>
          <w:szCs w:val="20"/>
        </w:rPr>
        <w:t xml:space="preserve">supra </w:t>
      </w:r>
      <w:r>
        <w:rPr>
          <w:rFonts w:ascii="Times New Roman" w:hAnsi="Times New Roman" w:cs="Times New Roman"/>
          <w:sz w:val="20"/>
          <w:szCs w:val="20"/>
        </w:rPr>
        <w:t>note 65</w:t>
      </w:r>
      <w:r w:rsidRPr="00D851F9">
        <w:rPr>
          <w:rFonts w:ascii="Times New Roman" w:hAnsi="Times New Roman" w:cs="Times New Roman"/>
          <w:sz w:val="20"/>
          <w:szCs w:val="20"/>
        </w:rPr>
        <w:t xml:space="preserve">, at 1090; Raso &amp; Eskridge, </w:t>
      </w:r>
      <w:r w:rsidRPr="00D851F9">
        <w:rPr>
          <w:rFonts w:ascii="Times New Roman" w:hAnsi="Times New Roman" w:cs="Times New Roman"/>
          <w:i/>
          <w:sz w:val="20"/>
          <w:szCs w:val="20"/>
        </w:rPr>
        <w:t xml:space="preserve">supra </w:t>
      </w:r>
      <w:r>
        <w:rPr>
          <w:rFonts w:ascii="Times New Roman" w:hAnsi="Times New Roman" w:cs="Times New Roman"/>
          <w:sz w:val="20"/>
          <w:szCs w:val="20"/>
        </w:rPr>
        <w:t>note 65</w:t>
      </w:r>
      <w:r w:rsidRPr="00D851F9">
        <w:rPr>
          <w:rFonts w:ascii="Times New Roman" w:hAnsi="Times New Roman" w:cs="Times New Roman"/>
          <w:sz w:val="20"/>
          <w:szCs w:val="20"/>
        </w:rPr>
        <w:t xml:space="preserve">, at 1740. </w:t>
      </w:r>
    </w:p>
  </w:footnote>
  <w:footnote w:id="252">
    <w:p w14:paraId="57DF20BF" w14:textId="77777777" w:rsidR="00810AB4" w:rsidRPr="00D851F9" w:rsidRDefault="00810AB4" w:rsidP="006F07E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Chevron, 467 U.S. 637.</w:t>
      </w:r>
    </w:p>
  </w:footnote>
  <w:footnote w:id="253">
    <w:p w14:paraId="25F82E22" w14:textId="77777777" w:rsidR="00810AB4" w:rsidRPr="00D851F9" w:rsidRDefault="00810AB4" w:rsidP="006F07E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Skidmore v. Swift &amp; Co., Inc., 323 U.S. 134 (1944).</w:t>
      </w:r>
    </w:p>
  </w:footnote>
  <w:footnote w:id="254">
    <w:p w14:paraId="3D0E93A9" w14:textId="3E4A4084" w:rsidR="00810AB4" w:rsidRPr="00D851F9" w:rsidRDefault="00810AB4" w:rsidP="006F07E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Jack M. Beerman, </w:t>
      </w:r>
      <w:r w:rsidRPr="00D851F9">
        <w:rPr>
          <w:rFonts w:ascii="Times New Roman" w:hAnsi="Times New Roman" w:cs="Times New Roman"/>
          <w:i/>
          <w:sz w:val="20"/>
          <w:szCs w:val="20"/>
        </w:rPr>
        <w:t xml:space="preserve">End the Failed Chevron Experiment Now: How Chevron Has Failed and Why It Can and Should Be Overruled, </w:t>
      </w:r>
      <w:r w:rsidRPr="00D851F9">
        <w:rPr>
          <w:rFonts w:ascii="Times New Roman" w:hAnsi="Times New Roman" w:cs="Times New Roman"/>
          <w:sz w:val="20"/>
          <w:szCs w:val="20"/>
        </w:rPr>
        <w:t xml:space="preserve">42 </w:t>
      </w:r>
      <w:r w:rsidRPr="00D851F9">
        <w:rPr>
          <w:rFonts w:ascii="Times New Roman" w:hAnsi="Times New Roman" w:cs="Times New Roman"/>
          <w:smallCaps/>
          <w:sz w:val="20"/>
          <w:szCs w:val="20"/>
        </w:rPr>
        <w:t>Conn. L. Rev.</w:t>
      </w:r>
      <w:r w:rsidRPr="00D851F9">
        <w:rPr>
          <w:rFonts w:ascii="Times New Roman" w:hAnsi="Times New Roman" w:cs="Times New Roman"/>
          <w:sz w:val="20"/>
          <w:szCs w:val="20"/>
        </w:rPr>
        <w:t xml:space="preserve"> 779, 784 (2010); Czarnezki,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note</w:t>
      </w:r>
      <w:r>
        <w:rPr>
          <w:rFonts w:ascii="Times New Roman" w:hAnsi="Times New Roman" w:cs="Times New Roman"/>
          <w:sz w:val="20"/>
          <w:szCs w:val="20"/>
        </w:rPr>
        <w:t xml:space="preserve"> 250</w:t>
      </w:r>
      <w:r w:rsidRPr="00D851F9">
        <w:rPr>
          <w:rFonts w:ascii="Times New Roman" w:hAnsi="Times New Roman" w:cs="Times New Roman"/>
          <w:sz w:val="20"/>
          <w:szCs w:val="20"/>
        </w:rPr>
        <w:t>, at 770-71 (noting that “there remains much confusion and conflation in the circuits over how to apply the Chevron doctrine”)</w:t>
      </w:r>
    </w:p>
  </w:footnote>
  <w:footnote w:id="255">
    <w:p w14:paraId="180902D5" w14:textId="25D415DE" w:rsidR="00810AB4" w:rsidRPr="00D851F9" w:rsidRDefault="00810AB4">
      <w:pPr>
        <w:pStyle w:val="FootnoteText"/>
      </w:pPr>
      <w:r w:rsidRPr="00D851F9">
        <w:rPr>
          <w:rStyle w:val="FootnoteReference"/>
        </w:rPr>
        <w:footnoteRef/>
      </w:r>
      <w:r w:rsidRPr="00D851F9">
        <w:t xml:space="preserve"> Fisk &amp; Malamud, </w:t>
      </w:r>
      <w:r w:rsidRPr="00D851F9">
        <w:rPr>
          <w:i/>
        </w:rPr>
        <w:t xml:space="preserve">supra </w:t>
      </w:r>
      <w:r w:rsidRPr="00D851F9">
        <w:t xml:space="preserve">note 18, at 2020. </w:t>
      </w:r>
    </w:p>
  </w:footnote>
  <w:footnote w:id="256">
    <w:p w14:paraId="02B4724F" w14:textId="77777777" w:rsidR="00810AB4" w:rsidRPr="00D851F9" w:rsidRDefault="00810AB4" w:rsidP="006F07E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Fall River Dyeing &amp; Finishing Corp. v. N.L.R.B., 482 U.S. 27 (1987).</w:t>
      </w:r>
    </w:p>
  </w:footnote>
  <w:footnote w:id="257">
    <w:p w14:paraId="5F91F513" w14:textId="77777777" w:rsidR="00810AB4" w:rsidRPr="00D851F9" w:rsidRDefault="00810AB4" w:rsidP="006F07E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N.L.R.B. v. Health Care &amp; Ret. Corp. of Am., 511 U.S. 571, 576 (1994); </w:t>
      </w:r>
      <w:r w:rsidRPr="00D851F9">
        <w:rPr>
          <w:rFonts w:ascii="Times New Roman" w:hAnsi="Times New Roman" w:cs="Times New Roman"/>
          <w:i/>
          <w:sz w:val="20"/>
          <w:szCs w:val="20"/>
        </w:rPr>
        <w:t>see also</w:t>
      </w:r>
      <w:r w:rsidRPr="00D851F9">
        <w:rPr>
          <w:rFonts w:ascii="Times New Roman" w:hAnsi="Times New Roman" w:cs="Times New Roman"/>
          <w:sz w:val="20"/>
          <w:szCs w:val="20"/>
        </w:rPr>
        <w:t xml:space="preserve"> N.L.R.B. v. Ky. River Cmty Care, Inc., 532 U.S. 706, 725 (2001) (applying “rational and consistent” standard).</w:t>
      </w:r>
    </w:p>
  </w:footnote>
  <w:footnote w:id="258">
    <w:p w14:paraId="7D73B277" w14:textId="77671C32" w:rsidR="00810AB4" w:rsidRPr="00D851F9" w:rsidRDefault="00810AB4" w:rsidP="006F07E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Beerman, </w:t>
      </w:r>
      <w:r w:rsidRPr="00D851F9">
        <w:rPr>
          <w:rFonts w:ascii="Times New Roman" w:hAnsi="Times New Roman" w:cs="Times New Roman"/>
          <w:i/>
          <w:sz w:val="20"/>
          <w:szCs w:val="20"/>
        </w:rPr>
        <w:t>supra</w:t>
      </w:r>
      <w:r>
        <w:rPr>
          <w:rFonts w:ascii="Times New Roman" w:hAnsi="Times New Roman" w:cs="Times New Roman"/>
          <w:sz w:val="20"/>
          <w:szCs w:val="20"/>
        </w:rPr>
        <w:t xml:space="preserve"> note 254</w:t>
      </w:r>
      <w:r w:rsidRPr="00D851F9">
        <w:rPr>
          <w:rFonts w:ascii="Times New Roman" w:hAnsi="Times New Roman" w:cs="Times New Roman"/>
          <w:sz w:val="20"/>
          <w:szCs w:val="20"/>
        </w:rPr>
        <w:t xml:space="preserve">, at 831. </w:t>
      </w:r>
    </w:p>
  </w:footnote>
  <w:footnote w:id="259">
    <w:p w14:paraId="7C6A866D" w14:textId="4938663E" w:rsidR="00810AB4" w:rsidRPr="00D851F9" w:rsidRDefault="00810AB4" w:rsidP="00193F3C">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Eskridge &amp; Bauer, </w:t>
      </w:r>
      <w:r w:rsidRPr="00D851F9">
        <w:rPr>
          <w:rFonts w:ascii="Times New Roman" w:hAnsi="Times New Roman" w:cs="Times New Roman"/>
          <w:i/>
          <w:sz w:val="20"/>
          <w:szCs w:val="20"/>
        </w:rPr>
        <w:t xml:space="preserve">supra </w:t>
      </w:r>
      <w:r>
        <w:rPr>
          <w:rFonts w:ascii="Times New Roman" w:hAnsi="Times New Roman" w:cs="Times New Roman"/>
          <w:sz w:val="20"/>
          <w:szCs w:val="20"/>
        </w:rPr>
        <w:t>note 65</w:t>
      </w:r>
      <w:r w:rsidRPr="00D851F9">
        <w:rPr>
          <w:rFonts w:ascii="Times New Roman" w:hAnsi="Times New Roman" w:cs="Times New Roman"/>
          <w:sz w:val="20"/>
          <w:szCs w:val="20"/>
        </w:rPr>
        <w:t>, at 1090 (noting at least five deference regimes, including Seminole Rock, Curtiss-Wright and Beth Israel).</w:t>
      </w:r>
    </w:p>
  </w:footnote>
  <w:footnote w:id="260">
    <w:p w14:paraId="6C420870" w14:textId="3BEDD76B" w:rsidR="00810AB4" w:rsidRPr="00D851F9" w:rsidRDefault="00810AB4" w:rsidP="00F91F85">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This is not altogether surprising given that Chevron is only cited in a minority of Supreme Court opinions.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Eskridge &amp; Baer, </w:t>
      </w:r>
      <w:r w:rsidRPr="00D851F9">
        <w:rPr>
          <w:rFonts w:ascii="Times New Roman" w:hAnsi="Times New Roman" w:cs="Times New Roman"/>
          <w:i/>
          <w:sz w:val="20"/>
          <w:szCs w:val="20"/>
        </w:rPr>
        <w:t xml:space="preserve">supra </w:t>
      </w:r>
      <w:r>
        <w:rPr>
          <w:rFonts w:ascii="Times New Roman" w:hAnsi="Times New Roman" w:cs="Times New Roman"/>
          <w:sz w:val="20"/>
          <w:szCs w:val="20"/>
        </w:rPr>
        <w:t>note 65</w:t>
      </w:r>
      <w:r w:rsidRPr="00D851F9">
        <w:rPr>
          <w:rFonts w:ascii="Times New Roman" w:hAnsi="Times New Roman" w:cs="Times New Roman"/>
          <w:sz w:val="20"/>
          <w:szCs w:val="20"/>
        </w:rPr>
        <w:t xml:space="preserve">, at 1121 (noting that Chevron two-step process was cited 8.3%; in about 40% of cases, some other form of deference applied). </w:t>
      </w:r>
    </w:p>
  </w:footnote>
  <w:footnote w:id="261">
    <w:p w14:paraId="185A4156" w14:textId="4C9121F4" w:rsidR="00810AB4" w:rsidRPr="00D851F9" w:rsidRDefault="00810AB4" w:rsidP="009F176D">
      <w:pPr>
        <w:pStyle w:val="FootnoteText"/>
      </w:pPr>
      <w:r w:rsidRPr="00D851F9">
        <w:rPr>
          <w:rStyle w:val="FootnoteReference"/>
        </w:rPr>
        <w:footnoteRef/>
      </w:r>
      <w:r w:rsidRPr="00D851F9">
        <w:t xml:space="preserve"> This database is somewhat limited in that it only includes cases where the Board itself engaged in statutory interpretation. As part of ano</w:t>
      </w:r>
      <w:r>
        <w:t>ther Article, see supra note 249</w:t>
      </w:r>
      <w:r w:rsidRPr="00D851F9">
        <w:t xml:space="preserve">, I am examining appeals court decisions from 1993-2012 and found that about a third of the cases involving statutory interpretation are reversed on appeal. This lowered number may be due to the fact that in the other analysis, I included cases where the ALJ did a statutory interpretation but the Board did not, or where neither the Board nor ALJ did a statutory interpretation, but the court of appeals nonetheless felt that interpreting the statute was appropriate to resolve the case. Further, we might assume that cases in which the full Board hears a case and spends a great deal of time writing an analysis of the statute are probably the most important cases that the Board hears, and thus, may be more likely to be overturned on appeal. As such, the current database is overpopulated with cases heard by the full Board. </w:t>
      </w:r>
    </w:p>
  </w:footnote>
  <w:footnote w:id="262">
    <w:p w14:paraId="05ABEC72" w14:textId="2246C3B7"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Leedom v. Kyne, 358 U.S. 184, 188 (1958) (explaining that such decisions are not for “review” but rather to “strike down an order…made in excess of [the Board’s] delegated powers.”). </w:t>
      </w:r>
    </w:p>
  </w:footnote>
  <w:footnote w:id="263">
    <w:p w14:paraId="71386D0E" w14:textId="125C2A82" w:rsidR="00810AB4" w:rsidRPr="00D851F9" w:rsidRDefault="00810AB4" w:rsidP="009F176D">
      <w:pPr>
        <w:pStyle w:val="FootnoteText"/>
      </w:pPr>
      <w:r w:rsidRPr="00D851F9">
        <w:rPr>
          <w:rStyle w:val="FootnoteReference"/>
        </w:rPr>
        <w:footnoteRef/>
      </w:r>
      <w:r w:rsidRPr="00D851F9">
        <w:t xml:space="preserve"> In particular, the Board is not often clear in summary judgment cases that it is actually doing a statutory interpretation analysis. Oftentimes, the Board uses a set template in summary judgment cases and simply says there is no genuine issue of material fact without explaining that there is a statutory analysis at the heart of the case. On appeal, the courts often rule on statutory interpretation for these cases, but because the Board did not engage in a clear analysis the database would not include those cases. </w:t>
      </w:r>
    </w:p>
  </w:footnote>
  <w:footnote w:id="264">
    <w:p w14:paraId="418BDA8C" w14:textId="6BE4A234" w:rsidR="00810AB4" w:rsidRPr="00D851F9" w:rsidRDefault="00810AB4" w:rsidP="009F176D">
      <w:pPr>
        <w:pStyle w:val="FootnoteText"/>
      </w:pPr>
      <w:r w:rsidRPr="00D851F9">
        <w:rPr>
          <w:rStyle w:val="FootnoteReference"/>
        </w:rPr>
        <w:footnoteRef/>
      </w:r>
      <w:r w:rsidRPr="00D851F9">
        <w:t xml:space="preserve"> These type of cases, however, are included in the dataset I use in my other article on appellate court review of NLRB decisions. </w:t>
      </w:r>
    </w:p>
  </w:footnote>
  <w:footnote w:id="265">
    <w:p w14:paraId="0942F362" w14:textId="4DFCC839"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Moreover, I did a search for </w:t>
      </w:r>
      <w:r w:rsidRPr="00D851F9">
        <w:rPr>
          <w:rFonts w:ascii="Times New Roman" w:hAnsi="Times New Roman" w:cs="Times New Roman"/>
          <w:i/>
          <w:sz w:val="20"/>
          <w:szCs w:val="20"/>
        </w:rPr>
        <w:t>Chevron</w:t>
      </w:r>
      <w:r w:rsidRPr="00D851F9">
        <w:rPr>
          <w:rFonts w:ascii="Times New Roman" w:hAnsi="Times New Roman" w:cs="Times New Roman"/>
          <w:sz w:val="20"/>
          <w:szCs w:val="20"/>
        </w:rPr>
        <w:t xml:space="preserve"> and other deference cases so as to capture all statutory interpretation cases. However, courts of appeals in NLRB cases rarely even cite to </w:t>
      </w:r>
      <w:r w:rsidRPr="00D851F9">
        <w:rPr>
          <w:rFonts w:ascii="Times New Roman" w:hAnsi="Times New Roman" w:cs="Times New Roman"/>
          <w:i/>
          <w:sz w:val="20"/>
          <w:szCs w:val="20"/>
        </w:rPr>
        <w:t>Chevron</w:t>
      </w:r>
      <w:r w:rsidRPr="00D851F9">
        <w:rPr>
          <w:rFonts w:ascii="Times New Roman" w:hAnsi="Times New Roman" w:cs="Times New Roman"/>
          <w:sz w:val="20"/>
          <w:szCs w:val="20"/>
        </w:rPr>
        <w:t>, even when doing statutory interpretation. In the analysis I am doing of the appellate courts for the other article, I capture those cases. I find that there are under fifty cases where courts, particularly those in the 4</w:t>
      </w:r>
      <w:r w:rsidRPr="00D851F9">
        <w:rPr>
          <w:rFonts w:ascii="Times New Roman" w:hAnsi="Times New Roman" w:cs="Times New Roman"/>
          <w:sz w:val="20"/>
          <w:szCs w:val="20"/>
          <w:vertAlign w:val="superscript"/>
        </w:rPr>
        <w:t>th</w:t>
      </w:r>
      <w:r w:rsidRPr="00D851F9">
        <w:rPr>
          <w:rFonts w:ascii="Times New Roman" w:hAnsi="Times New Roman" w:cs="Times New Roman"/>
          <w:sz w:val="20"/>
          <w:szCs w:val="20"/>
        </w:rPr>
        <w:t xml:space="preserve"> Circuit, engage in statutory interpretation where they are really supposed to be engaging in a “substantial evidence” analysis. </w:t>
      </w:r>
    </w:p>
  </w:footnote>
  <w:footnote w:id="266">
    <w:p w14:paraId="4B0EE9A5" w14:textId="568159F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Krishnakumara,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_Ref460546150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9</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at 959.</w:t>
      </w:r>
    </w:p>
  </w:footnote>
  <w:footnote w:id="267">
    <w:p w14:paraId="50FD223A" w14:textId="01D99904"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Krishnakumara found that for most canons used during the Roberts court, “reliance by a majority opinion is not resulting in a dissenting opinion countering that </w:t>
      </w:r>
      <w:r w:rsidRPr="00D851F9">
        <w:rPr>
          <w:rFonts w:ascii="Times New Roman" w:hAnsi="Times New Roman" w:cs="Times New Roman"/>
          <w:i/>
          <w:sz w:val="20"/>
          <w:szCs w:val="20"/>
        </w:rPr>
        <w:t>same</w:t>
      </w:r>
      <w:r w:rsidRPr="00D851F9">
        <w:rPr>
          <w:rFonts w:ascii="Times New Roman" w:hAnsi="Times New Roman" w:cs="Times New Roman"/>
          <w:sz w:val="20"/>
          <w:szCs w:val="20"/>
        </w:rPr>
        <w:t xml:space="preserve"> canon or tool most of the time (in roughly 75 percent of the cases.”).  </w:t>
      </w:r>
      <w:r>
        <w:rPr>
          <w:rFonts w:ascii="Times New Roman" w:hAnsi="Times New Roman" w:cs="Times New Roman"/>
          <w:i/>
          <w:sz w:val="20"/>
          <w:szCs w:val="20"/>
        </w:rPr>
        <w:t>I</w:t>
      </w:r>
      <w:r w:rsidRPr="00D851F9">
        <w:rPr>
          <w:rFonts w:ascii="Times New Roman" w:hAnsi="Times New Roman" w:cs="Times New Roman"/>
          <w:i/>
          <w:sz w:val="20"/>
          <w:szCs w:val="20"/>
        </w:rPr>
        <w:t xml:space="preserve">d. </w:t>
      </w:r>
      <w:r w:rsidRPr="00D851F9">
        <w:rPr>
          <w:rFonts w:ascii="Times New Roman" w:hAnsi="Times New Roman" w:cs="Times New Roman"/>
          <w:sz w:val="20"/>
          <w:szCs w:val="20"/>
        </w:rPr>
        <w:t>at 960</w:t>
      </w:r>
      <w:r w:rsidRPr="00D851F9">
        <w:rPr>
          <w:rFonts w:ascii="Times New Roman" w:hAnsi="Times New Roman" w:cs="Times New Roman"/>
          <w:i/>
          <w:sz w:val="20"/>
          <w:szCs w:val="20"/>
        </w:rPr>
        <w:t xml:space="preserve">. </w:t>
      </w:r>
      <w:r w:rsidRPr="00D851F9">
        <w:rPr>
          <w:rFonts w:ascii="Times New Roman" w:hAnsi="Times New Roman" w:cs="Times New Roman"/>
          <w:sz w:val="20"/>
          <w:szCs w:val="20"/>
        </w:rPr>
        <w:t>She found that only the plain meaning rule and Supreme Court precedent to be used in a dueling manner, while other can</w:t>
      </w:r>
      <w:r>
        <w:rPr>
          <w:rFonts w:ascii="Times New Roman" w:hAnsi="Times New Roman" w:cs="Times New Roman"/>
          <w:sz w:val="20"/>
          <w:szCs w:val="20"/>
        </w:rPr>
        <w:t>ons commonly seen as suscep</w:t>
      </w:r>
      <w:r w:rsidRPr="00D851F9">
        <w:rPr>
          <w:rFonts w:ascii="Times New Roman" w:hAnsi="Times New Roman" w:cs="Times New Roman"/>
          <w:sz w:val="20"/>
          <w:szCs w:val="20"/>
        </w:rPr>
        <w:t xml:space="preserve">tible to multiple interpretations — such as legislative history- were often not invoked in a dueling way by justices. </w:t>
      </w:r>
      <w:r>
        <w:rPr>
          <w:rFonts w:ascii="Times New Roman" w:hAnsi="Times New Roman" w:cs="Times New Roman"/>
          <w:i/>
          <w:sz w:val="20"/>
          <w:szCs w:val="20"/>
        </w:rPr>
        <w:t>I</w:t>
      </w:r>
      <w:r w:rsidRPr="00D851F9">
        <w:rPr>
          <w:rFonts w:ascii="Times New Roman" w:hAnsi="Times New Roman" w:cs="Times New Roman"/>
          <w:i/>
          <w:sz w:val="20"/>
          <w:szCs w:val="20"/>
        </w:rPr>
        <w:t>d.</w:t>
      </w:r>
      <w:r w:rsidRPr="00D851F9">
        <w:rPr>
          <w:rFonts w:ascii="Times New Roman" w:hAnsi="Times New Roman" w:cs="Times New Roman"/>
          <w:sz w:val="20"/>
          <w:szCs w:val="20"/>
        </w:rPr>
        <w:t xml:space="preserve"> at 960.</w:t>
      </w:r>
    </w:p>
  </w:footnote>
  <w:footnote w:id="268">
    <w:p w14:paraId="0EB62F0F" w14:textId="13CE96E9" w:rsidR="00810AB4" w:rsidRPr="00D851F9" w:rsidRDefault="00810AB4" w:rsidP="00A0394F">
      <w:pPr>
        <w:spacing w:after="0" w:line="240" w:lineRule="auto"/>
        <w:rPr>
          <w:rFonts w:ascii="Times New Roman" w:hAnsi="Times New Roman" w:cs="Times New Roman"/>
          <w:smallCaps/>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James Brudney, </w:t>
      </w:r>
      <w:r w:rsidRPr="00D851F9">
        <w:rPr>
          <w:rFonts w:ascii="Times New Roman" w:hAnsi="Times New Roman" w:cs="Times New Roman"/>
          <w:i/>
          <w:sz w:val="20"/>
          <w:szCs w:val="20"/>
        </w:rPr>
        <w:t>Isolated and Politicized: The NLRB’s Uncertain Future</w:t>
      </w:r>
      <w:r w:rsidRPr="00D851F9">
        <w:rPr>
          <w:rFonts w:ascii="Times New Roman" w:hAnsi="Times New Roman" w:cs="Times New Roman"/>
          <w:sz w:val="20"/>
          <w:szCs w:val="20"/>
        </w:rPr>
        <w:t xml:space="preserve">, 26 </w:t>
      </w:r>
      <w:r w:rsidRPr="00D851F9">
        <w:rPr>
          <w:rFonts w:ascii="Times New Roman" w:hAnsi="Times New Roman" w:cs="Times New Roman"/>
          <w:smallCaps/>
          <w:sz w:val="20"/>
          <w:szCs w:val="20"/>
        </w:rPr>
        <w:t>Comp. Lab. L. &amp; Pol’y</w:t>
      </w:r>
      <w:r w:rsidRPr="00D851F9">
        <w:rPr>
          <w:rFonts w:ascii="Times New Roman" w:hAnsi="Times New Roman" w:cs="Times New Roman"/>
          <w:sz w:val="20"/>
          <w:szCs w:val="20"/>
        </w:rPr>
        <w:t xml:space="preserve">, 221, 244 &amp; n.10 (2005). </w:t>
      </w:r>
    </w:p>
  </w:footnote>
  <w:footnote w:id="269">
    <w:p w14:paraId="40E1BDFE" w14:textId="2CCBA292" w:rsidR="00810AB4" w:rsidRPr="00D851F9" w:rsidRDefault="00810AB4" w:rsidP="00AC4652">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O’Gorman,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16, at 200. </w:t>
      </w:r>
    </w:p>
  </w:footnote>
  <w:footnote w:id="270">
    <w:p w14:paraId="2F42973C" w14:textId="4A1C5516" w:rsidR="00810AB4" w:rsidRPr="00D851F9" w:rsidRDefault="00810AB4" w:rsidP="00AC4652">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Sunstein &amp; Vermeule,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5, at 928.</w:t>
      </w:r>
    </w:p>
  </w:footnote>
  <w:footnote w:id="271">
    <w:p w14:paraId="6EF16479" w14:textId="2A3185EE" w:rsidR="00810AB4" w:rsidRPr="00D851F9" w:rsidRDefault="00810AB4" w:rsidP="00AC4652">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O’Gorman,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16, at 200.</w:t>
      </w:r>
    </w:p>
  </w:footnote>
  <w:footnote w:id="272">
    <w:p w14:paraId="7FCA5718" w14:textId="20F753E6" w:rsidR="00810AB4" w:rsidRPr="00D851F9" w:rsidRDefault="00810AB4" w:rsidP="00AC4652">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216. </w:t>
      </w:r>
    </w:p>
  </w:footnote>
  <w:footnote w:id="273">
    <w:p w14:paraId="47F03F91" w14:textId="6959E6E2" w:rsidR="00810AB4" w:rsidRPr="00D851F9" w:rsidRDefault="00810AB4" w:rsidP="00B7705B">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at 217, 219 (noting that agencies should give “different weight to the sometimes conflicting purposes, policies and principles with and without the Act. And this is exactly what we expect from an administrative agency, and …is arguably what Congress expected from the Board”).</w:t>
      </w:r>
    </w:p>
  </w:footnote>
  <w:footnote w:id="274">
    <w:p w14:paraId="6B0DCB25" w14:textId="77777777" w:rsidR="00810AB4" w:rsidRPr="00D851F9" w:rsidRDefault="00810AB4" w:rsidP="00800118">
      <w:pPr>
        <w:pStyle w:val="FootnoteText"/>
      </w:pPr>
      <w:r w:rsidRPr="00D851F9">
        <w:rPr>
          <w:rStyle w:val="FootnoteReference"/>
        </w:rPr>
        <w:footnoteRef/>
      </w:r>
      <w:r w:rsidRPr="00D851F9">
        <w:t xml:space="preserve"> Walker, </w:t>
      </w:r>
      <w:r w:rsidRPr="00D851F9">
        <w:rPr>
          <w:i/>
        </w:rPr>
        <w:t>supra</w:t>
      </w:r>
      <w:r w:rsidRPr="00D851F9">
        <w:t xml:space="preserve"> note </w:t>
      </w:r>
      <w:r w:rsidRPr="00D851F9">
        <w:fldChar w:fldCharType="begin"/>
      </w:r>
      <w:r w:rsidRPr="00D851F9">
        <w:instrText xml:space="preserve"> NOTEREF _Ref460548149 \h  \* MERGEFORMAT </w:instrText>
      </w:r>
      <w:r w:rsidRPr="00D851F9">
        <w:fldChar w:fldCharType="separate"/>
      </w:r>
      <w:r w:rsidRPr="00D851F9">
        <w:t>6</w:t>
      </w:r>
      <w:r w:rsidRPr="00D851F9">
        <w:fldChar w:fldCharType="end"/>
      </w:r>
      <w:r w:rsidRPr="00D851F9">
        <w:t>, at 1067 (“federal agencies play a critical role in the legislative process such that rule drafters have the intimate understanding of legislative history that Strauss hypothesized nearly a quarter century ago”).</w:t>
      </w:r>
    </w:p>
  </w:footnote>
  <w:footnote w:id="275">
    <w:p w14:paraId="706C0223" w14:textId="0FFB7751" w:rsidR="00810AB4" w:rsidRPr="00D851F9" w:rsidRDefault="00810AB4" w:rsidP="006E2CC2">
      <w:pPr>
        <w:pStyle w:val="FootnoteText"/>
      </w:pPr>
      <w:r w:rsidRPr="00D851F9">
        <w:rPr>
          <w:rStyle w:val="FootnoteReference"/>
        </w:rPr>
        <w:footnoteRef/>
      </w:r>
      <w:r w:rsidRPr="00D851F9">
        <w:t xml:space="preserve"> </w:t>
      </w:r>
      <w:r w:rsidRPr="00D851F9">
        <w:rPr>
          <w:i/>
        </w:rPr>
        <w:t xml:space="preserve">See </w:t>
      </w:r>
      <w:r w:rsidRPr="00D851F9">
        <w:t xml:space="preserve">Elizabeth V. Foote, </w:t>
      </w:r>
      <w:r w:rsidRPr="00D851F9">
        <w:rPr>
          <w:i/>
        </w:rPr>
        <w:t>Statutory Interpretation or Public Administration: How Chevron Misconstrues the Function of Agencies and Why It Matters</w:t>
      </w:r>
      <w:r w:rsidRPr="00D851F9">
        <w:t xml:space="preserve">, 59 </w:t>
      </w:r>
      <w:r w:rsidRPr="00D851F9">
        <w:rPr>
          <w:smallCaps/>
        </w:rPr>
        <w:t>Admin. L. Rev</w:t>
      </w:r>
      <w:r w:rsidRPr="00D851F9">
        <w:t>. 673, 707 (2007).</w:t>
      </w:r>
    </w:p>
  </w:footnote>
  <w:footnote w:id="276">
    <w:p w14:paraId="0147558B" w14:textId="5AF816CB" w:rsidR="00810AB4" w:rsidRPr="00D851F9" w:rsidRDefault="00810AB4" w:rsidP="00800118">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O’Gorman,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16, at 215-216; Mashaw,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4, at 510.</w:t>
      </w:r>
    </w:p>
  </w:footnote>
  <w:footnote w:id="277">
    <w:p w14:paraId="3220CFF7" w14:textId="797AF15E" w:rsidR="00810AB4" w:rsidRPr="00D851F9" w:rsidRDefault="00810AB4" w:rsidP="00D30C91">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Mashaw,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4, at 510.</w:t>
      </w:r>
    </w:p>
  </w:footnote>
  <w:footnote w:id="278">
    <w:p w14:paraId="31B4C00B" w14:textId="77777777" w:rsidR="00810AB4" w:rsidRPr="00D851F9" w:rsidRDefault="00810AB4" w:rsidP="00800118">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Pierce,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w:t>
      </w:r>
      <w:r w:rsidRPr="00D851F9">
        <w:rPr>
          <w:rFonts w:ascii="Times New Roman" w:hAnsi="Times New Roman" w:cs="Times New Roman"/>
          <w:sz w:val="20"/>
          <w:szCs w:val="20"/>
        </w:rPr>
        <w:fldChar w:fldCharType="begin"/>
      </w:r>
      <w:r w:rsidRPr="00D851F9">
        <w:rPr>
          <w:rFonts w:ascii="Times New Roman" w:hAnsi="Times New Roman" w:cs="Times New Roman"/>
          <w:sz w:val="20"/>
          <w:szCs w:val="20"/>
        </w:rPr>
        <w:instrText xml:space="preserve"> NOTEREF _Ref460545273 \h  \* MERGEFORMAT </w:instrText>
      </w:r>
      <w:r w:rsidRPr="00D851F9">
        <w:rPr>
          <w:rFonts w:ascii="Times New Roman" w:hAnsi="Times New Roman" w:cs="Times New Roman"/>
          <w:sz w:val="20"/>
          <w:szCs w:val="20"/>
        </w:rPr>
      </w:r>
      <w:r w:rsidRPr="00D851F9">
        <w:rPr>
          <w:rFonts w:ascii="Times New Roman" w:hAnsi="Times New Roman" w:cs="Times New Roman"/>
          <w:sz w:val="20"/>
          <w:szCs w:val="20"/>
        </w:rPr>
        <w:fldChar w:fldCharType="separate"/>
      </w:r>
      <w:r w:rsidRPr="00D851F9">
        <w:rPr>
          <w:rFonts w:ascii="Times New Roman" w:hAnsi="Times New Roman" w:cs="Times New Roman"/>
          <w:sz w:val="20"/>
          <w:szCs w:val="20"/>
        </w:rPr>
        <w:t>2</w:t>
      </w:r>
      <w:r w:rsidRPr="00D851F9">
        <w:rPr>
          <w:rFonts w:ascii="Times New Roman" w:hAnsi="Times New Roman" w:cs="Times New Roman"/>
          <w:sz w:val="20"/>
          <w:szCs w:val="20"/>
        </w:rPr>
        <w:fldChar w:fldCharType="end"/>
      </w:r>
      <w:r w:rsidRPr="00D851F9">
        <w:rPr>
          <w:rFonts w:ascii="Times New Roman" w:hAnsi="Times New Roman" w:cs="Times New Roman"/>
          <w:sz w:val="20"/>
          <w:szCs w:val="20"/>
        </w:rPr>
        <w:t xml:space="preserve">, at 200. </w:t>
      </w:r>
    </w:p>
  </w:footnote>
  <w:footnote w:id="279">
    <w:p w14:paraId="7E383BEF" w14:textId="0D5EF0F6" w:rsidR="00810AB4" w:rsidRPr="00D851F9" w:rsidRDefault="00810AB4" w:rsidP="00800118">
      <w:pPr>
        <w:pStyle w:val="FootnoteText"/>
      </w:pPr>
      <w:r w:rsidRPr="00D851F9">
        <w:rPr>
          <w:rStyle w:val="FootnoteReference"/>
        </w:rPr>
        <w:footnoteRef/>
      </w:r>
      <w:r w:rsidRPr="00D851F9">
        <w:t xml:space="preserve"> Fisk &amp; Malamud, </w:t>
      </w:r>
      <w:r w:rsidRPr="00D851F9">
        <w:rPr>
          <w:i/>
        </w:rPr>
        <w:t xml:space="preserve">supra </w:t>
      </w:r>
      <w:r w:rsidRPr="00D851F9">
        <w:t xml:space="preserve">note 18, at 2019. </w:t>
      </w:r>
    </w:p>
  </w:footnote>
  <w:footnote w:id="280">
    <w:p w14:paraId="7C346D25" w14:textId="1201335D" w:rsidR="00810AB4" w:rsidRPr="00D851F9" w:rsidRDefault="00810AB4" w:rsidP="00800118">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2057 (“The Board continues to operate like a court, limiting itself to the specific issues brought to it by its general counsel, failing to bring multiple areas of Board doctrine together to enrich its understanding and amplify its remedial capacities, and most of all, using rights rhetoric as a way to mask what would otherwise be its obligation to seek out (let alone generate) empirical assessments of the effects of its policies.”). </w:t>
      </w:r>
    </w:p>
  </w:footnote>
  <w:footnote w:id="281">
    <w:p w14:paraId="4A4A681C" w14:textId="3FA285A2" w:rsidR="00810AB4" w:rsidRPr="00D851F9" w:rsidRDefault="00810AB4" w:rsidP="00F7460F">
      <w:pPr>
        <w:pStyle w:val="FootnoteText"/>
      </w:pPr>
      <w:r w:rsidRPr="00D851F9">
        <w:rPr>
          <w:rStyle w:val="FootnoteReference"/>
        </w:rPr>
        <w:footnoteRef/>
      </w:r>
      <w:r w:rsidRPr="00D851F9">
        <w:t xml:space="preserve"> Browning-Ferris Industries, Inc.</w:t>
      </w:r>
      <w:r w:rsidRPr="00D851F9">
        <w:rPr>
          <w:i/>
        </w:rPr>
        <w:t>,</w:t>
      </w:r>
      <w:r w:rsidRPr="00D851F9">
        <w:t xml:space="preserve">362 N.L.R.B. at 26. The dissenters continued: “We believe the majority’s test will actually foster substantial bargaining instability by requiring nonconsensual presence of too many entities with diverse and conflicting interests on the ‘employer’ side.” </w:t>
      </w:r>
      <w:r w:rsidRPr="00D851F9">
        <w:rPr>
          <w:i/>
        </w:rPr>
        <w:t>Id.</w:t>
      </w:r>
      <w:r w:rsidRPr="00D851F9">
        <w:t xml:space="preserve"> at 25.</w:t>
      </w:r>
    </w:p>
  </w:footnote>
  <w:footnote w:id="282">
    <w:p w14:paraId="5A22ABA3" w14:textId="77777777" w:rsidR="00810AB4" w:rsidRPr="00D851F9" w:rsidRDefault="00810AB4" w:rsidP="005731CB">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James Landis, </w:t>
      </w:r>
      <w:r w:rsidRPr="00D851F9">
        <w:rPr>
          <w:rFonts w:ascii="Times New Roman" w:hAnsi="Times New Roman" w:cs="Times New Roman"/>
          <w:smallCaps/>
          <w:sz w:val="20"/>
          <w:szCs w:val="20"/>
        </w:rPr>
        <w:t>The Administrative Process</w:t>
      </w:r>
      <w:r w:rsidRPr="00D851F9">
        <w:rPr>
          <w:rFonts w:ascii="Times New Roman" w:hAnsi="Times New Roman" w:cs="Times New Roman"/>
          <w:sz w:val="20"/>
          <w:szCs w:val="20"/>
        </w:rPr>
        <w:t xml:space="preserve"> 38-39 (1938). </w:t>
      </w:r>
    </w:p>
  </w:footnote>
  <w:footnote w:id="283">
    <w:p w14:paraId="7F1F7C01" w14:textId="14EA1D15" w:rsidR="00810AB4" w:rsidRPr="00D851F9" w:rsidRDefault="00810AB4" w:rsidP="005731CB">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Fisk &amp; Malamud,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 xml:space="preserve">note 18, at 2015. The NLRB for instances states that “Nothing in this Act shall be construed to authorize the Board to appoint individuals for the purpose of conciliation or mediation, or for economic analysis.” N.L.R.B., 29 U.S.C. § 154(b) (2006) (added by Taft-Hartley Act, Pub. L. No. 80-101, 61 Stat. 136 (1947); James Gross, </w:t>
      </w:r>
      <w:r w:rsidRPr="00D851F9">
        <w:rPr>
          <w:rFonts w:ascii="Times New Roman" w:hAnsi="Times New Roman" w:cs="Times New Roman"/>
          <w:smallCaps/>
          <w:sz w:val="20"/>
          <w:szCs w:val="20"/>
        </w:rPr>
        <w:t>The Remaking of the National Labor Relations Board: National Labor Policy in Transition, 1937-1947</w:t>
      </w:r>
      <w:r w:rsidRPr="00D851F9">
        <w:rPr>
          <w:rFonts w:ascii="Times New Roman" w:hAnsi="Times New Roman" w:cs="Times New Roman"/>
          <w:sz w:val="20"/>
          <w:szCs w:val="20"/>
        </w:rPr>
        <w:t xml:space="preserve">, at 5-225 (1981) (recounting history of Taft-Hartley). </w:t>
      </w:r>
    </w:p>
  </w:footnote>
  <w:footnote w:id="284">
    <w:p w14:paraId="18278505" w14:textId="23483D0A" w:rsidR="00810AB4" w:rsidRPr="00D851F9" w:rsidRDefault="00810AB4" w:rsidP="00800118">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Fisk &amp; Malamud,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18, at 2048 n.134. In the 1940s, the Smith Committee held hearings about the NLRB, concerned that was acting too much in a pro-labor direction. </w:t>
      </w:r>
      <w:r w:rsidRPr="00D851F9">
        <w:rPr>
          <w:rFonts w:ascii="Times New Roman" w:hAnsi="Times New Roman" w:cs="Times New Roman"/>
          <w:i/>
          <w:sz w:val="20"/>
          <w:szCs w:val="20"/>
        </w:rPr>
        <w:t>Id.</w:t>
      </w:r>
    </w:p>
  </w:footnote>
  <w:footnote w:id="285">
    <w:p w14:paraId="3F26E017" w14:textId="7A264687" w:rsidR="00810AB4" w:rsidRPr="00D851F9" w:rsidRDefault="00810AB4" w:rsidP="00800118">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2045, 2049. Labor Secretary Francis Perkins campaigned for the NLRB to be a part of the DOL instead of an independent agency. </w:t>
      </w:r>
      <w:r w:rsidRPr="00D851F9">
        <w:rPr>
          <w:rFonts w:ascii="Times New Roman" w:hAnsi="Times New Roman" w:cs="Times New Roman"/>
          <w:i/>
          <w:sz w:val="20"/>
          <w:szCs w:val="20"/>
        </w:rPr>
        <w:t>Id.</w:t>
      </w:r>
      <w:r w:rsidRPr="00D851F9">
        <w:rPr>
          <w:rFonts w:ascii="Times New Roman" w:hAnsi="Times New Roman" w:cs="Times New Roman"/>
          <w:sz w:val="20"/>
          <w:szCs w:val="20"/>
        </w:rPr>
        <w:t xml:space="preserve"> at 2045. </w:t>
      </w:r>
    </w:p>
  </w:footnote>
  <w:footnote w:id="286">
    <w:p w14:paraId="516FB2F0" w14:textId="2923B0B6" w:rsidR="00810AB4" w:rsidRPr="00D851F9" w:rsidRDefault="00810AB4" w:rsidP="00800118">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2051. </w:t>
      </w:r>
    </w:p>
  </w:footnote>
  <w:footnote w:id="287">
    <w:p w14:paraId="45308032" w14:textId="3368BD9A" w:rsidR="00810AB4" w:rsidRPr="00D851F9" w:rsidRDefault="00810AB4" w:rsidP="00800118">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Id. </w:t>
      </w:r>
      <w:r w:rsidRPr="00D851F9">
        <w:rPr>
          <w:rFonts w:ascii="Times New Roman" w:hAnsi="Times New Roman" w:cs="Times New Roman"/>
          <w:sz w:val="20"/>
          <w:szCs w:val="20"/>
        </w:rPr>
        <w:t xml:space="preserve">at 2045. </w:t>
      </w:r>
    </w:p>
  </w:footnote>
  <w:footnote w:id="288">
    <w:p w14:paraId="6B6C10EA" w14:textId="44574206" w:rsidR="00810AB4" w:rsidRPr="00D851F9" w:rsidRDefault="00810AB4" w:rsidP="004D68DE">
      <w:pPr>
        <w:pStyle w:val="FootnoteText"/>
      </w:pPr>
      <w:r w:rsidRPr="00D851F9">
        <w:rPr>
          <w:rStyle w:val="FootnoteReference"/>
        </w:rPr>
        <w:footnoteRef/>
      </w:r>
      <w:r w:rsidRPr="00D851F9">
        <w:t xml:space="preserve"> Foote, </w:t>
      </w:r>
      <w:r w:rsidRPr="00D851F9">
        <w:rPr>
          <w:i/>
        </w:rPr>
        <w:t xml:space="preserve">supra </w:t>
      </w:r>
      <w:r>
        <w:t>note 275</w:t>
      </w:r>
      <w:r w:rsidRPr="00D851F9">
        <w:t>, at 678.</w:t>
      </w:r>
    </w:p>
  </w:footnote>
  <w:footnote w:id="289">
    <w:p w14:paraId="3DE61C06" w14:textId="4E0AE97E" w:rsidR="00810AB4" w:rsidRPr="00D851F9" w:rsidRDefault="00810AB4" w:rsidP="00EB4DE9">
      <w:pPr>
        <w:pStyle w:val="FootnoteText"/>
      </w:pPr>
      <w:r w:rsidRPr="00D851F9">
        <w:rPr>
          <w:rStyle w:val="FootnoteReference"/>
        </w:rPr>
        <w:footnoteRef/>
      </w:r>
      <w:r w:rsidRPr="00D851F9">
        <w:rPr>
          <w:rStyle w:val="FootnoteReference"/>
        </w:rPr>
        <w:t xml:space="preserve"> </w:t>
      </w:r>
      <w:r w:rsidRPr="00D851F9">
        <w:rPr>
          <w:i/>
        </w:rPr>
        <w:t xml:space="preserve">See, e.g., </w:t>
      </w:r>
      <w:r w:rsidRPr="00D851F9">
        <w:t xml:space="preserve">Alexander Acosta, </w:t>
      </w:r>
      <w:r w:rsidRPr="00D851F9">
        <w:rPr>
          <w:i/>
        </w:rPr>
        <w:t>Rebuilding the Board: An Argument for Structural Change, Over Policy Prescription</w:t>
      </w:r>
      <w:r w:rsidRPr="00D851F9">
        <w:t xml:space="preserve">, </w:t>
      </w:r>
      <w:r w:rsidRPr="00D851F9">
        <w:rPr>
          <w:i/>
        </w:rPr>
        <w:t>at the NLRB</w:t>
      </w:r>
      <w:r w:rsidRPr="00D851F9">
        <w:t xml:space="preserve">, 5 </w:t>
      </w:r>
      <w:r w:rsidRPr="00D851F9">
        <w:rPr>
          <w:smallCaps/>
        </w:rPr>
        <w:t>Fla. Int’l L. Rev</w:t>
      </w:r>
      <w:r w:rsidRPr="00D851F9">
        <w:t xml:space="preserve">. 347, 359 (2010) (arguing that rulemaking “will help stabilize Board law and restore public and judicial confidence in the agency”).; Charlotte Garden, </w:t>
      </w:r>
      <w:r w:rsidRPr="00D851F9">
        <w:rPr>
          <w:i/>
        </w:rPr>
        <w:t>Toward Politically Stable NLRB Lawmaking: Rulemaking vs. Adjudication</w:t>
      </w:r>
      <w:r w:rsidRPr="00D851F9">
        <w:t xml:space="preserve">, 64 </w:t>
      </w:r>
      <w:r w:rsidRPr="00D851F9">
        <w:rPr>
          <w:smallCaps/>
        </w:rPr>
        <w:t>Emory L. J.</w:t>
      </w:r>
      <w:r w:rsidRPr="00D851F9">
        <w:t xml:space="preserve"> 1469, 1473-77 (2015). There are of course disadvantages to rulemaking as well, as it involves more time and cost and offers less flexibility to respond to changing circumstances in the near term. </w:t>
      </w:r>
      <w:r w:rsidRPr="00D851F9">
        <w:rPr>
          <w:i/>
        </w:rPr>
        <w:t>See</w:t>
      </w:r>
      <w:r w:rsidRPr="00D851F9">
        <w:t xml:space="preserve"> Acosta, </w:t>
      </w:r>
      <w:r w:rsidRPr="00D851F9">
        <w:rPr>
          <w:i/>
        </w:rPr>
        <w:t xml:space="preserve">supra </w:t>
      </w:r>
      <w:r w:rsidRPr="00D851F9">
        <w:t>note 28</w:t>
      </w:r>
      <w:r>
        <w:t>9</w:t>
      </w:r>
      <w:r w:rsidRPr="00D851F9">
        <w:t xml:space="preserve">, at 357-58. </w:t>
      </w:r>
    </w:p>
  </w:footnote>
  <w:footnote w:id="290">
    <w:p w14:paraId="33BFF4A2" w14:textId="2D4FA17B" w:rsidR="00810AB4" w:rsidRPr="00D851F9" w:rsidRDefault="00810AB4">
      <w:pPr>
        <w:pStyle w:val="FootnoteText"/>
      </w:pPr>
      <w:r w:rsidRPr="00D851F9">
        <w:rPr>
          <w:rStyle w:val="FootnoteReference"/>
        </w:rPr>
        <w:footnoteRef/>
      </w:r>
      <w:r w:rsidRPr="00D851F9">
        <w:t xml:space="preserve"> For instance, the Board so frequently chooses who qualifies as an “employee” under the NLRA that no doubt the appellate courts find it difficult to keep up.</w:t>
      </w:r>
    </w:p>
  </w:footnote>
  <w:footnote w:id="291">
    <w:p w14:paraId="6B6526C6" w14:textId="594ABE74" w:rsidR="00810AB4" w:rsidRPr="00D851F9" w:rsidRDefault="00810AB4" w:rsidP="005E15A5">
      <w:pPr>
        <w:pStyle w:val="FootnoteText"/>
      </w:pPr>
      <w:r w:rsidRPr="00D851F9">
        <w:rPr>
          <w:rStyle w:val="FootnoteReference"/>
        </w:rPr>
        <w:footnoteRef/>
      </w:r>
      <w:r w:rsidRPr="00D851F9">
        <w:rPr>
          <w:i/>
        </w:rPr>
        <w:t xml:space="preserve"> See</w:t>
      </w:r>
      <w:r w:rsidRPr="00D851F9">
        <w:t xml:space="preserve"> Acosta, </w:t>
      </w:r>
      <w:r w:rsidRPr="00D851F9">
        <w:rPr>
          <w:i/>
        </w:rPr>
        <w:t>supra</w:t>
      </w:r>
      <w:r w:rsidRPr="00D851F9">
        <w:t xml:space="preserve"> note 28</w:t>
      </w:r>
      <w:r>
        <w:t>9</w:t>
      </w:r>
      <w:r w:rsidRPr="00D851F9">
        <w:t xml:space="preserve">, at 359; Tuck, </w:t>
      </w:r>
      <w:r w:rsidRPr="00D851F9">
        <w:rPr>
          <w:i/>
        </w:rPr>
        <w:t>supra</w:t>
      </w:r>
      <w:r w:rsidRPr="00D851F9">
        <w:t xml:space="preserve"> note 119, at 1117 (proposing policy statements as alternative to rulemaking).  </w:t>
      </w:r>
    </w:p>
  </w:footnote>
  <w:footnote w:id="292">
    <w:p w14:paraId="72467697" w14:textId="7E5F8074" w:rsidR="00810AB4" w:rsidRPr="00D851F9" w:rsidRDefault="00810AB4" w:rsidP="00973BDE">
      <w:pPr>
        <w:pStyle w:val="FootnoteText"/>
      </w:pPr>
      <w:r w:rsidRPr="00D851F9">
        <w:rPr>
          <w:rStyle w:val="FootnoteReference"/>
        </w:rPr>
        <w:footnoteRef/>
      </w:r>
      <w:r w:rsidRPr="00D851F9">
        <w:t xml:space="preserve"> Foote, </w:t>
      </w:r>
      <w:r w:rsidRPr="00D851F9">
        <w:rPr>
          <w:i/>
        </w:rPr>
        <w:t xml:space="preserve">supra </w:t>
      </w:r>
      <w:r>
        <w:t>note 275</w:t>
      </w:r>
      <w:r w:rsidRPr="00D851F9">
        <w:t xml:space="preserve">, at 681. </w:t>
      </w:r>
    </w:p>
  </w:footnote>
  <w:footnote w:id="293">
    <w:p w14:paraId="228D617C" w14:textId="7EF05FD3" w:rsidR="00810AB4" w:rsidRPr="00D851F9" w:rsidRDefault="00810AB4" w:rsidP="005E15A5">
      <w:pPr>
        <w:pStyle w:val="FootnoteText"/>
      </w:pPr>
      <w:r w:rsidRPr="00D851F9">
        <w:rPr>
          <w:rStyle w:val="FootnoteReference"/>
        </w:rPr>
        <w:footnoteRef/>
      </w:r>
      <w:r w:rsidRPr="00D851F9">
        <w:t xml:space="preserve"> </w:t>
      </w:r>
      <w:r w:rsidRPr="00D851F9">
        <w:rPr>
          <w:i/>
        </w:rPr>
        <w:t>See</w:t>
      </w:r>
      <w:r w:rsidRPr="00D851F9">
        <w:t xml:space="preserve"> Acosta, </w:t>
      </w:r>
      <w:r w:rsidRPr="00D851F9">
        <w:rPr>
          <w:i/>
        </w:rPr>
        <w:t>supra</w:t>
      </w:r>
      <w:r w:rsidRPr="00D851F9">
        <w:t xml:space="preserve"> note 28</w:t>
      </w:r>
      <w:r>
        <w:t>9</w:t>
      </w:r>
      <w:r w:rsidRPr="00D851F9">
        <w:t>, at 352.</w:t>
      </w:r>
      <w:r w:rsidRPr="00D851F9">
        <w:rPr>
          <w:i/>
        </w:rPr>
        <w:t xml:space="preserve"> </w:t>
      </w:r>
    </w:p>
  </w:footnote>
  <w:footnote w:id="294">
    <w:p w14:paraId="24E186B9" w14:textId="1BB1C083" w:rsidR="00810AB4" w:rsidRPr="00D851F9" w:rsidRDefault="00810AB4" w:rsidP="005E15A5">
      <w:pPr>
        <w:pStyle w:val="FootnoteText"/>
      </w:pPr>
      <w:r w:rsidRPr="00D851F9">
        <w:rPr>
          <w:rStyle w:val="FootnoteReference"/>
        </w:rPr>
        <w:footnoteRef/>
      </w:r>
      <w:r w:rsidRPr="00D851F9">
        <w:t xml:space="preserve"> </w:t>
      </w:r>
      <w:r w:rsidRPr="00D851F9">
        <w:rPr>
          <w:i/>
        </w:rPr>
        <w:t>See</w:t>
      </w:r>
      <w:r w:rsidRPr="00D851F9">
        <w:t xml:space="preserve"> Garden, </w:t>
      </w:r>
      <w:r w:rsidRPr="00D851F9">
        <w:rPr>
          <w:i/>
        </w:rPr>
        <w:t>supra</w:t>
      </w:r>
      <w:r w:rsidRPr="00D851F9">
        <w:t xml:space="preserve"> note 28</w:t>
      </w:r>
      <w:r>
        <w:t>9</w:t>
      </w:r>
      <w:r w:rsidRPr="00D851F9">
        <w:t>, at 1475.</w:t>
      </w:r>
    </w:p>
  </w:footnote>
  <w:footnote w:id="295">
    <w:p w14:paraId="7D60B751" w14:textId="0727E981" w:rsidR="00810AB4" w:rsidRPr="00D851F9" w:rsidRDefault="00810AB4" w:rsidP="001571D4">
      <w:pPr>
        <w:pStyle w:val="FootnoteText"/>
      </w:pPr>
      <w:r w:rsidRPr="00D851F9">
        <w:rPr>
          <w:rStyle w:val="FootnoteReference"/>
        </w:rPr>
        <w:footnoteRef/>
      </w:r>
      <w:r w:rsidRPr="00D851F9">
        <w:t xml:space="preserve"> Fish &amp; Malamud, </w:t>
      </w:r>
      <w:r w:rsidRPr="00D851F9">
        <w:rPr>
          <w:i/>
        </w:rPr>
        <w:t>supra</w:t>
      </w:r>
      <w:r w:rsidRPr="00D851F9">
        <w:t xml:space="preserve"> note 18, at 2019. </w:t>
      </w:r>
    </w:p>
  </w:footnote>
  <w:footnote w:id="296">
    <w:p w14:paraId="24A6EF20" w14:textId="77777777" w:rsidR="00810AB4" w:rsidRPr="00D851F9" w:rsidRDefault="00810AB4" w:rsidP="00EB4DE9">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Jud Mathews, </w:t>
      </w:r>
      <w:r w:rsidRPr="00D851F9">
        <w:rPr>
          <w:rFonts w:ascii="Times New Roman" w:hAnsi="Times New Roman" w:cs="Times New Roman"/>
          <w:i/>
          <w:sz w:val="20"/>
          <w:szCs w:val="20"/>
        </w:rPr>
        <w:t>Deference Lotteries</w:t>
      </w:r>
      <w:r w:rsidRPr="00D851F9">
        <w:rPr>
          <w:rFonts w:ascii="Times New Roman" w:hAnsi="Times New Roman" w:cs="Times New Roman"/>
          <w:sz w:val="20"/>
          <w:szCs w:val="20"/>
        </w:rPr>
        <w:t xml:space="preserve">, 91 </w:t>
      </w:r>
      <w:r w:rsidRPr="00D851F9">
        <w:rPr>
          <w:rFonts w:ascii="Times New Roman" w:hAnsi="Times New Roman" w:cs="Times New Roman"/>
          <w:smallCaps/>
          <w:sz w:val="20"/>
          <w:szCs w:val="20"/>
        </w:rPr>
        <w:t>Tex. L. Rev.</w:t>
      </w:r>
      <w:r w:rsidRPr="00D851F9">
        <w:rPr>
          <w:rFonts w:ascii="Times New Roman" w:hAnsi="Times New Roman" w:cs="Times New Roman"/>
          <w:sz w:val="20"/>
          <w:szCs w:val="20"/>
        </w:rPr>
        <w:t xml:space="preserve"> 1349, 1349 (2013) (arguing that agencies cannot predict what deference standard an appellate court will apply).  </w:t>
      </w:r>
    </w:p>
  </w:footnote>
  <w:footnote w:id="297">
    <w:p w14:paraId="7075DC9A" w14:textId="1679DFB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 xml:space="preserve">See </w:t>
      </w:r>
      <w:r w:rsidRPr="00D851F9">
        <w:rPr>
          <w:rFonts w:ascii="Times New Roman" w:hAnsi="Times New Roman" w:cs="Times New Roman"/>
          <w:sz w:val="20"/>
          <w:szCs w:val="20"/>
        </w:rPr>
        <w:t xml:space="preserve">O’Gorman,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16, at 179.</w:t>
      </w:r>
    </w:p>
  </w:footnote>
  <w:footnote w:id="298">
    <w:p w14:paraId="32173309" w14:textId="30B28C95"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Czarnezski,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w:t>
      </w:r>
      <w:r>
        <w:rPr>
          <w:rFonts w:ascii="Times New Roman" w:hAnsi="Times New Roman" w:cs="Times New Roman"/>
          <w:sz w:val="20"/>
          <w:szCs w:val="20"/>
        </w:rPr>
        <w:t xml:space="preserve"> 265</w:t>
      </w:r>
      <w:r w:rsidRPr="00D851F9">
        <w:rPr>
          <w:rFonts w:ascii="Times New Roman" w:hAnsi="Times New Roman" w:cs="Times New Roman"/>
          <w:sz w:val="20"/>
          <w:szCs w:val="20"/>
        </w:rPr>
        <w:t xml:space="preserve">, at 770-771 (2008) (noting that “there remains much confusion and conflation in the circuits over how to apply the Chevron doctrine”). </w:t>
      </w:r>
    </w:p>
  </w:footnote>
  <w:footnote w:id="299">
    <w:p w14:paraId="2A8DDED3" w14:textId="318C5CC2" w:rsidR="00810AB4" w:rsidRPr="00D851F9" w:rsidRDefault="00810AB4" w:rsidP="009F176D">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w:t>
      </w:r>
      <w:r w:rsidRPr="00D851F9">
        <w:rPr>
          <w:rFonts w:ascii="Times New Roman" w:hAnsi="Times New Roman" w:cs="Times New Roman"/>
          <w:i/>
          <w:sz w:val="20"/>
          <w:szCs w:val="20"/>
        </w:rPr>
        <w:t>See</w:t>
      </w:r>
      <w:r w:rsidRPr="00D851F9">
        <w:rPr>
          <w:rFonts w:ascii="Times New Roman" w:hAnsi="Times New Roman" w:cs="Times New Roman"/>
          <w:sz w:val="20"/>
          <w:szCs w:val="20"/>
        </w:rPr>
        <w:t xml:space="preserve"> Foote, </w:t>
      </w:r>
      <w:r w:rsidRPr="00D851F9">
        <w:rPr>
          <w:rFonts w:ascii="Times New Roman" w:hAnsi="Times New Roman" w:cs="Times New Roman"/>
          <w:i/>
          <w:sz w:val="20"/>
          <w:szCs w:val="20"/>
        </w:rPr>
        <w:t xml:space="preserve">supra </w:t>
      </w:r>
      <w:r w:rsidRPr="00D851F9">
        <w:rPr>
          <w:rFonts w:ascii="Times New Roman" w:hAnsi="Times New Roman" w:cs="Times New Roman"/>
          <w:sz w:val="20"/>
          <w:szCs w:val="20"/>
        </w:rPr>
        <w:t>note 27</w:t>
      </w:r>
      <w:r>
        <w:rPr>
          <w:rFonts w:ascii="Times New Roman" w:hAnsi="Times New Roman" w:cs="Times New Roman"/>
          <w:sz w:val="20"/>
          <w:szCs w:val="20"/>
        </w:rPr>
        <w:t>5</w:t>
      </w:r>
      <w:r w:rsidRPr="00D851F9">
        <w:rPr>
          <w:rFonts w:ascii="Times New Roman" w:hAnsi="Times New Roman" w:cs="Times New Roman"/>
          <w:sz w:val="20"/>
          <w:szCs w:val="20"/>
        </w:rPr>
        <w:t xml:space="preserve">, at 722-23 (2007) (“Through its </w:t>
      </w:r>
      <w:r w:rsidRPr="00D851F9">
        <w:rPr>
          <w:rFonts w:ascii="Times New Roman" w:hAnsi="Times New Roman" w:cs="Times New Roman"/>
          <w:i/>
          <w:sz w:val="20"/>
          <w:szCs w:val="20"/>
        </w:rPr>
        <w:t>Chevron</w:t>
      </w:r>
      <w:r w:rsidRPr="00D851F9">
        <w:rPr>
          <w:rFonts w:ascii="Times New Roman" w:hAnsi="Times New Roman" w:cs="Times New Roman"/>
          <w:sz w:val="20"/>
          <w:szCs w:val="20"/>
        </w:rPr>
        <w:t xml:space="preserve"> doctrines, the Supreme Court reconceived the core function of administrative agencies as statutory construction, modeled in the judicial process, instead of the actual legal function of public administration, which is operational implementation of statutory programs.”).</w:t>
      </w:r>
    </w:p>
  </w:footnote>
  <w:footnote w:id="300">
    <w:p w14:paraId="01EE5EB6" w14:textId="06C1A450" w:rsidR="00810AB4" w:rsidRPr="00D851F9" w:rsidRDefault="00810AB4" w:rsidP="009F176D">
      <w:pPr>
        <w:pStyle w:val="FootnoteText"/>
      </w:pPr>
      <w:r w:rsidRPr="00D851F9">
        <w:rPr>
          <w:rStyle w:val="FootnoteReference"/>
        </w:rPr>
        <w:footnoteRef/>
      </w:r>
      <w:r w:rsidRPr="00D851F9">
        <w:t xml:space="preserve"> </w:t>
      </w:r>
      <w:r w:rsidRPr="00D851F9">
        <w:rPr>
          <w:i/>
        </w:rPr>
        <w:t>Id.</w:t>
      </w:r>
      <w:r w:rsidRPr="00D851F9">
        <w:t xml:space="preserve"> at 674.</w:t>
      </w:r>
    </w:p>
  </w:footnote>
  <w:footnote w:id="301">
    <w:p w14:paraId="700B5FB3" w14:textId="1BA5B211" w:rsidR="00810AB4" w:rsidRPr="00D851F9" w:rsidRDefault="00810AB4" w:rsidP="00573A5C">
      <w:pPr>
        <w:pStyle w:val="FootnoteText"/>
      </w:pPr>
      <w:r w:rsidRPr="00D851F9">
        <w:rPr>
          <w:rStyle w:val="FootnoteReference"/>
        </w:rPr>
        <w:footnoteRef/>
      </w:r>
      <w:r w:rsidRPr="00D851F9">
        <w:t xml:space="preserve"> </w:t>
      </w:r>
      <w:r w:rsidRPr="00D851F9">
        <w:rPr>
          <w:i/>
        </w:rPr>
        <w:t xml:space="preserve">Id. </w:t>
      </w:r>
      <w:r w:rsidRPr="00D851F9">
        <w:t>at 707.</w:t>
      </w:r>
    </w:p>
  </w:footnote>
  <w:footnote w:id="302">
    <w:p w14:paraId="2BCF4C8B" w14:textId="77777777" w:rsidR="00810AB4" w:rsidRPr="00D851F9" w:rsidRDefault="00810AB4" w:rsidP="0007447F">
      <w:pPr>
        <w:pStyle w:val="FootnoteText"/>
      </w:pPr>
      <w:r w:rsidRPr="00D851F9">
        <w:rPr>
          <w:rStyle w:val="FootnoteReference"/>
        </w:rPr>
        <w:footnoteRef/>
      </w:r>
      <w:r w:rsidRPr="00D851F9">
        <w:t xml:space="preserve"> </w:t>
      </w:r>
      <w:r w:rsidRPr="00D851F9">
        <w:rPr>
          <w:i/>
        </w:rPr>
        <w:t>Id.</w:t>
      </w:r>
      <w:r w:rsidRPr="00D851F9">
        <w:t xml:space="preserve"> at 674.</w:t>
      </w:r>
    </w:p>
  </w:footnote>
  <w:footnote w:id="303">
    <w:p w14:paraId="4AB8356E" w14:textId="499FB1F1" w:rsidR="00810AB4" w:rsidRPr="00D851F9" w:rsidRDefault="00810AB4" w:rsidP="0007447F">
      <w:pPr>
        <w:pStyle w:val="FootnoteText"/>
      </w:pPr>
      <w:r w:rsidRPr="00D851F9">
        <w:rPr>
          <w:rStyle w:val="FootnoteReference"/>
        </w:rPr>
        <w:footnoteRef/>
      </w:r>
      <w:r w:rsidRPr="00D851F9">
        <w:t xml:space="preserve"> </w:t>
      </w:r>
      <w:r w:rsidRPr="00D851F9">
        <w:rPr>
          <w:i/>
        </w:rPr>
        <w:t>Id.</w:t>
      </w:r>
      <w:r w:rsidRPr="00D851F9">
        <w:t xml:space="preserve"> at 675.</w:t>
      </w:r>
    </w:p>
  </w:footnote>
  <w:footnote w:id="304">
    <w:p w14:paraId="17E69B00" w14:textId="77777777" w:rsidR="00810AB4" w:rsidRPr="00D851F9" w:rsidRDefault="00810AB4" w:rsidP="0007447F">
      <w:pPr>
        <w:pStyle w:val="FootnoteText"/>
      </w:pPr>
      <w:r w:rsidRPr="00D851F9">
        <w:rPr>
          <w:rStyle w:val="FootnoteReference"/>
        </w:rPr>
        <w:footnoteRef/>
      </w:r>
      <w:r w:rsidRPr="00D851F9">
        <w:t xml:space="preserve"> </w:t>
      </w:r>
      <w:r w:rsidRPr="00D851F9">
        <w:rPr>
          <w:i/>
        </w:rPr>
        <w:t>Id.</w:t>
      </w:r>
      <w:r w:rsidRPr="00D851F9">
        <w:t xml:space="preserve"> at 675.</w:t>
      </w:r>
    </w:p>
  </w:footnote>
  <w:footnote w:id="305">
    <w:p w14:paraId="1E6EEB7B" w14:textId="192F604B" w:rsidR="00810AB4" w:rsidRPr="00D851F9" w:rsidRDefault="00810AB4" w:rsidP="00963C62">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Fisk &amp; Malamud,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18, at 2040. </w:t>
      </w:r>
    </w:p>
  </w:footnote>
  <w:footnote w:id="306">
    <w:p w14:paraId="3D2CA49B" w14:textId="052E155E" w:rsidR="00810AB4" w:rsidRPr="00D851F9" w:rsidRDefault="00810AB4" w:rsidP="00963C62">
      <w:pPr>
        <w:spacing w:after="0" w:line="240" w:lineRule="auto"/>
        <w:rPr>
          <w:rFonts w:ascii="Times New Roman" w:hAnsi="Times New Roman" w:cs="Times New Roman"/>
          <w:sz w:val="20"/>
          <w:szCs w:val="20"/>
        </w:rPr>
      </w:pPr>
      <w:r w:rsidRPr="00D851F9">
        <w:rPr>
          <w:rStyle w:val="FootnoteReference"/>
          <w:rFonts w:ascii="Times New Roman" w:hAnsi="Times New Roman" w:cs="Times New Roman"/>
          <w:sz w:val="20"/>
          <w:szCs w:val="20"/>
        </w:rPr>
        <w:footnoteRef/>
      </w:r>
      <w:r w:rsidRPr="00D851F9">
        <w:rPr>
          <w:rFonts w:ascii="Times New Roman" w:hAnsi="Times New Roman" w:cs="Times New Roman"/>
          <w:sz w:val="20"/>
          <w:szCs w:val="20"/>
        </w:rPr>
        <w:t xml:space="preserve"> Fisk &amp; Malamud, </w:t>
      </w:r>
      <w:r w:rsidRPr="00D851F9">
        <w:rPr>
          <w:rFonts w:ascii="Times New Roman" w:hAnsi="Times New Roman" w:cs="Times New Roman"/>
          <w:i/>
          <w:sz w:val="20"/>
          <w:szCs w:val="20"/>
        </w:rPr>
        <w:t>supra</w:t>
      </w:r>
      <w:r w:rsidRPr="00D851F9">
        <w:rPr>
          <w:rFonts w:ascii="Times New Roman" w:hAnsi="Times New Roman" w:cs="Times New Roman"/>
          <w:sz w:val="20"/>
          <w:szCs w:val="20"/>
        </w:rPr>
        <w:t xml:space="preserve"> note 18, at 2040 (“[I]n many cases, the issue is more accurately described as </w:t>
      </w:r>
      <w:proofErr w:type="gramStart"/>
      <w:r w:rsidRPr="00D851F9">
        <w:rPr>
          <w:rFonts w:ascii="Times New Roman" w:hAnsi="Times New Roman" w:cs="Times New Roman"/>
          <w:sz w:val="20"/>
          <w:szCs w:val="20"/>
        </w:rPr>
        <w:t>a</w:t>
      </w:r>
      <w:proofErr w:type="gramEnd"/>
      <w:r w:rsidRPr="00D851F9">
        <w:rPr>
          <w:rFonts w:ascii="Times New Roman" w:hAnsi="Times New Roman" w:cs="Times New Roman"/>
          <w:sz w:val="20"/>
          <w:szCs w:val="20"/>
        </w:rPr>
        <w:t xml:space="preserve"> a question of policy rather than as a question of law, and the arbitrary-and-capricious standard for discretionary policymaking is the standard the Court should be applying.”). </w:t>
      </w:r>
    </w:p>
  </w:footnote>
  <w:footnote w:id="307">
    <w:p w14:paraId="2937377E" w14:textId="70CF4B33" w:rsidR="00810AB4" w:rsidRPr="00B20FD7" w:rsidRDefault="00810AB4">
      <w:pPr>
        <w:pStyle w:val="FootnoteText"/>
      </w:pPr>
      <w:r>
        <w:rPr>
          <w:rStyle w:val="FootnoteReference"/>
        </w:rPr>
        <w:footnoteRef/>
      </w:r>
      <w:r>
        <w:t xml:space="preserve"> Michael C. Harper, </w:t>
      </w:r>
      <w:r>
        <w:rPr>
          <w:i/>
        </w:rPr>
        <w:t>Judicial Control of the National Labor Relations Board’s Lawmaking in the Age of Chevron and Brand X</w:t>
      </w:r>
      <w:r>
        <w:t xml:space="preserve">, 89 B.U. L. Rev. 189, 192 (2009). </w:t>
      </w:r>
    </w:p>
  </w:footnote>
  <w:footnote w:id="308">
    <w:p w14:paraId="41798B05" w14:textId="4FAACB78" w:rsidR="00810AB4" w:rsidRPr="00E36F7F" w:rsidRDefault="00810AB4">
      <w:pPr>
        <w:pStyle w:val="FootnoteText"/>
      </w:pPr>
      <w:r>
        <w:rPr>
          <w:rStyle w:val="FootnoteReference"/>
        </w:rPr>
        <w:footnoteRef/>
      </w:r>
      <w:r>
        <w:t xml:space="preserve"> </w:t>
      </w:r>
      <w:r>
        <w:rPr>
          <w:i/>
        </w:rPr>
        <w:t>Id.</w:t>
      </w:r>
      <w:r>
        <w:t xml:space="preserve"> at 195 (noting that a change in the standard of review will “ensure the adopted changes have greater legitimacy, and even stabilize agency-formulated law in cases where empirical evidence resists the agency’s assumptions”). </w:t>
      </w:r>
    </w:p>
  </w:footnote>
  <w:footnote w:id="309">
    <w:p w14:paraId="71143311" w14:textId="204C0C78" w:rsidR="00810AB4" w:rsidRPr="00D851F9" w:rsidRDefault="00810AB4">
      <w:pPr>
        <w:pStyle w:val="FootnoteText"/>
      </w:pPr>
      <w:r w:rsidRPr="00D851F9">
        <w:rPr>
          <w:rStyle w:val="FootnoteReference"/>
        </w:rPr>
        <w:footnoteRef/>
      </w:r>
      <w:r w:rsidRPr="00D851F9">
        <w:t xml:space="preserve"> Mashaw, </w:t>
      </w:r>
      <w:r w:rsidRPr="00D851F9">
        <w:rPr>
          <w:i/>
        </w:rPr>
        <w:t>supra</w:t>
      </w:r>
      <w:r w:rsidRPr="00D851F9">
        <w:t xml:space="preserve"> note 4, at 519.</w:t>
      </w:r>
    </w:p>
  </w:footnote>
  <w:footnote w:id="310">
    <w:p w14:paraId="7465401D" w14:textId="4C67BB06" w:rsidR="00810AB4" w:rsidRPr="00A40028" w:rsidRDefault="00810AB4">
      <w:pPr>
        <w:pStyle w:val="FootnoteText"/>
      </w:pPr>
      <w:r>
        <w:rPr>
          <w:rStyle w:val="FootnoteReference"/>
        </w:rPr>
        <w:footnoteRef/>
      </w:r>
      <w:r>
        <w:t xml:space="preserve"> Adrian Vermeule, </w:t>
      </w:r>
      <w:r w:rsidRPr="005E768D">
        <w:rPr>
          <w:smallCaps/>
        </w:rPr>
        <w:t>Judging Under Uncertainty: An Institutional Theory of Legal Interpretation</w:t>
      </w:r>
      <w:r>
        <w:t xml:space="preserve"> 213-14 (2006) (suggesting that agencies’ expertise justifies wider interpretive methods than what may apply for courts); Michael Herz, </w:t>
      </w:r>
      <w:r>
        <w:rPr>
          <w:i/>
        </w:rPr>
        <w:t>Purposivism and Institutional Competence in Statutory Interpretation</w:t>
      </w:r>
      <w:r>
        <w:t xml:space="preserve">, 2009 </w:t>
      </w:r>
      <w:r w:rsidRPr="005E768D">
        <w:rPr>
          <w:smallCaps/>
        </w:rPr>
        <w:t>Mich. St. L. Rev</w:t>
      </w:r>
      <w:r>
        <w:t xml:space="preserve">. 89, 94-106 (2009) (arguing that agencies’ institutional position justifies a purposive approach to statutory construction); William N. Eskridge, Jr., </w:t>
      </w:r>
      <w:r>
        <w:rPr>
          <w:i/>
        </w:rPr>
        <w:t>Expanding Chevron’s Domain: A Comparative Institutional Analysis of the Relative Competence of Courts and Agencies to Interpret Statutes</w:t>
      </w:r>
      <w:r>
        <w:t xml:space="preserve">, 2013 </w:t>
      </w:r>
      <w:r w:rsidRPr="005E768D">
        <w:rPr>
          <w:smallCaps/>
        </w:rPr>
        <w:t>Wis. L. Rev</w:t>
      </w:r>
      <w:r>
        <w:t xml:space="preserve">. 411, 420-27 (arguing that agencies expertise and accountability renders them better able to interpret statutes broadly). </w:t>
      </w:r>
    </w:p>
  </w:footnote>
  <w:footnote w:id="311">
    <w:p w14:paraId="1A68FC15" w14:textId="3DDE3815" w:rsidR="00810AB4" w:rsidRPr="00A40028" w:rsidRDefault="00810AB4">
      <w:pPr>
        <w:pStyle w:val="FootnoteText"/>
      </w:pPr>
      <w:r w:rsidRPr="00D851F9">
        <w:rPr>
          <w:rStyle w:val="FootnoteReference"/>
        </w:rPr>
        <w:footnoteRef/>
      </w:r>
      <w:r w:rsidRPr="00D851F9">
        <w:t xml:space="preserve"> </w:t>
      </w:r>
      <w:r>
        <w:t xml:space="preserve">Mashaw, </w:t>
      </w:r>
      <w:r>
        <w:rPr>
          <w:i/>
        </w:rPr>
        <w:t>supra</w:t>
      </w:r>
      <w:r>
        <w:t xml:space="preserve"> note 4, at 519.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BE7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D1476"/>
    <w:multiLevelType w:val="hybridMultilevel"/>
    <w:tmpl w:val="951E04B8"/>
    <w:lvl w:ilvl="0" w:tplc="DDE4FC8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246BBA"/>
    <w:multiLevelType w:val="hybridMultilevel"/>
    <w:tmpl w:val="56485FBC"/>
    <w:lvl w:ilvl="0" w:tplc="72687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A131A9"/>
    <w:multiLevelType w:val="hybridMultilevel"/>
    <w:tmpl w:val="BEEE5F18"/>
    <w:lvl w:ilvl="0" w:tplc="3CF881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83719C"/>
    <w:multiLevelType w:val="hybridMultilevel"/>
    <w:tmpl w:val="660C7646"/>
    <w:lvl w:ilvl="0" w:tplc="FA9A7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9620BB"/>
    <w:multiLevelType w:val="hybridMultilevel"/>
    <w:tmpl w:val="9054912A"/>
    <w:lvl w:ilvl="0" w:tplc="4B1AA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B6ECF"/>
    <w:multiLevelType w:val="hybridMultilevel"/>
    <w:tmpl w:val="84CCE4D6"/>
    <w:lvl w:ilvl="0" w:tplc="C318E16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57EFF"/>
    <w:multiLevelType w:val="hybridMultilevel"/>
    <w:tmpl w:val="F1062FFA"/>
    <w:lvl w:ilvl="0" w:tplc="0F882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65C0B"/>
    <w:multiLevelType w:val="hybridMultilevel"/>
    <w:tmpl w:val="2D3CDB8A"/>
    <w:lvl w:ilvl="0" w:tplc="A022D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07197"/>
    <w:multiLevelType w:val="hybridMultilevel"/>
    <w:tmpl w:val="9F180512"/>
    <w:lvl w:ilvl="0" w:tplc="17B8314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07027F"/>
    <w:multiLevelType w:val="hybridMultilevel"/>
    <w:tmpl w:val="8070E520"/>
    <w:lvl w:ilvl="0" w:tplc="3D9285C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B0DDD"/>
    <w:multiLevelType w:val="hybridMultilevel"/>
    <w:tmpl w:val="509E3C7E"/>
    <w:lvl w:ilvl="0" w:tplc="E550A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F04EDD"/>
    <w:multiLevelType w:val="hybridMultilevel"/>
    <w:tmpl w:val="06F665FE"/>
    <w:lvl w:ilvl="0" w:tplc="AA9EF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3D4AA9"/>
    <w:multiLevelType w:val="hybridMultilevel"/>
    <w:tmpl w:val="D5FCC102"/>
    <w:lvl w:ilvl="0" w:tplc="CFD4A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400E5"/>
    <w:multiLevelType w:val="hybridMultilevel"/>
    <w:tmpl w:val="3A74C432"/>
    <w:lvl w:ilvl="0" w:tplc="654EE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367447"/>
    <w:multiLevelType w:val="hybridMultilevel"/>
    <w:tmpl w:val="73142B9A"/>
    <w:lvl w:ilvl="0" w:tplc="901C1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942534"/>
    <w:multiLevelType w:val="hybridMultilevel"/>
    <w:tmpl w:val="A8EE585C"/>
    <w:lvl w:ilvl="0" w:tplc="432C84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06B9D"/>
    <w:multiLevelType w:val="hybridMultilevel"/>
    <w:tmpl w:val="7DC09864"/>
    <w:lvl w:ilvl="0" w:tplc="66263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F31DD2"/>
    <w:multiLevelType w:val="hybridMultilevel"/>
    <w:tmpl w:val="4EC69870"/>
    <w:lvl w:ilvl="0" w:tplc="145EC2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AD4C96"/>
    <w:multiLevelType w:val="hybridMultilevel"/>
    <w:tmpl w:val="C5EEF4A2"/>
    <w:lvl w:ilvl="0" w:tplc="04C8A5A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2465E"/>
    <w:multiLevelType w:val="hybridMultilevel"/>
    <w:tmpl w:val="B866C83A"/>
    <w:lvl w:ilvl="0" w:tplc="CFEAF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6B669A"/>
    <w:multiLevelType w:val="hybridMultilevel"/>
    <w:tmpl w:val="BB426E30"/>
    <w:lvl w:ilvl="0" w:tplc="0A1C4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E7652"/>
    <w:multiLevelType w:val="hybridMultilevel"/>
    <w:tmpl w:val="E63637AC"/>
    <w:lvl w:ilvl="0" w:tplc="7A7EA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171A12"/>
    <w:multiLevelType w:val="hybridMultilevel"/>
    <w:tmpl w:val="33722596"/>
    <w:lvl w:ilvl="0" w:tplc="E8ACAD1A">
      <w:start w:val="2"/>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1A39F3"/>
    <w:multiLevelType w:val="hybridMultilevel"/>
    <w:tmpl w:val="2A0A3A5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937A0"/>
    <w:multiLevelType w:val="hybridMultilevel"/>
    <w:tmpl w:val="18B66D6C"/>
    <w:lvl w:ilvl="0" w:tplc="165AC4F2">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C605F"/>
    <w:multiLevelType w:val="hybridMultilevel"/>
    <w:tmpl w:val="B4103BC8"/>
    <w:lvl w:ilvl="0" w:tplc="AA04D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35E2263"/>
    <w:multiLevelType w:val="hybridMultilevel"/>
    <w:tmpl w:val="C9CC1036"/>
    <w:lvl w:ilvl="0" w:tplc="857EB2E0">
      <w:start w:val="3"/>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7506BE"/>
    <w:multiLevelType w:val="hybridMultilevel"/>
    <w:tmpl w:val="BB682272"/>
    <w:lvl w:ilvl="0" w:tplc="B92A2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64294"/>
    <w:multiLevelType w:val="hybridMultilevel"/>
    <w:tmpl w:val="05D86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A56AA"/>
    <w:multiLevelType w:val="hybridMultilevel"/>
    <w:tmpl w:val="0804FF68"/>
    <w:lvl w:ilvl="0" w:tplc="9AC297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28"/>
  </w:num>
  <w:num w:numId="4">
    <w:abstractNumId w:val="30"/>
  </w:num>
  <w:num w:numId="5">
    <w:abstractNumId w:val="10"/>
  </w:num>
  <w:num w:numId="6">
    <w:abstractNumId w:val="29"/>
  </w:num>
  <w:num w:numId="7">
    <w:abstractNumId w:val="27"/>
  </w:num>
  <w:num w:numId="8">
    <w:abstractNumId w:val="25"/>
  </w:num>
  <w:num w:numId="9">
    <w:abstractNumId w:val="22"/>
  </w:num>
  <w:num w:numId="10">
    <w:abstractNumId w:val="8"/>
  </w:num>
  <w:num w:numId="11">
    <w:abstractNumId w:val="15"/>
  </w:num>
  <w:num w:numId="12">
    <w:abstractNumId w:val="2"/>
  </w:num>
  <w:num w:numId="13">
    <w:abstractNumId w:val="18"/>
  </w:num>
  <w:num w:numId="14">
    <w:abstractNumId w:val="20"/>
  </w:num>
  <w:num w:numId="15">
    <w:abstractNumId w:val="1"/>
  </w:num>
  <w:num w:numId="16">
    <w:abstractNumId w:val="3"/>
  </w:num>
  <w:num w:numId="17">
    <w:abstractNumId w:val="5"/>
  </w:num>
  <w:num w:numId="18">
    <w:abstractNumId w:val="4"/>
  </w:num>
  <w:num w:numId="19">
    <w:abstractNumId w:val="24"/>
  </w:num>
  <w:num w:numId="20">
    <w:abstractNumId w:val="7"/>
  </w:num>
  <w:num w:numId="21">
    <w:abstractNumId w:val="14"/>
  </w:num>
  <w:num w:numId="22">
    <w:abstractNumId w:val="16"/>
  </w:num>
  <w:num w:numId="23">
    <w:abstractNumId w:val="26"/>
  </w:num>
  <w:num w:numId="24">
    <w:abstractNumId w:val="6"/>
  </w:num>
  <w:num w:numId="25">
    <w:abstractNumId w:val="19"/>
  </w:num>
  <w:num w:numId="26">
    <w:abstractNumId w:val="23"/>
  </w:num>
  <w:num w:numId="27">
    <w:abstractNumId w:val="17"/>
  </w:num>
  <w:num w:numId="28">
    <w:abstractNumId w:val="21"/>
  </w:num>
  <w:num w:numId="29">
    <w:abstractNumId w:val="11"/>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1F"/>
    <w:rsid w:val="000009AB"/>
    <w:rsid w:val="0000195E"/>
    <w:rsid w:val="0000725F"/>
    <w:rsid w:val="0000748A"/>
    <w:rsid w:val="000074A7"/>
    <w:rsid w:val="00012C4F"/>
    <w:rsid w:val="000149EB"/>
    <w:rsid w:val="00020A5F"/>
    <w:rsid w:val="00032B1C"/>
    <w:rsid w:val="00035476"/>
    <w:rsid w:val="00037D8C"/>
    <w:rsid w:val="000410EA"/>
    <w:rsid w:val="00043143"/>
    <w:rsid w:val="0004635E"/>
    <w:rsid w:val="00046FCE"/>
    <w:rsid w:val="00047FD3"/>
    <w:rsid w:val="0005091B"/>
    <w:rsid w:val="00054398"/>
    <w:rsid w:val="000551AC"/>
    <w:rsid w:val="00056D6E"/>
    <w:rsid w:val="00061547"/>
    <w:rsid w:val="00061FCE"/>
    <w:rsid w:val="00063020"/>
    <w:rsid w:val="000648F5"/>
    <w:rsid w:val="00066BFB"/>
    <w:rsid w:val="00072675"/>
    <w:rsid w:val="0007447F"/>
    <w:rsid w:val="0007450B"/>
    <w:rsid w:val="00075E60"/>
    <w:rsid w:val="00080AA8"/>
    <w:rsid w:val="00081D89"/>
    <w:rsid w:val="00082294"/>
    <w:rsid w:val="000826E1"/>
    <w:rsid w:val="00086205"/>
    <w:rsid w:val="00091792"/>
    <w:rsid w:val="00092ECC"/>
    <w:rsid w:val="000950A5"/>
    <w:rsid w:val="00095EC0"/>
    <w:rsid w:val="00097AD0"/>
    <w:rsid w:val="000A2C53"/>
    <w:rsid w:val="000A2D6E"/>
    <w:rsid w:val="000A3AEC"/>
    <w:rsid w:val="000A56C1"/>
    <w:rsid w:val="000A66B2"/>
    <w:rsid w:val="000A6AAC"/>
    <w:rsid w:val="000A7029"/>
    <w:rsid w:val="000A72DE"/>
    <w:rsid w:val="000A76EA"/>
    <w:rsid w:val="000B06D0"/>
    <w:rsid w:val="000B63BA"/>
    <w:rsid w:val="000B650D"/>
    <w:rsid w:val="000B6E8B"/>
    <w:rsid w:val="000C0C1F"/>
    <w:rsid w:val="000C2741"/>
    <w:rsid w:val="000C35FD"/>
    <w:rsid w:val="000C4B1B"/>
    <w:rsid w:val="000C5C2A"/>
    <w:rsid w:val="000D3F5A"/>
    <w:rsid w:val="000D6DF3"/>
    <w:rsid w:val="000D7ADC"/>
    <w:rsid w:val="000E0BAC"/>
    <w:rsid w:val="000E0CF4"/>
    <w:rsid w:val="000E1D37"/>
    <w:rsid w:val="000E2A24"/>
    <w:rsid w:val="000E3986"/>
    <w:rsid w:val="000E6D59"/>
    <w:rsid w:val="000E798E"/>
    <w:rsid w:val="000F366D"/>
    <w:rsid w:val="000F3BC5"/>
    <w:rsid w:val="000F6BA6"/>
    <w:rsid w:val="000F6EF1"/>
    <w:rsid w:val="001012E7"/>
    <w:rsid w:val="00101E6B"/>
    <w:rsid w:val="001023B9"/>
    <w:rsid w:val="001048E0"/>
    <w:rsid w:val="00115FFC"/>
    <w:rsid w:val="00124532"/>
    <w:rsid w:val="001272CF"/>
    <w:rsid w:val="00127CDC"/>
    <w:rsid w:val="0013063E"/>
    <w:rsid w:val="001338DC"/>
    <w:rsid w:val="00134601"/>
    <w:rsid w:val="00141A88"/>
    <w:rsid w:val="001422E4"/>
    <w:rsid w:val="00145BC4"/>
    <w:rsid w:val="00151088"/>
    <w:rsid w:val="001545C7"/>
    <w:rsid w:val="001553B9"/>
    <w:rsid w:val="001571D4"/>
    <w:rsid w:val="0016216F"/>
    <w:rsid w:val="00166135"/>
    <w:rsid w:val="00171491"/>
    <w:rsid w:val="00171C20"/>
    <w:rsid w:val="00177848"/>
    <w:rsid w:val="001803B9"/>
    <w:rsid w:val="00190CC9"/>
    <w:rsid w:val="00191BFF"/>
    <w:rsid w:val="00193548"/>
    <w:rsid w:val="00193C37"/>
    <w:rsid w:val="00193EEA"/>
    <w:rsid w:val="00193F3C"/>
    <w:rsid w:val="001942A4"/>
    <w:rsid w:val="00196292"/>
    <w:rsid w:val="001963D4"/>
    <w:rsid w:val="001A26D9"/>
    <w:rsid w:val="001A43BF"/>
    <w:rsid w:val="001A6483"/>
    <w:rsid w:val="001A6901"/>
    <w:rsid w:val="001A7172"/>
    <w:rsid w:val="001A7FD3"/>
    <w:rsid w:val="001B2AFB"/>
    <w:rsid w:val="001B38C2"/>
    <w:rsid w:val="001B4CDA"/>
    <w:rsid w:val="001B5280"/>
    <w:rsid w:val="001B5AE9"/>
    <w:rsid w:val="001B62D4"/>
    <w:rsid w:val="001C0CAB"/>
    <w:rsid w:val="001C642E"/>
    <w:rsid w:val="001C644A"/>
    <w:rsid w:val="001C6E61"/>
    <w:rsid w:val="001D056E"/>
    <w:rsid w:val="001D0E7F"/>
    <w:rsid w:val="001D23E4"/>
    <w:rsid w:val="001D2FD0"/>
    <w:rsid w:val="001D3D8F"/>
    <w:rsid w:val="001D4124"/>
    <w:rsid w:val="001D4A14"/>
    <w:rsid w:val="001D4A36"/>
    <w:rsid w:val="001D5DAE"/>
    <w:rsid w:val="001D7BE1"/>
    <w:rsid w:val="001E0834"/>
    <w:rsid w:val="001E2FEB"/>
    <w:rsid w:val="001E3BF7"/>
    <w:rsid w:val="001F24CC"/>
    <w:rsid w:val="001F2511"/>
    <w:rsid w:val="001F4366"/>
    <w:rsid w:val="001F6309"/>
    <w:rsid w:val="001F7713"/>
    <w:rsid w:val="001F7C93"/>
    <w:rsid w:val="0020157B"/>
    <w:rsid w:val="002021FC"/>
    <w:rsid w:val="002040B2"/>
    <w:rsid w:val="002041FD"/>
    <w:rsid w:val="00204F85"/>
    <w:rsid w:val="002063EB"/>
    <w:rsid w:val="0021081E"/>
    <w:rsid w:val="0021249D"/>
    <w:rsid w:val="00213723"/>
    <w:rsid w:val="00213748"/>
    <w:rsid w:val="00217A34"/>
    <w:rsid w:val="0022052B"/>
    <w:rsid w:val="00220E3D"/>
    <w:rsid w:val="00222051"/>
    <w:rsid w:val="00223052"/>
    <w:rsid w:val="00225A1D"/>
    <w:rsid w:val="002260C9"/>
    <w:rsid w:val="00226830"/>
    <w:rsid w:val="00226949"/>
    <w:rsid w:val="00230859"/>
    <w:rsid w:val="0023202C"/>
    <w:rsid w:val="00232A6F"/>
    <w:rsid w:val="00233F40"/>
    <w:rsid w:val="00235E02"/>
    <w:rsid w:val="002363EE"/>
    <w:rsid w:val="00241B7F"/>
    <w:rsid w:val="00242CEB"/>
    <w:rsid w:val="00243B4B"/>
    <w:rsid w:val="0024492D"/>
    <w:rsid w:val="00245563"/>
    <w:rsid w:val="00251D38"/>
    <w:rsid w:val="00252C80"/>
    <w:rsid w:val="002540BE"/>
    <w:rsid w:val="0025482C"/>
    <w:rsid w:val="00254F0A"/>
    <w:rsid w:val="00255F12"/>
    <w:rsid w:val="0025681F"/>
    <w:rsid w:val="00260C40"/>
    <w:rsid w:val="00261F2B"/>
    <w:rsid w:val="00264DF5"/>
    <w:rsid w:val="00267E81"/>
    <w:rsid w:val="0027690D"/>
    <w:rsid w:val="00276BB2"/>
    <w:rsid w:val="0027708C"/>
    <w:rsid w:val="00280DCC"/>
    <w:rsid w:val="002847F9"/>
    <w:rsid w:val="00285712"/>
    <w:rsid w:val="002900DA"/>
    <w:rsid w:val="0029164C"/>
    <w:rsid w:val="002920DD"/>
    <w:rsid w:val="00293B8C"/>
    <w:rsid w:val="0029456D"/>
    <w:rsid w:val="002949F9"/>
    <w:rsid w:val="00297D38"/>
    <w:rsid w:val="002A389B"/>
    <w:rsid w:val="002A45D1"/>
    <w:rsid w:val="002A5A06"/>
    <w:rsid w:val="002A5E2D"/>
    <w:rsid w:val="002A76F9"/>
    <w:rsid w:val="002B16FD"/>
    <w:rsid w:val="002B263D"/>
    <w:rsid w:val="002B2676"/>
    <w:rsid w:val="002B4495"/>
    <w:rsid w:val="002B4EFA"/>
    <w:rsid w:val="002B5F37"/>
    <w:rsid w:val="002B6B6B"/>
    <w:rsid w:val="002C196B"/>
    <w:rsid w:val="002C2879"/>
    <w:rsid w:val="002C3A56"/>
    <w:rsid w:val="002D13B8"/>
    <w:rsid w:val="002D14B0"/>
    <w:rsid w:val="002D3773"/>
    <w:rsid w:val="002D37A8"/>
    <w:rsid w:val="002D4758"/>
    <w:rsid w:val="002D54C2"/>
    <w:rsid w:val="002D57B0"/>
    <w:rsid w:val="002D6C12"/>
    <w:rsid w:val="002D7F20"/>
    <w:rsid w:val="002E36A9"/>
    <w:rsid w:val="002E48FE"/>
    <w:rsid w:val="002E6B86"/>
    <w:rsid w:val="002E778D"/>
    <w:rsid w:val="002F1C34"/>
    <w:rsid w:val="003021D4"/>
    <w:rsid w:val="00302EE7"/>
    <w:rsid w:val="003039E2"/>
    <w:rsid w:val="00307577"/>
    <w:rsid w:val="0031485C"/>
    <w:rsid w:val="0032159B"/>
    <w:rsid w:val="003222C2"/>
    <w:rsid w:val="0032327E"/>
    <w:rsid w:val="00325327"/>
    <w:rsid w:val="003264BB"/>
    <w:rsid w:val="00326724"/>
    <w:rsid w:val="00327459"/>
    <w:rsid w:val="0033076C"/>
    <w:rsid w:val="0033100A"/>
    <w:rsid w:val="00331788"/>
    <w:rsid w:val="0033682F"/>
    <w:rsid w:val="00337DBF"/>
    <w:rsid w:val="00340CEC"/>
    <w:rsid w:val="003415F4"/>
    <w:rsid w:val="00345589"/>
    <w:rsid w:val="00346DAC"/>
    <w:rsid w:val="00347F52"/>
    <w:rsid w:val="0035082C"/>
    <w:rsid w:val="00350AFF"/>
    <w:rsid w:val="00350B55"/>
    <w:rsid w:val="0035465A"/>
    <w:rsid w:val="00354A40"/>
    <w:rsid w:val="00355B02"/>
    <w:rsid w:val="00356D1F"/>
    <w:rsid w:val="003572CF"/>
    <w:rsid w:val="0036008F"/>
    <w:rsid w:val="003629AE"/>
    <w:rsid w:val="003668E1"/>
    <w:rsid w:val="003678EA"/>
    <w:rsid w:val="0037119E"/>
    <w:rsid w:val="00371290"/>
    <w:rsid w:val="003779EE"/>
    <w:rsid w:val="00377EA7"/>
    <w:rsid w:val="00390C81"/>
    <w:rsid w:val="00391CB2"/>
    <w:rsid w:val="00393E96"/>
    <w:rsid w:val="003957E9"/>
    <w:rsid w:val="003A1BC3"/>
    <w:rsid w:val="003A5DC3"/>
    <w:rsid w:val="003A75CD"/>
    <w:rsid w:val="003B2F52"/>
    <w:rsid w:val="003B4079"/>
    <w:rsid w:val="003B47C2"/>
    <w:rsid w:val="003B5A9E"/>
    <w:rsid w:val="003C07CE"/>
    <w:rsid w:val="003C4984"/>
    <w:rsid w:val="003C7A93"/>
    <w:rsid w:val="003D0112"/>
    <w:rsid w:val="003D046E"/>
    <w:rsid w:val="003D16C0"/>
    <w:rsid w:val="003D187A"/>
    <w:rsid w:val="003D2B18"/>
    <w:rsid w:val="003D2D3C"/>
    <w:rsid w:val="003D318A"/>
    <w:rsid w:val="003D3CDC"/>
    <w:rsid w:val="003D61B6"/>
    <w:rsid w:val="003E00DA"/>
    <w:rsid w:val="003E0ABB"/>
    <w:rsid w:val="003E1257"/>
    <w:rsid w:val="003E168A"/>
    <w:rsid w:val="003E1C39"/>
    <w:rsid w:val="003E6BAB"/>
    <w:rsid w:val="003F1D68"/>
    <w:rsid w:val="003F4618"/>
    <w:rsid w:val="00400261"/>
    <w:rsid w:val="004048F8"/>
    <w:rsid w:val="00405361"/>
    <w:rsid w:val="00411239"/>
    <w:rsid w:val="00414B23"/>
    <w:rsid w:val="00415716"/>
    <w:rsid w:val="00416869"/>
    <w:rsid w:val="004232A5"/>
    <w:rsid w:val="00423977"/>
    <w:rsid w:val="0042462A"/>
    <w:rsid w:val="0044320B"/>
    <w:rsid w:val="00443C52"/>
    <w:rsid w:val="00450B8C"/>
    <w:rsid w:val="004534ED"/>
    <w:rsid w:val="00455E7C"/>
    <w:rsid w:val="00456A0F"/>
    <w:rsid w:val="00460D8E"/>
    <w:rsid w:val="00461B3B"/>
    <w:rsid w:val="00462C59"/>
    <w:rsid w:val="00463CDD"/>
    <w:rsid w:val="004663C3"/>
    <w:rsid w:val="004663DD"/>
    <w:rsid w:val="0047503C"/>
    <w:rsid w:val="00476F55"/>
    <w:rsid w:val="0048169C"/>
    <w:rsid w:val="004917A1"/>
    <w:rsid w:val="0049190E"/>
    <w:rsid w:val="004A2C45"/>
    <w:rsid w:val="004A30D5"/>
    <w:rsid w:val="004A3A1A"/>
    <w:rsid w:val="004A7DD9"/>
    <w:rsid w:val="004B2113"/>
    <w:rsid w:val="004B4A87"/>
    <w:rsid w:val="004B77C3"/>
    <w:rsid w:val="004C0E6B"/>
    <w:rsid w:val="004C1BB3"/>
    <w:rsid w:val="004C2000"/>
    <w:rsid w:val="004C4EF4"/>
    <w:rsid w:val="004D0E5B"/>
    <w:rsid w:val="004D689C"/>
    <w:rsid w:val="004D68DE"/>
    <w:rsid w:val="004E0376"/>
    <w:rsid w:val="004E139A"/>
    <w:rsid w:val="004E5B13"/>
    <w:rsid w:val="004F6DDB"/>
    <w:rsid w:val="004F748A"/>
    <w:rsid w:val="00501300"/>
    <w:rsid w:val="0050189E"/>
    <w:rsid w:val="005039C2"/>
    <w:rsid w:val="00504851"/>
    <w:rsid w:val="00507980"/>
    <w:rsid w:val="00510E3A"/>
    <w:rsid w:val="00511032"/>
    <w:rsid w:val="00516C3D"/>
    <w:rsid w:val="005201F2"/>
    <w:rsid w:val="00520AE7"/>
    <w:rsid w:val="00521DB5"/>
    <w:rsid w:val="005263A4"/>
    <w:rsid w:val="00527541"/>
    <w:rsid w:val="00527586"/>
    <w:rsid w:val="0053166A"/>
    <w:rsid w:val="005317AF"/>
    <w:rsid w:val="005404C9"/>
    <w:rsid w:val="005421B1"/>
    <w:rsid w:val="005428AB"/>
    <w:rsid w:val="00543597"/>
    <w:rsid w:val="00544889"/>
    <w:rsid w:val="00550B55"/>
    <w:rsid w:val="00551DDD"/>
    <w:rsid w:val="00553C57"/>
    <w:rsid w:val="005603B7"/>
    <w:rsid w:val="00561443"/>
    <w:rsid w:val="00561F6F"/>
    <w:rsid w:val="00566A0F"/>
    <w:rsid w:val="005731CB"/>
    <w:rsid w:val="005738AC"/>
    <w:rsid w:val="00573A5C"/>
    <w:rsid w:val="005764D7"/>
    <w:rsid w:val="00576A07"/>
    <w:rsid w:val="005822F6"/>
    <w:rsid w:val="00584545"/>
    <w:rsid w:val="00592652"/>
    <w:rsid w:val="005953CD"/>
    <w:rsid w:val="00597073"/>
    <w:rsid w:val="005A04D0"/>
    <w:rsid w:val="005A0539"/>
    <w:rsid w:val="005A0A79"/>
    <w:rsid w:val="005A4843"/>
    <w:rsid w:val="005A4A8B"/>
    <w:rsid w:val="005A4BCF"/>
    <w:rsid w:val="005A6C4B"/>
    <w:rsid w:val="005A6DFB"/>
    <w:rsid w:val="005B0FEB"/>
    <w:rsid w:val="005B5902"/>
    <w:rsid w:val="005B5B1A"/>
    <w:rsid w:val="005B651C"/>
    <w:rsid w:val="005C0066"/>
    <w:rsid w:val="005C2B6D"/>
    <w:rsid w:val="005C4C03"/>
    <w:rsid w:val="005D26FD"/>
    <w:rsid w:val="005D6EF3"/>
    <w:rsid w:val="005E15A5"/>
    <w:rsid w:val="005E192D"/>
    <w:rsid w:val="005E1E6A"/>
    <w:rsid w:val="005E2457"/>
    <w:rsid w:val="005E768D"/>
    <w:rsid w:val="005F07B1"/>
    <w:rsid w:val="005F1D02"/>
    <w:rsid w:val="005F554A"/>
    <w:rsid w:val="005F7D09"/>
    <w:rsid w:val="00600247"/>
    <w:rsid w:val="006031C9"/>
    <w:rsid w:val="00611729"/>
    <w:rsid w:val="00617806"/>
    <w:rsid w:val="00620868"/>
    <w:rsid w:val="00621948"/>
    <w:rsid w:val="00624959"/>
    <w:rsid w:val="00626693"/>
    <w:rsid w:val="00626BB9"/>
    <w:rsid w:val="00626E46"/>
    <w:rsid w:val="0063204F"/>
    <w:rsid w:val="006321E8"/>
    <w:rsid w:val="006328A6"/>
    <w:rsid w:val="00636CF2"/>
    <w:rsid w:val="0063739E"/>
    <w:rsid w:val="00641DD3"/>
    <w:rsid w:val="0064287A"/>
    <w:rsid w:val="00646557"/>
    <w:rsid w:val="00647A5F"/>
    <w:rsid w:val="00647A77"/>
    <w:rsid w:val="00652124"/>
    <w:rsid w:val="00653520"/>
    <w:rsid w:val="00655C6E"/>
    <w:rsid w:val="00657471"/>
    <w:rsid w:val="00660856"/>
    <w:rsid w:val="00661860"/>
    <w:rsid w:val="00664218"/>
    <w:rsid w:val="00664CFA"/>
    <w:rsid w:val="0066534A"/>
    <w:rsid w:val="006658C5"/>
    <w:rsid w:val="006664CB"/>
    <w:rsid w:val="00674D5F"/>
    <w:rsid w:val="00675DFE"/>
    <w:rsid w:val="006774F1"/>
    <w:rsid w:val="006824AF"/>
    <w:rsid w:val="00687557"/>
    <w:rsid w:val="0068765B"/>
    <w:rsid w:val="00690723"/>
    <w:rsid w:val="00691F58"/>
    <w:rsid w:val="0069219C"/>
    <w:rsid w:val="00696C93"/>
    <w:rsid w:val="006A5273"/>
    <w:rsid w:val="006A7DF2"/>
    <w:rsid w:val="006B234A"/>
    <w:rsid w:val="006C6B93"/>
    <w:rsid w:val="006D0801"/>
    <w:rsid w:val="006D0CD7"/>
    <w:rsid w:val="006D1388"/>
    <w:rsid w:val="006D1B87"/>
    <w:rsid w:val="006D55AC"/>
    <w:rsid w:val="006D7765"/>
    <w:rsid w:val="006E0073"/>
    <w:rsid w:val="006E1FCF"/>
    <w:rsid w:val="006E2CC2"/>
    <w:rsid w:val="006E3956"/>
    <w:rsid w:val="006E4FAD"/>
    <w:rsid w:val="006E60EF"/>
    <w:rsid w:val="006F07ED"/>
    <w:rsid w:val="006F47AD"/>
    <w:rsid w:val="006F68C6"/>
    <w:rsid w:val="0070417D"/>
    <w:rsid w:val="0070473B"/>
    <w:rsid w:val="00713A9C"/>
    <w:rsid w:val="0071421E"/>
    <w:rsid w:val="00716803"/>
    <w:rsid w:val="0072150B"/>
    <w:rsid w:val="007230BB"/>
    <w:rsid w:val="00725E8B"/>
    <w:rsid w:val="007264BB"/>
    <w:rsid w:val="00726828"/>
    <w:rsid w:val="00730B7E"/>
    <w:rsid w:val="007314CE"/>
    <w:rsid w:val="0073150F"/>
    <w:rsid w:val="00742FB4"/>
    <w:rsid w:val="00747706"/>
    <w:rsid w:val="007535D5"/>
    <w:rsid w:val="007537B3"/>
    <w:rsid w:val="007549E7"/>
    <w:rsid w:val="00755C5E"/>
    <w:rsid w:val="00755E7E"/>
    <w:rsid w:val="0075634A"/>
    <w:rsid w:val="00757A06"/>
    <w:rsid w:val="00757B71"/>
    <w:rsid w:val="00762C25"/>
    <w:rsid w:val="00762DDE"/>
    <w:rsid w:val="00765C1D"/>
    <w:rsid w:val="00766022"/>
    <w:rsid w:val="007669DF"/>
    <w:rsid w:val="00766B45"/>
    <w:rsid w:val="007738D1"/>
    <w:rsid w:val="00774535"/>
    <w:rsid w:val="00775EEE"/>
    <w:rsid w:val="00780E7B"/>
    <w:rsid w:val="00783C36"/>
    <w:rsid w:val="007853CC"/>
    <w:rsid w:val="00785F46"/>
    <w:rsid w:val="00786942"/>
    <w:rsid w:val="007903E3"/>
    <w:rsid w:val="0079362B"/>
    <w:rsid w:val="00795E1F"/>
    <w:rsid w:val="007960BC"/>
    <w:rsid w:val="00796B4E"/>
    <w:rsid w:val="0079758B"/>
    <w:rsid w:val="007A0057"/>
    <w:rsid w:val="007A1F0F"/>
    <w:rsid w:val="007A1FA6"/>
    <w:rsid w:val="007A219C"/>
    <w:rsid w:val="007A32CB"/>
    <w:rsid w:val="007A765B"/>
    <w:rsid w:val="007B1825"/>
    <w:rsid w:val="007C11AF"/>
    <w:rsid w:val="007C1641"/>
    <w:rsid w:val="007C1838"/>
    <w:rsid w:val="007C1ECE"/>
    <w:rsid w:val="007C2F86"/>
    <w:rsid w:val="007C48BB"/>
    <w:rsid w:val="007C49F7"/>
    <w:rsid w:val="007C6071"/>
    <w:rsid w:val="007C6A0A"/>
    <w:rsid w:val="007C6DA5"/>
    <w:rsid w:val="007D1CF1"/>
    <w:rsid w:val="007D2D68"/>
    <w:rsid w:val="007D34A0"/>
    <w:rsid w:val="007E03A8"/>
    <w:rsid w:val="007E0531"/>
    <w:rsid w:val="007E5EF1"/>
    <w:rsid w:val="007E6998"/>
    <w:rsid w:val="007F18CB"/>
    <w:rsid w:val="007F499D"/>
    <w:rsid w:val="007F4FE1"/>
    <w:rsid w:val="007F5CCA"/>
    <w:rsid w:val="00800118"/>
    <w:rsid w:val="008002AB"/>
    <w:rsid w:val="0080459A"/>
    <w:rsid w:val="00806531"/>
    <w:rsid w:val="00810AB4"/>
    <w:rsid w:val="0081259C"/>
    <w:rsid w:val="00816BCD"/>
    <w:rsid w:val="00816E1C"/>
    <w:rsid w:val="00820909"/>
    <w:rsid w:val="0082337B"/>
    <w:rsid w:val="0082360C"/>
    <w:rsid w:val="00823C45"/>
    <w:rsid w:val="00824049"/>
    <w:rsid w:val="0082416A"/>
    <w:rsid w:val="00830BC1"/>
    <w:rsid w:val="008322E5"/>
    <w:rsid w:val="008349F3"/>
    <w:rsid w:val="008357EC"/>
    <w:rsid w:val="00837C52"/>
    <w:rsid w:val="0084664D"/>
    <w:rsid w:val="00847896"/>
    <w:rsid w:val="008507F5"/>
    <w:rsid w:val="00852D34"/>
    <w:rsid w:val="00855424"/>
    <w:rsid w:val="008571B5"/>
    <w:rsid w:val="0085750C"/>
    <w:rsid w:val="00857DBB"/>
    <w:rsid w:val="00864C28"/>
    <w:rsid w:val="00864D1E"/>
    <w:rsid w:val="008659C4"/>
    <w:rsid w:val="00870A89"/>
    <w:rsid w:val="00873819"/>
    <w:rsid w:val="00876765"/>
    <w:rsid w:val="008769F3"/>
    <w:rsid w:val="00877681"/>
    <w:rsid w:val="00882837"/>
    <w:rsid w:val="00884C0C"/>
    <w:rsid w:val="0088546C"/>
    <w:rsid w:val="0088741C"/>
    <w:rsid w:val="00890767"/>
    <w:rsid w:val="00893791"/>
    <w:rsid w:val="008943CA"/>
    <w:rsid w:val="008A0132"/>
    <w:rsid w:val="008A0735"/>
    <w:rsid w:val="008A0D15"/>
    <w:rsid w:val="008A31FA"/>
    <w:rsid w:val="008A4519"/>
    <w:rsid w:val="008A50FA"/>
    <w:rsid w:val="008B3B64"/>
    <w:rsid w:val="008B3E9D"/>
    <w:rsid w:val="008B3FAE"/>
    <w:rsid w:val="008B4D84"/>
    <w:rsid w:val="008C07B3"/>
    <w:rsid w:val="008C15BC"/>
    <w:rsid w:val="008C6A36"/>
    <w:rsid w:val="008D11BA"/>
    <w:rsid w:val="008E10BB"/>
    <w:rsid w:val="008E11CF"/>
    <w:rsid w:val="008E2986"/>
    <w:rsid w:val="008E53DD"/>
    <w:rsid w:val="008F1944"/>
    <w:rsid w:val="008F2323"/>
    <w:rsid w:val="008F573D"/>
    <w:rsid w:val="008F6F22"/>
    <w:rsid w:val="00901F48"/>
    <w:rsid w:val="009028C7"/>
    <w:rsid w:val="00907EDA"/>
    <w:rsid w:val="009118FB"/>
    <w:rsid w:val="00912501"/>
    <w:rsid w:val="00912895"/>
    <w:rsid w:val="00913716"/>
    <w:rsid w:val="0091516A"/>
    <w:rsid w:val="009178E8"/>
    <w:rsid w:val="00917B39"/>
    <w:rsid w:val="00920BB6"/>
    <w:rsid w:val="00921CAE"/>
    <w:rsid w:val="00922E5A"/>
    <w:rsid w:val="00923343"/>
    <w:rsid w:val="009251E6"/>
    <w:rsid w:val="00925379"/>
    <w:rsid w:val="009308FF"/>
    <w:rsid w:val="00930FD3"/>
    <w:rsid w:val="00931BD2"/>
    <w:rsid w:val="00934C79"/>
    <w:rsid w:val="009351DA"/>
    <w:rsid w:val="00937772"/>
    <w:rsid w:val="00940E68"/>
    <w:rsid w:val="00945935"/>
    <w:rsid w:val="00946C48"/>
    <w:rsid w:val="0095489B"/>
    <w:rsid w:val="009573EA"/>
    <w:rsid w:val="009613CC"/>
    <w:rsid w:val="00961745"/>
    <w:rsid w:val="009619EA"/>
    <w:rsid w:val="00963C62"/>
    <w:rsid w:val="00963DFC"/>
    <w:rsid w:val="00965860"/>
    <w:rsid w:val="00973BDE"/>
    <w:rsid w:val="009745CF"/>
    <w:rsid w:val="00977B0E"/>
    <w:rsid w:val="009816DF"/>
    <w:rsid w:val="009820E2"/>
    <w:rsid w:val="00982D1C"/>
    <w:rsid w:val="00985518"/>
    <w:rsid w:val="00985D31"/>
    <w:rsid w:val="009873B7"/>
    <w:rsid w:val="0099083C"/>
    <w:rsid w:val="00992DCF"/>
    <w:rsid w:val="009A1203"/>
    <w:rsid w:val="009A2804"/>
    <w:rsid w:val="009A43BA"/>
    <w:rsid w:val="009A4E12"/>
    <w:rsid w:val="009A5683"/>
    <w:rsid w:val="009B0AA4"/>
    <w:rsid w:val="009B274A"/>
    <w:rsid w:val="009B2BD1"/>
    <w:rsid w:val="009B2E91"/>
    <w:rsid w:val="009B5414"/>
    <w:rsid w:val="009B70DE"/>
    <w:rsid w:val="009C0D6E"/>
    <w:rsid w:val="009C4BC7"/>
    <w:rsid w:val="009C5CA2"/>
    <w:rsid w:val="009C6C88"/>
    <w:rsid w:val="009C7EB6"/>
    <w:rsid w:val="009D010F"/>
    <w:rsid w:val="009D07C2"/>
    <w:rsid w:val="009D12A5"/>
    <w:rsid w:val="009D3CB6"/>
    <w:rsid w:val="009D42A5"/>
    <w:rsid w:val="009D44AE"/>
    <w:rsid w:val="009D4698"/>
    <w:rsid w:val="009D7079"/>
    <w:rsid w:val="009E080D"/>
    <w:rsid w:val="009E180C"/>
    <w:rsid w:val="009F176D"/>
    <w:rsid w:val="009F20DA"/>
    <w:rsid w:val="009F48D6"/>
    <w:rsid w:val="009F7A94"/>
    <w:rsid w:val="00A0394F"/>
    <w:rsid w:val="00A045E7"/>
    <w:rsid w:val="00A048E8"/>
    <w:rsid w:val="00A04BC1"/>
    <w:rsid w:val="00A06C66"/>
    <w:rsid w:val="00A071C7"/>
    <w:rsid w:val="00A07957"/>
    <w:rsid w:val="00A10FDB"/>
    <w:rsid w:val="00A13096"/>
    <w:rsid w:val="00A13E2D"/>
    <w:rsid w:val="00A162A7"/>
    <w:rsid w:val="00A162B3"/>
    <w:rsid w:val="00A20E6E"/>
    <w:rsid w:val="00A224B2"/>
    <w:rsid w:val="00A22CDF"/>
    <w:rsid w:val="00A233E8"/>
    <w:rsid w:val="00A23B41"/>
    <w:rsid w:val="00A2418D"/>
    <w:rsid w:val="00A32DD5"/>
    <w:rsid w:val="00A35708"/>
    <w:rsid w:val="00A35CC8"/>
    <w:rsid w:val="00A36AC0"/>
    <w:rsid w:val="00A37BF0"/>
    <w:rsid w:val="00A40028"/>
    <w:rsid w:val="00A42D0B"/>
    <w:rsid w:val="00A44ADA"/>
    <w:rsid w:val="00A46B68"/>
    <w:rsid w:val="00A4742D"/>
    <w:rsid w:val="00A4795E"/>
    <w:rsid w:val="00A47E4B"/>
    <w:rsid w:val="00A47FB4"/>
    <w:rsid w:val="00A52AFC"/>
    <w:rsid w:val="00A52EBC"/>
    <w:rsid w:val="00A5432A"/>
    <w:rsid w:val="00A55743"/>
    <w:rsid w:val="00A56169"/>
    <w:rsid w:val="00A61ECE"/>
    <w:rsid w:val="00A62CC3"/>
    <w:rsid w:val="00A65477"/>
    <w:rsid w:val="00A709B4"/>
    <w:rsid w:val="00A7195E"/>
    <w:rsid w:val="00A7331D"/>
    <w:rsid w:val="00A83D46"/>
    <w:rsid w:val="00A855BB"/>
    <w:rsid w:val="00A863AC"/>
    <w:rsid w:val="00A8720B"/>
    <w:rsid w:val="00A91A60"/>
    <w:rsid w:val="00A94C97"/>
    <w:rsid w:val="00A94D37"/>
    <w:rsid w:val="00AA09A7"/>
    <w:rsid w:val="00AA287F"/>
    <w:rsid w:val="00AA2D1C"/>
    <w:rsid w:val="00AA731B"/>
    <w:rsid w:val="00AB01C4"/>
    <w:rsid w:val="00AB0411"/>
    <w:rsid w:val="00AB04BE"/>
    <w:rsid w:val="00AB0633"/>
    <w:rsid w:val="00AB1B52"/>
    <w:rsid w:val="00AB3987"/>
    <w:rsid w:val="00AB4A99"/>
    <w:rsid w:val="00AC3C31"/>
    <w:rsid w:val="00AC4652"/>
    <w:rsid w:val="00AC73F0"/>
    <w:rsid w:val="00AD15B3"/>
    <w:rsid w:val="00AD4095"/>
    <w:rsid w:val="00AD4813"/>
    <w:rsid w:val="00AD5D61"/>
    <w:rsid w:val="00AD6427"/>
    <w:rsid w:val="00AD7A88"/>
    <w:rsid w:val="00AE00CB"/>
    <w:rsid w:val="00AE2121"/>
    <w:rsid w:val="00AE4954"/>
    <w:rsid w:val="00AE7B19"/>
    <w:rsid w:val="00AF0E25"/>
    <w:rsid w:val="00AF10B0"/>
    <w:rsid w:val="00B038B2"/>
    <w:rsid w:val="00B03EEA"/>
    <w:rsid w:val="00B04877"/>
    <w:rsid w:val="00B10658"/>
    <w:rsid w:val="00B142C2"/>
    <w:rsid w:val="00B16635"/>
    <w:rsid w:val="00B1738C"/>
    <w:rsid w:val="00B20FD7"/>
    <w:rsid w:val="00B261EF"/>
    <w:rsid w:val="00B3149A"/>
    <w:rsid w:val="00B33157"/>
    <w:rsid w:val="00B34C4E"/>
    <w:rsid w:val="00B36B21"/>
    <w:rsid w:val="00B41052"/>
    <w:rsid w:val="00B41E6C"/>
    <w:rsid w:val="00B52197"/>
    <w:rsid w:val="00B522D0"/>
    <w:rsid w:val="00B52B2B"/>
    <w:rsid w:val="00B52F93"/>
    <w:rsid w:val="00B54E15"/>
    <w:rsid w:val="00B666FA"/>
    <w:rsid w:val="00B724D0"/>
    <w:rsid w:val="00B7517C"/>
    <w:rsid w:val="00B76A54"/>
    <w:rsid w:val="00B76B85"/>
    <w:rsid w:val="00B7705B"/>
    <w:rsid w:val="00B861F2"/>
    <w:rsid w:val="00B9356F"/>
    <w:rsid w:val="00B939BB"/>
    <w:rsid w:val="00B943FC"/>
    <w:rsid w:val="00B96AFD"/>
    <w:rsid w:val="00B9710B"/>
    <w:rsid w:val="00B971F2"/>
    <w:rsid w:val="00B974F4"/>
    <w:rsid w:val="00BA0214"/>
    <w:rsid w:val="00BA1D2D"/>
    <w:rsid w:val="00BA2502"/>
    <w:rsid w:val="00BA2D93"/>
    <w:rsid w:val="00BA5954"/>
    <w:rsid w:val="00BA7EAA"/>
    <w:rsid w:val="00BB06A7"/>
    <w:rsid w:val="00BB21DD"/>
    <w:rsid w:val="00BB3385"/>
    <w:rsid w:val="00BB3578"/>
    <w:rsid w:val="00BB4DCC"/>
    <w:rsid w:val="00BC1B4B"/>
    <w:rsid w:val="00BC3046"/>
    <w:rsid w:val="00BC33E5"/>
    <w:rsid w:val="00BC5B2C"/>
    <w:rsid w:val="00BC6F92"/>
    <w:rsid w:val="00BD029F"/>
    <w:rsid w:val="00BE0371"/>
    <w:rsid w:val="00BE1B2E"/>
    <w:rsid w:val="00BE3DB4"/>
    <w:rsid w:val="00BF0095"/>
    <w:rsid w:val="00BF0CF0"/>
    <w:rsid w:val="00BF0DA8"/>
    <w:rsid w:val="00BF6439"/>
    <w:rsid w:val="00C0167E"/>
    <w:rsid w:val="00C07F1F"/>
    <w:rsid w:val="00C10D9B"/>
    <w:rsid w:val="00C11CF9"/>
    <w:rsid w:val="00C11E7A"/>
    <w:rsid w:val="00C135C3"/>
    <w:rsid w:val="00C1538D"/>
    <w:rsid w:val="00C20D22"/>
    <w:rsid w:val="00C261C8"/>
    <w:rsid w:val="00C303AF"/>
    <w:rsid w:val="00C30F3C"/>
    <w:rsid w:val="00C34322"/>
    <w:rsid w:val="00C35D62"/>
    <w:rsid w:val="00C370B2"/>
    <w:rsid w:val="00C42E35"/>
    <w:rsid w:val="00C4570F"/>
    <w:rsid w:val="00C457A9"/>
    <w:rsid w:val="00C47DC8"/>
    <w:rsid w:val="00C50C6F"/>
    <w:rsid w:val="00C62962"/>
    <w:rsid w:val="00C62AB7"/>
    <w:rsid w:val="00C639CD"/>
    <w:rsid w:val="00C6559C"/>
    <w:rsid w:val="00C70E8C"/>
    <w:rsid w:val="00C71918"/>
    <w:rsid w:val="00C81D17"/>
    <w:rsid w:val="00C952AF"/>
    <w:rsid w:val="00CA20C9"/>
    <w:rsid w:val="00CA3E50"/>
    <w:rsid w:val="00CA7305"/>
    <w:rsid w:val="00CA770B"/>
    <w:rsid w:val="00CB4EFB"/>
    <w:rsid w:val="00CB62B2"/>
    <w:rsid w:val="00CB6469"/>
    <w:rsid w:val="00CC0993"/>
    <w:rsid w:val="00CC12CA"/>
    <w:rsid w:val="00CC3ABE"/>
    <w:rsid w:val="00CC3C5B"/>
    <w:rsid w:val="00CC54F5"/>
    <w:rsid w:val="00CC7253"/>
    <w:rsid w:val="00CD207A"/>
    <w:rsid w:val="00CD53DD"/>
    <w:rsid w:val="00CD6173"/>
    <w:rsid w:val="00CE4446"/>
    <w:rsid w:val="00CE63F2"/>
    <w:rsid w:val="00CF2C74"/>
    <w:rsid w:val="00CF43CE"/>
    <w:rsid w:val="00CF5081"/>
    <w:rsid w:val="00CF53A1"/>
    <w:rsid w:val="00CF6AF3"/>
    <w:rsid w:val="00D0014C"/>
    <w:rsid w:val="00D0285D"/>
    <w:rsid w:val="00D0396C"/>
    <w:rsid w:val="00D05C61"/>
    <w:rsid w:val="00D06C49"/>
    <w:rsid w:val="00D11600"/>
    <w:rsid w:val="00D1653A"/>
    <w:rsid w:val="00D21A25"/>
    <w:rsid w:val="00D22FAE"/>
    <w:rsid w:val="00D256D3"/>
    <w:rsid w:val="00D267D5"/>
    <w:rsid w:val="00D30C91"/>
    <w:rsid w:val="00D356EA"/>
    <w:rsid w:val="00D37073"/>
    <w:rsid w:val="00D41EC7"/>
    <w:rsid w:val="00D43F0C"/>
    <w:rsid w:val="00D4725B"/>
    <w:rsid w:val="00D5193C"/>
    <w:rsid w:val="00D52812"/>
    <w:rsid w:val="00D70F92"/>
    <w:rsid w:val="00D80B55"/>
    <w:rsid w:val="00D810DA"/>
    <w:rsid w:val="00D83897"/>
    <w:rsid w:val="00D83FC2"/>
    <w:rsid w:val="00D851F9"/>
    <w:rsid w:val="00D877E7"/>
    <w:rsid w:val="00D92DC6"/>
    <w:rsid w:val="00D97B7B"/>
    <w:rsid w:val="00D97C91"/>
    <w:rsid w:val="00DA3142"/>
    <w:rsid w:val="00DA421F"/>
    <w:rsid w:val="00DA585F"/>
    <w:rsid w:val="00DA7650"/>
    <w:rsid w:val="00DB0681"/>
    <w:rsid w:val="00DB0A3A"/>
    <w:rsid w:val="00DB24E1"/>
    <w:rsid w:val="00DB3E09"/>
    <w:rsid w:val="00DB5385"/>
    <w:rsid w:val="00DB573C"/>
    <w:rsid w:val="00DB67F0"/>
    <w:rsid w:val="00DB6A7C"/>
    <w:rsid w:val="00DC2542"/>
    <w:rsid w:val="00DC328E"/>
    <w:rsid w:val="00DC43F2"/>
    <w:rsid w:val="00DC560C"/>
    <w:rsid w:val="00DC6736"/>
    <w:rsid w:val="00DC7C64"/>
    <w:rsid w:val="00DD410A"/>
    <w:rsid w:val="00DD6C0F"/>
    <w:rsid w:val="00DE10C4"/>
    <w:rsid w:val="00DE142F"/>
    <w:rsid w:val="00DE14CA"/>
    <w:rsid w:val="00DE1812"/>
    <w:rsid w:val="00DE1CEB"/>
    <w:rsid w:val="00DE59EB"/>
    <w:rsid w:val="00DE6009"/>
    <w:rsid w:val="00DF310D"/>
    <w:rsid w:val="00DF43BF"/>
    <w:rsid w:val="00DF64D9"/>
    <w:rsid w:val="00DF6951"/>
    <w:rsid w:val="00DF6B71"/>
    <w:rsid w:val="00E004B8"/>
    <w:rsid w:val="00E00557"/>
    <w:rsid w:val="00E0161E"/>
    <w:rsid w:val="00E026A8"/>
    <w:rsid w:val="00E032A1"/>
    <w:rsid w:val="00E03636"/>
    <w:rsid w:val="00E03A9B"/>
    <w:rsid w:val="00E03BE0"/>
    <w:rsid w:val="00E05A56"/>
    <w:rsid w:val="00E05BBD"/>
    <w:rsid w:val="00E078E1"/>
    <w:rsid w:val="00E07E14"/>
    <w:rsid w:val="00E10A2B"/>
    <w:rsid w:val="00E10F16"/>
    <w:rsid w:val="00E160F0"/>
    <w:rsid w:val="00E203F6"/>
    <w:rsid w:val="00E2466A"/>
    <w:rsid w:val="00E343CC"/>
    <w:rsid w:val="00E34F39"/>
    <w:rsid w:val="00E35AE5"/>
    <w:rsid w:val="00E35D7E"/>
    <w:rsid w:val="00E36AC2"/>
    <w:rsid w:val="00E36F7F"/>
    <w:rsid w:val="00E412A7"/>
    <w:rsid w:val="00E437B1"/>
    <w:rsid w:val="00E4400B"/>
    <w:rsid w:val="00E54013"/>
    <w:rsid w:val="00E636A2"/>
    <w:rsid w:val="00E6431F"/>
    <w:rsid w:val="00E65E99"/>
    <w:rsid w:val="00E661FB"/>
    <w:rsid w:val="00E70727"/>
    <w:rsid w:val="00E71780"/>
    <w:rsid w:val="00E77546"/>
    <w:rsid w:val="00E77717"/>
    <w:rsid w:val="00E80340"/>
    <w:rsid w:val="00E8271F"/>
    <w:rsid w:val="00E82FF7"/>
    <w:rsid w:val="00E834F7"/>
    <w:rsid w:val="00E8605C"/>
    <w:rsid w:val="00E86D02"/>
    <w:rsid w:val="00E876C1"/>
    <w:rsid w:val="00E96952"/>
    <w:rsid w:val="00EA1B6E"/>
    <w:rsid w:val="00EA1DDF"/>
    <w:rsid w:val="00EA743D"/>
    <w:rsid w:val="00EB34F0"/>
    <w:rsid w:val="00EB4B68"/>
    <w:rsid w:val="00EB4DE9"/>
    <w:rsid w:val="00EC1704"/>
    <w:rsid w:val="00EC2473"/>
    <w:rsid w:val="00EC32FD"/>
    <w:rsid w:val="00EC5167"/>
    <w:rsid w:val="00EC5DB0"/>
    <w:rsid w:val="00EC6CC8"/>
    <w:rsid w:val="00ED4755"/>
    <w:rsid w:val="00ED4B84"/>
    <w:rsid w:val="00ED5ADE"/>
    <w:rsid w:val="00ED5E3F"/>
    <w:rsid w:val="00EE054F"/>
    <w:rsid w:val="00EE2CD3"/>
    <w:rsid w:val="00EE33AD"/>
    <w:rsid w:val="00EF1B55"/>
    <w:rsid w:val="00EF312D"/>
    <w:rsid w:val="00EF3221"/>
    <w:rsid w:val="00F029B3"/>
    <w:rsid w:val="00F05479"/>
    <w:rsid w:val="00F05681"/>
    <w:rsid w:val="00F06378"/>
    <w:rsid w:val="00F07AD6"/>
    <w:rsid w:val="00F10759"/>
    <w:rsid w:val="00F11A56"/>
    <w:rsid w:val="00F13FFA"/>
    <w:rsid w:val="00F14471"/>
    <w:rsid w:val="00F20D71"/>
    <w:rsid w:val="00F21AC4"/>
    <w:rsid w:val="00F230EB"/>
    <w:rsid w:val="00F247E7"/>
    <w:rsid w:val="00F25216"/>
    <w:rsid w:val="00F259E5"/>
    <w:rsid w:val="00F27703"/>
    <w:rsid w:val="00F27A6C"/>
    <w:rsid w:val="00F30195"/>
    <w:rsid w:val="00F3054E"/>
    <w:rsid w:val="00F31828"/>
    <w:rsid w:val="00F324F4"/>
    <w:rsid w:val="00F45640"/>
    <w:rsid w:val="00F45650"/>
    <w:rsid w:val="00F468A7"/>
    <w:rsid w:val="00F47E4C"/>
    <w:rsid w:val="00F508F4"/>
    <w:rsid w:val="00F53C7F"/>
    <w:rsid w:val="00F54492"/>
    <w:rsid w:val="00F54C95"/>
    <w:rsid w:val="00F607FC"/>
    <w:rsid w:val="00F62F63"/>
    <w:rsid w:val="00F63EB9"/>
    <w:rsid w:val="00F6412D"/>
    <w:rsid w:val="00F665A6"/>
    <w:rsid w:val="00F73BE6"/>
    <w:rsid w:val="00F7460F"/>
    <w:rsid w:val="00F7503A"/>
    <w:rsid w:val="00F756D3"/>
    <w:rsid w:val="00F75B38"/>
    <w:rsid w:val="00F81FFA"/>
    <w:rsid w:val="00F82331"/>
    <w:rsid w:val="00F83F6B"/>
    <w:rsid w:val="00F90E40"/>
    <w:rsid w:val="00F91F85"/>
    <w:rsid w:val="00F94BB0"/>
    <w:rsid w:val="00F96A5C"/>
    <w:rsid w:val="00F97C8D"/>
    <w:rsid w:val="00FA1980"/>
    <w:rsid w:val="00FA4658"/>
    <w:rsid w:val="00FA7F69"/>
    <w:rsid w:val="00FB0CBC"/>
    <w:rsid w:val="00FB6BAD"/>
    <w:rsid w:val="00FC04C1"/>
    <w:rsid w:val="00FC097D"/>
    <w:rsid w:val="00FC22DC"/>
    <w:rsid w:val="00FC3A54"/>
    <w:rsid w:val="00FC64F3"/>
    <w:rsid w:val="00FC6F7D"/>
    <w:rsid w:val="00FC73D3"/>
    <w:rsid w:val="00FC7EE4"/>
    <w:rsid w:val="00FD3355"/>
    <w:rsid w:val="00FD36A0"/>
    <w:rsid w:val="00FD5A37"/>
    <w:rsid w:val="00FD741E"/>
    <w:rsid w:val="00FE0B16"/>
    <w:rsid w:val="00FE24C6"/>
    <w:rsid w:val="00FE4E2A"/>
    <w:rsid w:val="00FE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1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1F"/>
    <w:pPr>
      <w:spacing w:after="160" w:line="259" w:lineRule="auto"/>
    </w:pPr>
    <w:rPr>
      <w:rFonts w:eastAsiaTheme="minorEastAsia"/>
      <w:sz w:val="22"/>
      <w:szCs w:val="22"/>
    </w:rPr>
  </w:style>
  <w:style w:type="paragraph" w:styleId="Heading3">
    <w:name w:val="heading 3"/>
    <w:basedOn w:val="Normal"/>
    <w:next w:val="Normal"/>
    <w:link w:val="Heading3Char"/>
    <w:uiPriority w:val="9"/>
    <w:unhideWhenUsed/>
    <w:qFormat/>
    <w:rsid w:val="005B590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43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643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6431F"/>
    <w:rPr>
      <w:vertAlign w:val="superscript"/>
    </w:rPr>
  </w:style>
  <w:style w:type="paragraph" w:styleId="Footer">
    <w:name w:val="footer"/>
    <w:basedOn w:val="Normal"/>
    <w:link w:val="FooterChar"/>
    <w:uiPriority w:val="99"/>
    <w:unhideWhenUsed/>
    <w:rsid w:val="00A2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B2"/>
    <w:rPr>
      <w:rFonts w:eastAsiaTheme="minorEastAsia"/>
      <w:sz w:val="22"/>
      <w:szCs w:val="22"/>
    </w:rPr>
  </w:style>
  <w:style w:type="character" w:styleId="PageNumber">
    <w:name w:val="page number"/>
    <w:basedOn w:val="DefaultParagraphFont"/>
    <w:uiPriority w:val="99"/>
    <w:semiHidden/>
    <w:unhideWhenUsed/>
    <w:rsid w:val="00A224B2"/>
  </w:style>
  <w:style w:type="character" w:styleId="CommentReference">
    <w:name w:val="annotation reference"/>
    <w:basedOn w:val="DefaultParagraphFont"/>
    <w:uiPriority w:val="99"/>
    <w:semiHidden/>
    <w:unhideWhenUsed/>
    <w:rsid w:val="00A20E6E"/>
    <w:rPr>
      <w:sz w:val="16"/>
      <w:szCs w:val="16"/>
    </w:rPr>
  </w:style>
  <w:style w:type="paragraph" w:styleId="CommentText">
    <w:name w:val="annotation text"/>
    <w:basedOn w:val="Normal"/>
    <w:link w:val="CommentTextChar"/>
    <w:uiPriority w:val="99"/>
    <w:unhideWhenUsed/>
    <w:rsid w:val="00A20E6E"/>
    <w:pPr>
      <w:spacing w:line="240" w:lineRule="auto"/>
    </w:pPr>
    <w:rPr>
      <w:sz w:val="20"/>
      <w:szCs w:val="20"/>
    </w:rPr>
  </w:style>
  <w:style w:type="character" w:customStyle="1" w:styleId="CommentTextChar">
    <w:name w:val="Comment Text Char"/>
    <w:basedOn w:val="DefaultParagraphFont"/>
    <w:link w:val="CommentText"/>
    <w:uiPriority w:val="99"/>
    <w:rsid w:val="00A20E6E"/>
    <w:rPr>
      <w:rFonts w:eastAsiaTheme="minorEastAsia"/>
      <w:sz w:val="20"/>
      <w:szCs w:val="20"/>
    </w:rPr>
  </w:style>
  <w:style w:type="paragraph" w:styleId="BalloonText">
    <w:name w:val="Balloon Text"/>
    <w:basedOn w:val="Normal"/>
    <w:link w:val="BalloonTextChar"/>
    <w:uiPriority w:val="99"/>
    <w:semiHidden/>
    <w:unhideWhenUsed/>
    <w:rsid w:val="00A20E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E6E"/>
    <w:rPr>
      <w:rFonts w:ascii="Times New Roman" w:eastAsiaTheme="minorEastAsia" w:hAnsi="Times New Roman" w:cs="Times New Roman"/>
      <w:sz w:val="18"/>
      <w:szCs w:val="18"/>
    </w:rPr>
  </w:style>
  <w:style w:type="character" w:customStyle="1" w:styleId="ssbf">
    <w:name w:val="ss_bf"/>
    <w:basedOn w:val="DefaultParagraphFont"/>
    <w:rsid w:val="00A20E6E"/>
  </w:style>
  <w:style w:type="character" w:customStyle="1" w:styleId="Heading3Char">
    <w:name w:val="Heading 3 Char"/>
    <w:basedOn w:val="DefaultParagraphFont"/>
    <w:link w:val="Heading3"/>
    <w:uiPriority w:val="9"/>
    <w:rsid w:val="005B5902"/>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1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669DF"/>
    <w:pPr>
      <w:spacing w:after="0" w:line="240" w:lineRule="auto"/>
    </w:pPr>
    <w:rPr>
      <w:sz w:val="24"/>
      <w:szCs w:val="24"/>
    </w:rPr>
  </w:style>
  <w:style w:type="character" w:customStyle="1" w:styleId="EndnoteTextChar">
    <w:name w:val="Endnote Text Char"/>
    <w:basedOn w:val="DefaultParagraphFont"/>
    <w:link w:val="EndnoteText"/>
    <w:uiPriority w:val="99"/>
    <w:rsid w:val="007669DF"/>
    <w:rPr>
      <w:rFonts w:eastAsiaTheme="minorEastAsia"/>
    </w:rPr>
  </w:style>
  <w:style w:type="character" w:styleId="EndnoteReference">
    <w:name w:val="endnote reference"/>
    <w:basedOn w:val="DefaultParagraphFont"/>
    <w:uiPriority w:val="99"/>
    <w:unhideWhenUsed/>
    <w:rsid w:val="007669DF"/>
    <w:rPr>
      <w:vertAlign w:val="superscript"/>
    </w:rPr>
  </w:style>
  <w:style w:type="paragraph" w:styleId="ListParagraph">
    <w:name w:val="List Paragraph"/>
    <w:basedOn w:val="Normal"/>
    <w:uiPriority w:val="34"/>
    <w:qFormat/>
    <w:rsid w:val="00FA1980"/>
    <w:pPr>
      <w:ind w:left="720"/>
      <w:contextualSpacing/>
    </w:pPr>
  </w:style>
  <w:style w:type="paragraph" w:styleId="Header">
    <w:name w:val="header"/>
    <w:basedOn w:val="Normal"/>
    <w:link w:val="HeaderChar"/>
    <w:uiPriority w:val="99"/>
    <w:unhideWhenUsed/>
    <w:rsid w:val="000E3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986"/>
    <w:rPr>
      <w:rFonts w:eastAsiaTheme="minorEastAsia"/>
      <w:sz w:val="22"/>
      <w:szCs w:val="22"/>
    </w:rPr>
  </w:style>
  <w:style w:type="character" w:styleId="PlaceholderText">
    <w:name w:val="Placeholder Text"/>
    <w:basedOn w:val="DefaultParagraphFont"/>
    <w:uiPriority w:val="99"/>
    <w:semiHidden/>
    <w:rsid w:val="00A94C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32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DB89-F4B3-FA47-903E-C1888D2B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21612</Words>
  <Characters>123192</Characters>
  <Application>Microsoft Macintosh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Semet</dc:creator>
  <cp:keywords/>
  <dc:description/>
  <cp:lastModifiedBy>Amy E. Semet</cp:lastModifiedBy>
  <cp:revision>2</cp:revision>
  <dcterms:created xsi:type="dcterms:W3CDTF">2017-01-20T04:02:00Z</dcterms:created>
  <dcterms:modified xsi:type="dcterms:W3CDTF">2017-01-20T04:02:00Z</dcterms:modified>
</cp:coreProperties>
</file>