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E895F" w14:textId="77777777" w:rsidR="007C5E2A" w:rsidRDefault="0086288C" w:rsidP="0086288C">
      <w:pPr>
        <w:pStyle w:val="ArticleTitle"/>
        <w:rPr>
          <w:sz w:val="28"/>
          <w:szCs w:val="28"/>
        </w:rPr>
      </w:pPr>
      <w:r>
        <w:rPr>
          <w:sz w:val="28"/>
          <w:szCs w:val="28"/>
        </w:rPr>
        <w:t xml:space="preserve">STATUTORY INTERPRETATION FROM THE </w:t>
      </w:r>
    </w:p>
    <w:p w14:paraId="4B3E220E" w14:textId="7DF8E2D7" w:rsidR="0086288C" w:rsidRPr="00471E15" w:rsidRDefault="0086288C" w:rsidP="0086288C">
      <w:pPr>
        <w:pStyle w:val="ArticleTitle"/>
        <w:rPr>
          <w:sz w:val="28"/>
          <w:szCs w:val="28"/>
        </w:rPr>
      </w:pPr>
      <w:r>
        <w:rPr>
          <w:sz w:val="28"/>
          <w:szCs w:val="28"/>
        </w:rPr>
        <w:t>AGENCY PERSPECTIVE</w:t>
      </w:r>
    </w:p>
    <w:p w14:paraId="29AD44D6" w14:textId="77777777" w:rsidR="0086288C" w:rsidRDefault="0086288C" w:rsidP="0086288C">
      <w:pPr>
        <w:rPr>
          <w:caps/>
        </w:rPr>
      </w:pPr>
    </w:p>
    <w:p w14:paraId="77367FBC" w14:textId="77777777" w:rsidR="0086288C" w:rsidRPr="00A51414" w:rsidRDefault="0086288C" w:rsidP="0086288C">
      <w:pPr>
        <w:pStyle w:val="YourName"/>
        <w:rPr>
          <w:i w:val="0"/>
          <w:sz w:val="26"/>
          <w:szCs w:val="26"/>
        </w:rPr>
      </w:pPr>
      <w:bookmarkStart w:id="0" w:name="_GoBack"/>
      <w:r w:rsidRPr="00A51414">
        <w:rPr>
          <w:i w:val="0"/>
          <w:sz w:val="26"/>
          <w:szCs w:val="26"/>
        </w:rPr>
        <w:t>Amy Semet</w:t>
      </w:r>
      <w:r w:rsidRPr="00A51414">
        <w:rPr>
          <w:rStyle w:val="FootnoteReference"/>
          <w:i w:val="0"/>
          <w:sz w:val="26"/>
          <w:szCs w:val="26"/>
        </w:rPr>
        <w:footnoteReference w:customMarkFollows="1" w:id="1"/>
        <w:t>*</w:t>
      </w:r>
    </w:p>
    <w:bookmarkEnd w:id="0"/>
    <w:p w14:paraId="610B7B34" w14:textId="35DFAFAA" w:rsidR="0086288C" w:rsidRDefault="0086288C" w:rsidP="001F1D99">
      <w:pPr>
        <w:pStyle w:val="Heading1"/>
        <w:numPr>
          <w:ilvl w:val="0"/>
          <w:numId w:val="0"/>
        </w:numPr>
        <w:jc w:val="both"/>
      </w:pPr>
    </w:p>
    <w:p w14:paraId="40EFBA5C" w14:textId="7FB31B1A" w:rsidR="0086288C" w:rsidRPr="00A51414" w:rsidRDefault="0086288C" w:rsidP="00CB2FE0">
      <w:pPr>
        <w:ind w:firstLine="0"/>
        <w:rPr>
          <w:rFonts w:ascii="Times New Roman" w:hAnsi="Times New Roman"/>
          <w:i/>
          <w:szCs w:val="24"/>
        </w:rPr>
      </w:pPr>
      <w:r w:rsidRPr="00A51414">
        <w:rPr>
          <w:rFonts w:ascii="Times New Roman" w:hAnsi="Times New Roman"/>
          <w:i/>
          <w:szCs w:val="24"/>
        </w:rPr>
        <w:t>How do administrative agencies interpret statutes? In recent years, there have been both increased calls to empirically examine the administrative state as well as renewed attention to engage in a more refined analysis of statutory interpretation more generally. Despite the detailed theoretical treatment on how agencies construe statutes, far less is known empirically about administrative statutory interpretation even though agencies play a critical role in how laws are interpreted. This Article looks behind the black box of agency statutory interpretation to review how administrative agencies use canons and other tools of statutory interpretation to decide cases. Surveying over 7,000 cases heard by the National Labor Relations Board (“NLRB”) from 1993-2016, I analyze the statutory methodologies the Board used in its decisions in order to uncover patterns of how the Board interprets statutes over time. Overall, I find no ideological coherence to statutory methodology. Board members largely interpret statutes to advance a policy agenda, switching between textualist or purposive methods depending upon the partisan outcome sought. Board members often use statutory methodologies to dueling purposes, with majority and dissenting Board members using the same statutory methodology to support contrasting outcomes. The Board has also changed how it interprets statutes over time, relying in recent years more on vague pronouncements of policy or practical implications and less on precedent or legislative history. Moreover, despite scholars arguing that agencies should interpret statutes differently than courts, in practice, this study indicates that the NLRB interprets its governing statute using the very same tools than a court would.</w:t>
      </w:r>
    </w:p>
    <w:p w14:paraId="6162E732" w14:textId="77777777" w:rsidR="001F1D99" w:rsidRPr="00A51414" w:rsidRDefault="001F1D99" w:rsidP="001F1D99">
      <w:pPr>
        <w:rPr>
          <w:rFonts w:ascii="Times New Roman" w:hAnsi="Times New Roman"/>
          <w:i/>
          <w:szCs w:val="24"/>
        </w:rPr>
      </w:pPr>
    </w:p>
    <w:p w14:paraId="28C2E305" w14:textId="7730CC20" w:rsidR="0086288C" w:rsidRPr="00A51414" w:rsidRDefault="0086288C" w:rsidP="00CB2FE0">
      <w:pPr>
        <w:ind w:firstLine="0"/>
        <w:rPr>
          <w:rFonts w:ascii="Times New Roman" w:hAnsi="Times New Roman"/>
          <w:i/>
          <w:szCs w:val="24"/>
        </w:rPr>
      </w:pPr>
      <w:r w:rsidRPr="00A51414">
        <w:rPr>
          <w:rFonts w:ascii="Times New Roman" w:hAnsi="Times New Roman"/>
          <w:i/>
          <w:szCs w:val="24"/>
        </w:rPr>
        <w:t xml:space="preserve">After analyzing the empirical data, I set forth policy recommendations for how agencies should interpret statutes. The balance required — between policy coherence, stability and democratic accountability — is fundamentally </w:t>
      </w:r>
      <w:r w:rsidRPr="00A51414">
        <w:rPr>
          <w:rFonts w:ascii="Times New Roman" w:hAnsi="Times New Roman"/>
          <w:i/>
          <w:szCs w:val="24"/>
        </w:rPr>
        <w:lastRenderedPageBreak/>
        <w:t>different in the context of agency statutory interpretation than for interpretation by a judicial body. Statutory interpretation at the NLRB is too judicialized and too reliant on appellate and Supreme Court precedent in infusing meaning to vague statutory directives. Its use of certain textual canons of construction is out of step with how Con</w:t>
      </w:r>
      <w:r w:rsidR="00445D43" w:rsidRPr="00A51414">
        <w:rPr>
          <w:rFonts w:ascii="Times New Roman" w:hAnsi="Times New Roman"/>
          <w:i/>
          <w:szCs w:val="24"/>
        </w:rPr>
        <w:t>gress actually drafts statutes and t</w:t>
      </w:r>
      <w:r w:rsidRPr="00A51414">
        <w:rPr>
          <w:rFonts w:ascii="Times New Roman" w:hAnsi="Times New Roman"/>
          <w:i/>
          <w:szCs w:val="24"/>
        </w:rPr>
        <w:t>he cherry-picking of a legislative history made nearly 75 years ago to advance ideological arguments seems misplaced in the current political climate</w:t>
      </w:r>
      <w:r w:rsidR="00445D43" w:rsidRPr="00A51414">
        <w:rPr>
          <w:rFonts w:ascii="Times New Roman" w:hAnsi="Times New Roman"/>
          <w:i/>
          <w:szCs w:val="24"/>
        </w:rPr>
        <w:t xml:space="preserve">. </w:t>
      </w:r>
      <w:r w:rsidRPr="00A51414">
        <w:rPr>
          <w:rFonts w:ascii="Times New Roman" w:hAnsi="Times New Roman"/>
          <w:i/>
          <w:szCs w:val="24"/>
        </w:rPr>
        <w:t xml:space="preserve">Rather than acting like a court, adjudicative agencies like the NLRB should leverage their expertise to arrive at an interpretation that best effectuates the purpose of the statute. Agencies should engage in policymaking by making the reasoning of its decisions known and backed up by relevant social science data concerning the import of its decisions in line with background norms of the given substantive area of law. For an agency like the NLRB that makes decisions almost exclusively through adjudication this may necessitate that the agency reveal its statutory interpretation in a more transparent fashion by engaging in rulemaking. </w:t>
      </w:r>
    </w:p>
    <w:p w14:paraId="234A76BB" w14:textId="77777777" w:rsidR="001F1D99" w:rsidRPr="000410F3" w:rsidRDefault="001F1D99" w:rsidP="00445D43">
      <w:pPr>
        <w:ind w:firstLine="0"/>
        <w:rPr>
          <w:rFonts w:ascii="Times New Roman" w:hAnsi="Times New Roman"/>
          <w:szCs w:val="24"/>
        </w:rPr>
      </w:pPr>
    </w:p>
    <w:p w14:paraId="51F192BC" w14:textId="77777777" w:rsidR="0086288C" w:rsidRDefault="0086288C" w:rsidP="0086288C">
      <w:pPr>
        <w:ind w:firstLine="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INTRODUCTION</w:t>
      </w:r>
    </w:p>
    <w:p w14:paraId="3B971CE0" w14:textId="77777777" w:rsidR="0086288C" w:rsidRDefault="0086288C" w:rsidP="0086288C">
      <w:pPr>
        <w:ind w:firstLine="720"/>
        <w:rPr>
          <w:rFonts w:ascii="Times New Roman" w:hAnsi="Times New Roman"/>
          <w:szCs w:val="24"/>
        </w:rPr>
      </w:pPr>
    </w:p>
    <w:p w14:paraId="2F3B8A67" w14:textId="77777777" w:rsidR="0086288C" w:rsidRPr="001C6762" w:rsidRDefault="0086288C" w:rsidP="0086288C">
      <w:pPr>
        <w:ind w:firstLine="720"/>
        <w:rPr>
          <w:rFonts w:ascii="Times New Roman" w:hAnsi="Times New Roman"/>
          <w:szCs w:val="24"/>
        </w:rPr>
      </w:pPr>
      <w:r w:rsidRPr="000410F3">
        <w:rPr>
          <w:rFonts w:ascii="Times New Roman" w:hAnsi="Times New Roman"/>
          <w:szCs w:val="24"/>
        </w:rPr>
        <w:t>Administrative agencies are the primary interpreters of federal statutes</w:t>
      </w:r>
      <w:bookmarkStart w:id="1" w:name="_Ref460545273"/>
      <w:r w:rsidRPr="000410F3">
        <w:rPr>
          <w:rStyle w:val="FootnoteReference"/>
          <w:rFonts w:ascii="Times New Roman" w:hAnsi="Times New Roman"/>
          <w:szCs w:val="24"/>
        </w:rPr>
        <w:footnoteReference w:id="2"/>
      </w:r>
      <w:bookmarkEnd w:id="1"/>
      <w:r w:rsidRPr="000410F3">
        <w:rPr>
          <w:rFonts w:ascii="Times New Roman" w:hAnsi="Times New Roman"/>
          <w:szCs w:val="24"/>
        </w:rPr>
        <w:t xml:space="preserve"> and have taken on the task of “updating” the law to current conditions</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Pr="000410F3">
        <w:rPr>
          <w:rFonts w:ascii="Times New Roman" w:hAnsi="Times New Roman"/>
          <w:szCs w:val="24"/>
        </w:rPr>
        <w:t>a practice that has long been the province of traditional common law courts.</w:t>
      </w:r>
      <w:bookmarkStart w:id="2" w:name="_Ref460552412"/>
      <w:r w:rsidRPr="000410F3">
        <w:rPr>
          <w:rStyle w:val="FootnoteReference"/>
          <w:rFonts w:ascii="Times New Roman" w:hAnsi="Times New Roman"/>
          <w:szCs w:val="24"/>
        </w:rPr>
        <w:footnoteReference w:id="3"/>
      </w:r>
      <w:bookmarkEnd w:id="2"/>
      <w:r w:rsidRPr="000410F3">
        <w:rPr>
          <w:rFonts w:ascii="Times New Roman" w:hAnsi="Times New Roman"/>
          <w:szCs w:val="24"/>
        </w:rPr>
        <w:t xml:space="preserve"> Although scholars have advanced theories on how judges in the federal courts review agency’s decisions on statutory interpretation, they have paid scant attention to how administrative agencies </w:t>
      </w:r>
      <w:r w:rsidRPr="000410F3">
        <w:rPr>
          <w:rFonts w:ascii="Times New Roman" w:hAnsi="Times New Roman"/>
          <w:szCs w:val="24"/>
        </w:rPr>
        <w:lastRenderedPageBreak/>
        <w:t>review the statutes that Congress delegates to them to interpret. Analyzing statutory interpretation beyond the r</w:t>
      </w:r>
      <w:r>
        <w:rPr>
          <w:rFonts w:ascii="Times New Roman" w:hAnsi="Times New Roman"/>
          <w:szCs w:val="24"/>
        </w:rPr>
        <w:t xml:space="preserve">ealms of the federal courts is </w:t>
      </w:r>
      <w:bookmarkStart w:id="3" w:name="_Ref489471909"/>
      <w:r>
        <w:rPr>
          <w:rFonts w:ascii="Times New Roman" w:hAnsi="Times New Roman"/>
          <w:szCs w:val="24"/>
        </w:rPr>
        <w:t>long overdue.</w:t>
      </w:r>
      <w:r w:rsidRPr="000410F3">
        <w:rPr>
          <w:rStyle w:val="FootnoteReference"/>
          <w:rFonts w:ascii="Times New Roman" w:hAnsi="Times New Roman"/>
          <w:szCs w:val="24"/>
        </w:rPr>
        <w:footnoteReference w:id="4"/>
      </w:r>
      <w:bookmarkEnd w:id="3"/>
      <w:r w:rsidRPr="000410F3">
        <w:rPr>
          <w:rFonts w:ascii="Times New Roman" w:hAnsi="Times New Roman"/>
          <w:szCs w:val="24"/>
        </w:rPr>
        <w:t xml:space="preserve"> Toward this end, Jerry Mashaw of the Yale Law School called on scholars to quantitatively study statutory construction by administrative agencies.</w:t>
      </w:r>
      <w:bookmarkStart w:id="4" w:name="_Ref460552518"/>
      <w:r w:rsidRPr="000410F3">
        <w:rPr>
          <w:rStyle w:val="FootnoteReference"/>
          <w:rFonts w:ascii="Times New Roman" w:hAnsi="Times New Roman"/>
          <w:szCs w:val="24"/>
        </w:rPr>
        <w:footnoteReference w:id="5"/>
      </w:r>
      <w:bookmarkEnd w:id="4"/>
      <w:r w:rsidRPr="000410F3">
        <w:rPr>
          <w:rFonts w:ascii="Times New Roman" w:hAnsi="Times New Roman"/>
          <w:szCs w:val="24"/>
        </w:rPr>
        <w:t xml:space="preserve"> As he argues, “[s]urely, in a legal world where agencies are of necessity the primary official interpreters of federal statutes and where that role has been judicially legitimized as presumptively controlling, attention to agencies’ interpretative methodology seems more than warranted.”</w:t>
      </w:r>
      <w:r w:rsidRPr="000410F3">
        <w:rPr>
          <w:rStyle w:val="FootnoteReference"/>
          <w:rFonts w:ascii="Times New Roman" w:hAnsi="Times New Roman"/>
          <w:szCs w:val="24"/>
        </w:rPr>
        <w:footnoteReference w:id="6"/>
      </w:r>
      <w:r w:rsidRPr="000410F3">
        <w:rPr>
          <w:rFonts w:ascii="Times New Roman" w:hAnsi="Times New Roman"/>
          <w:szCs w:val="24"/>
        </w:rPr>
        <w:t xml:space="preserve"> Indeed, there has been an increased shift in recent years to empirically study agency statutory </w:t>
      </w:r>
      <w:r>
        <w:rPr>
          <w:rFonts w:ascii="Times New Roman" w:hAnsi="Times New Roman"/>
          <w:szCs w:val="24"/>
        </w:rPr>
        <w:t>interpretatio</w:t>
      </w:r>
      <w:r w:rsidRPr="000410F3">
        <w:rPr>
          <w:rFonts w:ascii="Times New Roman" w:hAnsi="Times New Roman"/>
          <w:szCs w:val="24"/>
        </w:rPr>
        <w:t xml:space="preserve">n with a few path-breaking surveys in the past few years concerning statutory </w:t>
      </w:r>
      <w:r>
        <w:rPr>
          <w:rFonts w:ascii="Times New Roman" w:hAnsi="Times New Roman"/>
          <w:szCs w:val="24"/>
        </w:rPr>
        <w:t xml:space="preserve">interpretation </w:t>
      </w:r>
      <w:r w:rsidRPr="000410F3">
        <w:rPr>
          <w:rFonts w:ascii="Times New Roman" w:hAnsi="Times New Roman"/>
          <w:szCs w:val="24"/>
        </w:rPr>
        <w:t>among congressional staffers and agency personnel, respectively providing a glimpse behind the black box.</w:t>
      </w:r>
      <w:bookmarkStart w:id="5" w:name="_Ref460548149"/>
      <w:r w:rsidRPr="000410F3">
        <w:rPr>
          <w:rStyle w:val="FootnoteReference"/>
          <w:rFonts w:ascii="Times New Roman" w:hAnsi="Times New Roman"/>
          <w:szCs w:val="24"/>
        </w:rPr>
        <w:footnoteReference w:id="7"/>
      </w:r>
      <w:bookmarkEnd w:id="5"/>
      <w:r w:rsidRPr="000410F3">
        <w:rPr>
          <w:rFonts w:ascii="Times New Roman" w:hAnsi="Times New Roman"/>
          <w:szCs w:val="24"/>
        </w:rPr>
        <w:t xml:space="preserve"> </w:t>
      </w:r>
      <w:r>
        <w:rPr>
          <w:rFonts w:ascii="Times New Roman" w:hAnsi="Times New Roman"/>
          <w:szCs w:val="24"/>
        </w:rPr>
        <w:t>S</w:t>
      </w:r>
      <w:r w:rsidRPr="000410F3">
        <w:rPr>
          <w:rFonts w:ascii="Times New Roman" w:hAnsi="Times New Roman"/>
          <w:szCs w:val="24"/>
        </w:rPr>
        <w:t xml:space="preserve">everal scholars have </w:t>
      </w:r>
      <w:r>
        <w:rPr>
          <w:rFonts w:ascii="Times New Roman" w:hAnsi="Times New Roman"/>
          <w:szCs w:val="24"/>
        </w:rPr>
        <w:t xml:space="preserve">also </w:t>
      </w:r>
      <w:r w:rsidRPr="000410F3">
        <w:rPr>
          <w:rFonts w:ascii="Times New Roman" w:hAnsi="Times New Roman"/>
          <w:szCs w:val="24"/>
        </w:rPr>
        <w:t>offered interesting theoretical explorations on how agencies should interpret statutes.</w:t>
      </w:r>
      <w:r w:rsidRPr="000410F3">
        <w:rPr>
          <w:rStyle w:val="FootnoteReference"/>
          <w:rFonts w:ascii="Times New Roman" w:hAnsi="Times New Roman"/>
          <w:szCs w:val="24"/>
        </w:rPr>
        <w:footnoteReference w:id="8"/>
      </w:r>
      <w:r w:rsidRPr="000410F3">
        <w:rPr>
          <w:rFonts w:ascii="Times New Roman" w:hAnsi="Times New Roman"/>
          <w:szCs w:val="24"/>
        </w:rPr>
        <w:t xml:space="preserve"> Yet, we still know very little about how any particular agency actually interprets statutes in any systematic way in its adjudications</w:t>
      </w:r>
      <w:r>
        <w:rPr>
          <w:rFonts w:ascii="Times New Roman" w:hAnsi="Times New Roman"/>
          <w:szCs w:val="24"/>
        </w:rPr>
        <w:t xml:space="preserve">. </w:t>
      </w:r>
      <w:r w:rsidRPr="000410F3">
        <w:rPr>
          <w:rFonts w:ascii="Times New Roman" w:hAnsi="Times New Roman"/>
          <w:szCs w:val="24"/>
        </w:rPr>
        <w:t xml:space="preserve">This is all the more troubling given that </w:t>
      </w:r>
      <w:r w:rsidRPr="000410F3">
        <w:rPr>
          <w:rFonts w:ascii="Times New Roman" w:hAnsi="Times New Roman"/>
          <w:i/>
          <w:szCs w:val="24"/>
        </w:rPr>
        <w:t>Chevron</w:t>
      </w:r>
      <w:bookmarkStart w:id="6" w:name="_Ref489474935"/>
      <w:r w:rsidRPr="000410F3">
        <w:rPr>
          <w:rStyle w:val="FootnoteReference"/>
          <w:rFonts w:ascii="Times New Roman" w:hAnsi="Times New Roman"/>
          <w:szCs w:val="24"/>
        </w:rPr>
        <w:footnoteReference w:id="9"/>
      </w:r>
      <w:bookmarkEnd w:id="6"/>
      <w:r w:rsidRPr="000410F3">
        <w:rPr>
          <w:rFonts w:ascii="Times New Roman" w:hAnsi="Times New Roman"/>
          <w:szCs w:val="24"/>
        </w:rPr>
        <w:t xml:space="preserve"> validated </w:t>
      </w:r>
      <w:r w:rsidRPr="000410F3">
        <w:rPr>
          <w:rFonts w:ascii="Times New Roman" w:hAnsi="Times New Roman"/>
          <w:szCs w:val="24"/>
        </w:rPr>
        <w:lastRenderedPageBreak/>
        <w:t>agency statutory interpretation as an “autonomous enterprise,” with appellate courts simply charged to ensure that the agency’s construction is a “reasonable” and defensible construction of the statute.</w:t>
      </w:r>
      <w:r w:rsidRPr="000410F3">
        <w:rPr>
          <w:rStyle w:val="FootnoteReference"/>
          <w:rFonts w:ascii="Times New Roman" w:hAnsi="Times New Roman"/>
          <w:szCs w:val="24"/>
        </w:rPr>
        <w:footnoteReference w:id="10"/>
      </w:r>
      <w:r w:rsidRPr="000410F3">
        <w:rPr>
          <w:rFonts w:ascii="Times New Roman" w:hAnsi="Times New Roman"/>
          <w:szCs w:val="24"/>
        </w:rPr>
        <w:t xml:space="preserve"> </w:t>
      </w:r>
      <w:r>
        <w:rPr>
          <w:rFonts w:ascii="Times New Roman" w:hAnsi="Times New Roman"/>
          <w:szCs w:val="24"/>
        </w:rPr>
        <w:t xml:space="preserve">How are agencies arriving at the interpretations the statutes that courts defer to under </w:t>
      </w:r>
      <w:r>
        <w:rPr>
          <w:rFonts w:ascii="Times New Roman" w:hAnsi="Times New Roman"/>
          <w:i/>
          <w:szCs w:val="24"/>
        </w:rPr>
        <w:t>Chevron</w:t>
      </w:r>
      <w:r>
        <w:rPr>
          <w:rFonts w:ascii="Times New Roman" w:hAnsi="Times New Roman"/>
          <w:szCs w:val="24"/>
        </w:rPr>
        <w:t>?</w:t>
      </w:r>
    </w:p>
    <w:p w14:paraId="1A3960C5"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This Article reviews the statutory </w:t>
      </w:r>
      <w:r>
        <w:rPr>
          <w:rFonts w:ascii="Times New Roman" w:hAnsi="Times New Roman"/>
          <w:szCs w:val="24"/>
        </w:rPr>
        <w:t>interpretatio</w:t>
      </w:r>
      <w:r w:rsidRPr="000410F3">
        <w:rPr>
          <w:rFonts w:ascii="Times New Roman" w:hAnsi="Times New Roman"/>
          <w:szCs w:val="24"/>
        </w:rPr>
        <w:t>n techniques employed by the NLRB in the last 24 years through the presidencies of William Jefferson Clinton, George W. Bush (“Bush II”) and Barack Obama. Discussion centers around two empirical questions: First, to what extent do Board members use statutory methods in a consistent or partisan fashion? Second, do majority and dissenting opinions “duel” with each other with respect to the statutory constructions they apply, that is, do they use contrasting methods to interpret the same statute or do they use the same method to different ends?</w:t>
      </w:r>
      <w:bookmarkStart w:id="7" w:name="_Ref460546150"/>
      <w:r w:rsidRPr="000410F3">
        <w:rPr>
          <w:rStyle w:val="FootnoteReference"/>
          <w:rFonts w:ascii="Times New Roman" w:hAnsi="Times New Roman"/>
          <w:szCs w:val="24"/>
        </w:rPr>
        <w:footnoteReference w:id="11"/>
      </w:r>
      <w:bookmarkEnd w:id="7"/>
      <w:r w:rsidRPr="000410F3">
        <w:rPr>
          <w:rFonts w:ascii="Times New Roman" w:hAnsi="Times New Roman"/>
          <w:szCs w:val="24"/>
        </w:rPr>
        <w:t xml:space="preserve"> After exploring these questions, I look at the issue normatively by asking how the Board</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Pr="000410F3">
        <w:rPr>
          <w:rFonts w:ascii="Times New Roman" w:hAnsi="Times New Roman"/>
          <w:szCs w:val="24"/>
        </w:rPr>
        <w:t>and administrative agencies generally</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Pr="000410F3">
        <w:rPr>
          <w:rFonts w:ascii="Times New Roman" w:hAnsi="Times New Roman"/>
          <w:szCs w:val="24"/>
        </w:rPr>
        <w:t>should interpret statutes.</w:t>
      </w:r>
    </w:p>
    <w:p w14:paraId="264226C2" w14:textId="6C2174EB" w:rsidR="0086288C" w:rsidRPr="000410F3" w:rsidRDefault="0086288C" w:rsidP="0086288C">
      <w:pPr>
        <w:ind w:firstLine="720"/>
        <w:rPr>
          <w:rFonts w:ascii="Times New Roman" w:hAnsi="Times New Roman"/>
          <w:szCs w:val="24"/>
        </w:rPr>
      </w:pPr>
      <w:r w:rsidRPr="000410F3">
        <w:rPr>
          <w:rFonts w:ascii="Times New Roman" w:hAnsi="Times New Roman"/>
          <w:szCs w:val="24"/>
        </w:rPr>
        <w:t>The Article’s findings are of import to sc</w:t>
      </w:r>
      <w:r>
        <w:rPr>
          <w:rFonts w:ascii="Times New Roman" w:hAnsi="Times New Roman"/>
          <w:szCs w:val="24"/>
        </w:rPr>
        <w:t>holars of statutory interpretation</w:t>
      </w:r>
      <w:r w:rsidRPr="000410F3">
        <w:rPr>
          <w:rFonts w:ascii="Times New Roman" w:hAnsi="Times New Roman"/>
          <w:szCs w:val="24"/>
        </w:rPr>
        <w:t>. Much like the analysis by Abbe Gluck and Lisa Bressman</w:t>
      </w:r>
      <w:r w:rsidRPr="000410F3">
        <w:rPr>
          <w:rStyle w:val="FootnoteReference"/>
          <w:rFonts w:ascii="Times New Roman" w:hAnsi="Times New Roman"/>
          <w:szCs w:val="24"/>
        </w:rPr>
        <w:footnoteReference w:id="12"/>
      </w:r>
      <w:r w:rsidRPr="000410F3">
        <w:rPr>
          <w:rFonts w:ascii="Times New Roman" w:hAnsi="Times New Roman"/>
          <w:szCs w:val="24"/>
        </w:rPr>
        <w:t xml:space="preserve"> and Christopher Walker</w:t>
      </w:r>
      <w:r w:rsidRPr="000410F3">
        <w:rPr>
          <w:rStyle w:val="FootnoteReference"/>
          <w:rFonts w:ascii="Times New Roman" w:hAnsi="Times New Roman"/>
          <w:szCs w:val="24"/>
        </w:rPr>
        <w:footnoteReference w:id="13"/>
      </w:r>
      <w:r w:rsidRPr="000410F3">
        <w:rPr>
          <w:rFonts w:ascii="Times New Roman" w:hAnsi="Times New Roman"/>
          <w:szCs w:val="24"/>
        </w:rPr>
        <w:t xml:space="preserve"> gave an insight into real-world understandings of statutory interpretation, this Article is an attempt to contribute to that debate by showing in an empirical fashion how at least one agency interprets </w:t>
      </w:r>
      <w:r>
        <w:rPr>
          <w:rFonts w:ascii="Times New Roman" w:hAnsi="Times New Roman"/>
          <w:szCs w:val="24"/>
        </w:rPr>
        <w:t>its governing statute</w:t>
      </w:r>
      <w:r w:rsidRPr="000410F3">
        <w:rPr>
          <w:rFonts w:ascii="Times New Roman" w:hAnsi="Times New Roman"/>
          <w:szCs w:val="24"/>
        </w:rPr>
        <w:t xml:space="preserve"> in its adjudications. I find that Board members do not consistently use interpretive methods.</w:t>
      </w:r>
      <w:r w:rsidRPr="000410F3">
        <w:rPr>
          <w:rStyle w:val="FootnoteReference"/>
          <w:rFonts w:ascii="Times New Roman" w:hAnsi="Times New Roman"/>
          <w:szCs w:val="24"/>
        </w:rPr>
        <w:footnoteReference w:id="14"/>
      </w:r>
      <w:r w:rsidRPr="000410F3">
        <w:rPr>
          <w:rFonts w:ascii="Times New Roman" w:hAnsi="Times New Roman"/>
          <w:szCs w:val="24"/>
        </w:rPr>
        <w:t xml:space="preserve"> Majority and dissenting writers bicker over the breath of the statutory words, invoke different parts of the whole act or the whole code to advance an interpretation, argue that related statutes are more or less relevant to interpretation and disagree over the purpose of the statute and the statutory scheme. Both Democratic and Republican Board members employ both textualist and purposivist methods in their analysis to advance a particular policy approach. The methods the Board uses have cha</w:t>
      </w:r>
      <w:r>
        <w:rPr>
          <w:rFonts w:ascii="Times New Roman" w:hAnsi="Times New Roman"/>
          <w:szCs w:val="24"/>
        </w:rPr>
        <w:t>nged over time, with the</w:t>
      </w:r>
      <w:r w:rsidRPr="000410F3">
        <w:rPr>
          <w:rFonts w:ascii="Times New Roman" w:hAnsi="Times New Roman"/>
          <w:szCs w:val="24"/>
        </w:rPr>
        <w:t xml:space="preserve"> Obama Board relying more on broad pronouncements of policy goals to advance</w:t>
      </w:r>
      <w:r w:rsidR="00445D43">
        <w:rPr>
          <w:rFonts w:ascii="Times New Roman" w:hAnsi="Times New Roman"/>
          <w:szCs w:val="24"/>
        </w:rPr>
        <w:t xml:space="preserve"> the Board’s statutory mandate. </w:t>
      </w:r>
      <w:r w:rsidRPr="000410F3">
        <w:rPr>
          <w:rFonts w:ascii="Times New Roman" w:hAnsi="Times New Roman"/>
          <w:szCs w:val="24"/>
        </w:rPr>
        <w:t>The type of dueling between majori</w:t>
      </w:r>
      <w:r w:rsidR="00445D43">
        <w:rPr>
          <w:rFonts w:ascii="Times New Roman" w:hAnsi="Times New Roman"/>
          <w:szCs w:val="24"/>
        </w:rPr>
        <w:t xml:space="preserve">ty and dissenting Board members </w:t>
      </w:r>
      <w:r w:rsidRPr="000410F3">
        <w:rPr>
          <w:rFonts w:ascii="Times New Roman" w:hAnsi="Times New Roman"/>
          <w:szCs w:val="24"/>
        </w:rPr>
        <w:t xml:space="preserve">has also shifted over time; whereas during the Clinton administration, opposing sides argued over precedent differences, in more recent opinions in the Obama Board, members quarreled over whether a textual or purposive method is most appropriate to resolve the interpretative </w:t>
      </w:r>
      <w:r w:rsidRPr="000410F3">
        <w:rPr>
          <w:rFonts w:ascii="Times New Roman" w:hAnsi="Times New Roman"/>
          <w:szCs w:val="24"/>
        </w:rPr>
        <w:lastRenderedPageBreak/>
        <w:t xml:space="preserve">dilemma at hand. </w:t>
      </w:r>
    </w:p>
    <w:p w14:paraId="52D59500" w14:textId="77777777" w:rsidR="0086288C" w:rsidRDefault="0086288C" w:rsidP="0086288C">
      <w:pPr>
        <w:ind w:firstLine="720"/>
        <w:rPr>
          <w:rFonts w:ascii="Times New Roman" w:hAnsi="Times New Roman"/>
          <w:szCs w:val="24"/>
        </w:rPr>
      </w:pPr>
      <w:r w:rsidRPr="000410F3">
        <w:rPr>
          <w:rFonts w:ascii="Times New Roman" w:hAnsi="Times New Roman"/>
          <w:szCs w:val="24"/>
        </w:rPr>
        <w:t>The results underscore some issues worthy of further exploration regarding agency statutory interpretation and our assumptions underlying its study. Existing theories and doctrines of statutory interpr</w:t>
      </w:r>
      <w:r>
        <w:rPr>
          <w:rFonts w:ascii="Times New Roman" w:hAnsi="Times New Roman"/>
          <w:szCs w:val="24"/>
        </w:rPr>
        <w:t>etation are overly simplistic</w:t>
      </w:r>
      <w:r w:rsidRPr="000410F3">
        <w:rPr>
          <w:rFonts w:ascii="Times New Roman" w:hAnsi="Times New Roman"/>
          <w:szCs w:val="24"/>
        </w:rPr>
        <w:t xml:space="preserve"> </w:t>
      </w:r>
      <w:r>
        <w:rPr>
          <w:rFonts w:ascii="Times New Roman" w:hAnsi="Times New Roman"/>
          <w:szCs w:val="24"/>
        </w:rPr>
        <w:t xml:space="preserve">with a </w:t>
      </w:r>
      <w:r w:rsidRPr="000410F3">
        <w:rPr>
          <w:rFonts w:ascii="Times New Roman" w:hAnsi="Times New Roman"/>
          <w:szCs w:val="24"/>
        </w:rPr>
        <w:t>one size fits all</w:t>
      </w:r>
      <w:r>
        <w:rPr>
          <w:rFonts w:ascii="Times New Roman" w:hAnsi="Times New Roman"/>
          <w:szCs w:val="24"/>
        </w:rPr>
        <w:t xml:space="preserve"> approach to statutory methodology. In addition to significant substantive differences between agencies,</w:t>
      </w:r>
      <w:r w:rsidRPr="000410F3">
        <w:rPr>
          <w:rFonts w:ascii="Times New Roman" w:hAnsi="Times New Roman"/>
          <w:szCs w:val="24"/>
        </w:rPr>
        <w:t xml:space="preserve"> decision-makers must balance competing considerations of stability, coherence and democratic accountability in inf</w:t>
      </w:r>
      <w:r>
        <w:rPr>
          <w:rFonts w:ascii="Times New Roman" w:hAnsi="Times New Roman"/>
          <w:szCs w:val="24"/>
        </w:rPr>
        <w:t>using statutes with meaning. Judicial methods of interpretation should not simply be so easily transposed to the administrative context. I</w:t>
      </w:r>
      <w:r w:rsidRPr="000410F3">
        <w:rPr>
          <w:rFonts w:ascii="Times New Roman" w:hAnsi="Times New Roman"/>
          <w:szCs w:val="24"/>
        </w:rPr>
        <w:t>nstitutional differences among statutory deciders may impact which interpretive method is most appropriate.</w:t>
      </w:r>
      <w:bookmarkStart w:id="8" w:name="_Ref489474562"/>
      <w:r w:rsidRPr="000410F3">
        <w:rPr>
          <w:rStyle w:val="FootnoteReference"/>
          <w:rFonts w:ascii="Times New Roman" w:hAnsi="Times New Roman"/>
          <w:szCs w:val="24"/>
        </w:rPr>
        <w:footnoteReference w:id="15"/>
      </w:r>
      <w:bookmarkEnd w:id="8"/>
      <w:r w:rsidRPr="000410F3">
        <w:rPr>
          <w:rFonts w:ascii="Times New Roman" w:hAnsi="Times New Roman"/>
          <w:szCs w:val="24"/>
        </w:rPr>
        <w:t xml:space="preserve"> The decider’s place in the hierarchical structure, its expertise and its democratic pedigree can influence action.</w:t>
      </w:r>
      <w:r w:rsidRPr="000410F3">
        <w:rPr>
          <w:rStyle w:val="FootnoteReference"/>
          <w:rFonts w:ascii="Times New Roman" w:hAnsi="Times New Roman"/>
          <w:szCs w:val="24"/>
        </w:rPr>
        <w:footnoteReference w:id="16"/>
      </w:r>
      <w:r w:rsidRPr="000410F3">
        <w:rPr>
          <w:rFonts w:ascii="Times New Roman" w:hAnsi="Times New Roman"/>
          <w:szCs w:val="24"/>
        </w:rPr>
        <w:t xml:space="preserve"> </w:t>
      </w:r>
    </w:p>
    <w:p w14:paraId="66C20780" w14:textId="7554D087" w:rsidR="0086288C" w:rsidRDefault="0086288C" w:rsidP="0086288C">
      <w:pPr>
        <w:ind w:firstLine="720"/>
        <w:rPr>
          <w:rFonts w:ascii="Times New Roman" w:hAnsi="Times New Roman"/>
          <w:szCs w:val="24"/>
        </w:rPr>
      </w:pPr>
      <w:r w:rsidRPr="000410F3">
        <w:rPr>
          <w:rFonts w:ascii="Times New Roman" w:hAnsi="Times New Roman"/>
          <w:szCs w:val="24"/>
        </w:rPr>
        <w:t>Far too often, the</w:t>
      </w:r>
      <w:r>
        <w:rPr>
          <w:rFonts w:ascii="Times New Roman" w:hAnsi="Times New Roman"/>
          <w:szCs w:val="24"/>
        </w:rPr>
        <w:t>se</w:t>
      </w:r>
      <w:r w:rsidRPr="000410F3">
        <w:rPr>
          <w:rFonts w:ascii="Times New Roman" w:hAnsi="Times New Roman"/>
          <w:szCs w:val="24"/>
        </w:rPr>
        <w:t xml:space="preserve"> unique institutional features and challenges faced by administrative agencies are ignored. For a policymaking agency charged to implement the President’s agenda, we </w:t>
      </w:r>
      <w:r>
        <w:rPr>
          <w:rFonts w:ascii="Times New Roman" w:hAnsi="Times New Roman"/>
          <w:szCs w:val="24"/>
        </w:rPr>
        <w:t xml:space="preserve">should </w:t>
      </w:r>
      <w:r w:rsidRPr="000410F3">
        <w:rPr>
          <w:rFonts w:ascii="Times New Roman" w:hAnsi="Times New Roman"/>
          <w:szCs w:val="24"/>
        </w:rPr>
        <w:t>expect to see agencies interpreting statutes quite differently than what we might expect of courts.</w:t>
      </w:r>
      <w:r w:rsidRPr="000410F3">
        <w:rPr>
          <w:rStyle w:val="FootnoteReference"/>
          <w:rFonts w:ascii="Times New Roman" w:hAnsi="Times New Roman"/>
          <w:szCs w:val="24"/>
        </w:rPr>
        <w:footnoteReference w:id="17"/>
      </w:r>
      <w:r w:rsidRPr="000410F3">
        <w:rPr>
          <w:rFonts w:ascii="Times New Roman" w:hAnsi="Times New Roman"/>
          <w:szCs w:val="24"/>
        </w:rPr>
        <w:t xml:space="preserve"> </w:t>
      </w:r>
      <w:r>
        <w:rPr>
          <w:rFonts w:ascii="Times New Roman" w:hAnsi="Times New Roman"/>
          <w:szCs w:val="24"/>
        </w:rPr>
        <w:t xml:space="preserve">For instance, </w:t>
      </w:r>
      <w:r w:rsidRPr="000410F3">
        <w:rPr>
          <w:rFonts w:ascii="Times New Roman" w:hAnsi="Times New Roman"/>
          <w:szCs w:val="24"/>
        </w:rPr>
        <w:t xml:space="preserve">judges may cite precedent to infuse statutory meaning in pursuit of the twin </w:t>
      </w:r>
      <w:r>
        <w:rPr>
          <w:rFonts w:ascii="Times New Roman" w:hAnsi="Times New Roman"/>
          <w:szCs w:val="24"/>
        </w:rPr>
        <w:t>aims of stability and coherence.</w:t>
      </w:r>
      <w:r w:rsidRPr="001C6762">
        <w:rPr>
          <w:rStyle w:val="FootnoteReference"/>
          <w:rFonts w:ascii="Times New Roman" w:hAnsi="Times New Roman"/>
          <w:szCs w:val="24"/>
        </w:rPr>
        <w:t xml:space="preserve"> </w:t>
      </w:r>
      <w:r>
        <w:rPr>
          <w:rFonts w:ascii="Times New Roman" w:hAnsi="Times New Roman"/>
          <w:szCs w:val="24"/>
        </w:rPr>
        <w:t>but when reviewing bodies rely on precedent to the exclusion of other tools, agencies may abdicate their responsibility to democratic accountability to consider the true practical consequences of their decisions, a result that may be particularly troubling in the administrative context where litigation concerns real-life decisions such as social security benefits, veterans claims or patent rights.</w:t>
      </w:r>
      <w:r w:rsidRPr="001C6762">
        <w:rPr>
          <w:rStyle w:val="FootnoteReference"/>
          <w:rFonts w:ascii="Times New Roman" w:hAnsi="Times New Roman"/>
          <w:szCs w:val="24"/>
        </w:rPr>
        <w:t xml:space="preserve"> </w:t>
      </w:r>
      <w:bookmarkStart w:id="9" w:name="_Ref489473009"/>
      <w:r w:rsidRPr="000410F3">
        <w:rPr>
          <w:rStyle w:val="FootnoteReference"/>
          <w:rFonts w:ascii="Times New Roman" w:hAnsi="Times New Roman"/>
          <w:szCs w:val="24"/>
        </w:rPr>
        <w:footnoteReference w:id="18"/>
      </w:r>
      <w:bookmarkEnd w:id="9"/>
      <w:r w:rsidRPr="000410F3">
        <w:rPr>
          <w:rFonts w:ascii="Times New Roman" w:hAnsi="Times New Roman"/>
          <w:szCs w:val="24"/>
        </w:rPr>
        <w:t xml:space="preserve"> Moreover, recent studies call into question some of the assumptions underlying the </w:t>
      </w:r>
      <w:r>
        <w:rPr>
          <w:rFonts w:ascii="Times New Roman" w:hAnsi="Times New Roman"/>
          <w:szCs w:val="24"/>
        </w:rPr>
        <w:t xml:space="preserve">textual </w:t>
      </w:r>
      <w:r w:rsidRPr="000410F3">
        <w:rPr>
          <w:rFonts w:ascii="Times New Roman" w:hAnsi="Times New Roman"/>
          <w:szCs w:val="24"/>
        </w:rPr>
        <w:t>canons</w:t>
      </w:r>
      <w:r w:rsidR="008E43BE">
        <w:rPr>
          <w:rFonts w:ascii="Times New Roman" w:hAnsi="Times New Roman"/>
          <w:szCs w:val="24"/>
        </w:rPr>
        <w:t xml:space="preserve"> </w:t>
      </w:r>
      <w:r>
        <w:rPr>
          <w:rFonts w:ascii="Times New Roman" w:hAnsi="Times New Roman"/>
          <w:szCs w:val="24"/>
        </w:rPr>
        <w:t>—</w:t>
      </w:r>
      <w:r w:rsidR="008E43BE">
        <w:rPr>
          <w:rFonts w:ascii="Times New Roman" w:hAnsi="Times New Roman"/>
          <w:szCs w:val="24"/>
        </w:rPr>
        <w:t xml:space="preserve"> </w:t>
      </w:r>
      <w:r>
        <w:rPr>
          <w:rFonts w:ascii="Times New Roman" w:hAnsi="Times New Roman"/>
          <w:szCs w:val="24"/>
        </w:rPr>
        <w:t>such as the whole act rule or the whole code rule—so commonly employed by courts in interpreting statutes</w:t>
      </w:r>
      <w:r w:rsidRPr="000410F3">
        <w:rPr>
          <w:rFonts w:ascii="Times New Roman" w:hAnsi="Times New Roman"/>
          <w:szCs w:val="24"/>
        </w:rPr>
        <w:t>.</w:t>
      </w:r>
      <w:r w:rsidRPr="000410F3">
        <w:rPr>
          <w:rStyle w:val="FootnoteReference"/>
          <w:rFonts w:ascii="Times New Roman" w:hAnsi="Times New Roman"/>
          <w:szCs w:val="24"/>
        </w:rPr>
        <w:footnoteReference w:id="19"/>
      </w:r>
      <w:r w:rsidRPr="000410F3">
        <w:rPr>
          <w:rFonts w:ascii="Times New Roman" w:hAnsi="Times New Roman"/>
          <w:szCs w:val="24"/>
        </w:rPr>
        <w:t xml:space="preserve"> As such, the fiction </w:t>
      </w:r>
      <w:r w:rsidRPr="000410F3">
        <w:rPr>
          <w:rFonts w:ascii="Times New Roman" w:hAnsi="Times New Roman"/>
          <w:szCs w:val="24"/>
        </w:rPr>
        <w:lastRenderedPageBreak/>
        <w:t xml:space="preserve">that when Congress writes statutes it speaks with a </w:t>
      </w:r>
      <w:r>
        <w:rPr>
          <w:rFonts w:ascii="Times New Roman" w:hAnsi="Times New Roman"/>
          <w:szCs w:val="24"/>
        </w:rPr>
        <w:t xml:space="preserve">consistent and coherent voice — </w:t>
      </w:r>
      <w:r w:rsidRPr="000410F3">
        <w:rPr>
          <w:rFonts w:ascii="Times New Roman" w:hAnsi="Times New Roman"/>
          <w:szCs w:val="24"/>
        </w:rPr>
        <w:t>across and within discrete issue ar</w:t>
      </w:r>
      <w:r>
        <w:rPr>
          <w:rFonts w:ascii="Times New Roman" w:hAnsi="Times New Roman"/>
          <w:szCs w:val="24"/>
        </w:rPr>
        <w:t xml:space="preserve">eas — may </w:t>
      </w:r>
      <w:r w:rsidR="008E43BE">
        <w:rPr>
          <w:rFonts w:ascii="Times New Roman" w:hAnsi="Times New Roman"/>
          <w:szCs w:val="24"/>
        </w:rPr>
        <w:t xml:space="preserve">be especially inapposite </w:t>
      </w:r>
      <w:r w:rsidRPr="000410F3">
        <w:rPr>
          <w:rFonts w:ascii="Times New Roman" w:hAnsi="Times New Roman"/>
          <w:szCs w:val="24"/>
        </w:rPr>
        <w:t>in the agency context, where a disjointed group of statutes, regulations and caselaw inform how statutes are implemented.</w:t>
      </w:r>
      <w:r>
        <w:rPr>
          <w:rFonts w:ascii="Times New Roman" w:hAnsi="Times New Roman"/>
          <w:szCs w:val="24"/>
        </w:rPr>
        <w:t xml:space="preserve"> In addition</w:t>
      </w:r>
      <w:r w:rsidRPr="000410F3">
        <w:rPr>
          <w:rFonts w:ascii="Times New Roman" w:hAnsi="Times New Roman"/>
          <w:szCs w:val="24"/>
        </w:rPr>
        <w:t>, the somewhat inconsistent usage of legislative history by the Board calls into question whether legislative history</w:t>
      </w:r>
      <w:r w:rsidR="008E43BE">
        <w:rPr>
          <w:rFonts w:ascii="Times New Roman" w:hAnsi="Times New Roman"/>
          <w:szCs w:val="24"/>
        </w:rPr>
        <w:t xml:space="preserve"> </w:t>
      </w:r>
      <w:r w:rsidRPr="000410F3">
        <w:rPr>
          <w:rFonts w:ascii="Times New Roman" w:hAnsi="Times New Roman"/>
          <w:szCs w:val="24"/>
        </w:rPr>
        <w:t>—</w:t>
      </w:r>
      <w:r w:rsidR="008E43BE">
        <w:rPr>
          <w:rFonts w:ascii="Times New Roman" w:hAnsi="Times New Roman"/>
          <w:szCs w:val="24"/>
        </w:rPr>
        <w:t xml:space="preserve"> </w:t>
      </w:r>
      <w:r w:rsidRPr="000410F3">
        <w:rPr>
          <w:rFonts w:ascii="Times New Roman" w:hAnsi="Times New Roman"/>
          <w:szCs w:val="24"/>
        </w:rPr>
        <w:t>especially the legislative history of a 75-year old statute that has not been updated since the beginnings of the Cold War—can serve as a useful tool to help courts act as a “faithful delegate” to the legislature.</w:t>
      </w:r>
      <w:r w:rsidRPr="000410F3">
        <w:rPr>
          <w:rStyle w:val="FootnoteReference"/>
          <w:rFonts w:ascii="Times New Roman" w:hAnsi="Times New Roman"/>
          <w:szCs w:val="24"/>
        </w:rPr>
        <w:footnoteReference w:id="20"/>
      </w:r>
    </w:p>
    <w:p w14:paraId="3CA6A5EC" w14:textId="27FAB0CF" w:rsidR="0086288C" w:rsidRPr="000410F3" w:rsidRDefault="008E43BE" w:rsidP="0086288C">
      <w:pPr>
        <w:ind w:firstLine="720"/>
        <w:rPr>
          <w:rFonts w:ascii="Times New Roman" w:hAnsi="Times New Roman"/>
          <w:szCs w:val="24"/>
        </w:rPr>
      </w:pPr>
      <w:r>
        <w:rPr>
          <w:rFonts w:ascii="Times New Roman" w:hAnsi="Times New Roman"/>
          <w:szCs w:val="24"/>
        </w:rPr>
        <w:t>These empirical findings</w:t>
      </w:r>
      <w:r w:rsidR="0086288C">
        <w:rPr>
          <w:rFonts w:ascii="Times New Roman" w:hAnsi="Times New Roman"/>
          <w:szCs w:val="24"/>
        </w:rPr>
        <w:t xml:space="preserve"> </w:t>
      </w:r>
      <w:r w:rsidR="0086288C" w:rsidRPr="000410F3">
        <w:rPr>
          <w:rFonts w:ascii="Times New Roman" w:hAnsi="Times New Roman"/>
          <w:szCs w:val="24"/>
        </w:rPr>
        <w:t xml:space="preserve">contribute to the </w:t>
      </w:r>
      <w:r w:rsidR="0086288C">
        <w:rPr>
          <w:rFonts w:ascii="Times New Roman" w:hAnsi="Times New Roman"/>
          <w:szCs w:val="24"/>
        </w:rPr>
        <w:t xml:space="preserve">wider </w:t>
      </w:r>
      <w:r w:rsidR="0086288C" w:rsidRPr="000410F3">
        <w:rPr>
          <w:rFonts w:ascii="Times New Roman" w:hAnsi="Times New Roman"/>
          <w:szCs w:val="24"/>
        </w:rPr>
        <w:t>debate about how agencies should construe statutes. Karl Llewellyn challenged the view that statutory canons lead decision-makers to arrive at a consistent, non-ideological</w:t>
      </w:r>
      <w:r w:rsidR="0086288C">
        <w:rPr>
          <w:rFonts w:ascii="Times New Roman" w:hAnsi="Times New Roman"/>
          <w:szCs w:val="24"/>
        </w:rPr>
        <w:t xml:space="preserve"> </w:t>
      </w:r>
      <w:r w:rsidR="0086288C" w:rsidRPr="000410F3">
        <w:rPr>
          <w:rFonts w:ascii="Times New Roman" w:hAnsi="Times New Roman"/>
          <w:szCs w:val="24"/>
        </w:rPr>
        <w:t>—</w:t>
      </w:r>
      <w:r w:rsidR="0086288C">
        <w:rPr>
          <w:rFonts w:ascii="Times New Roman" w:hAnsi="Times New Roman"/>
          <w:szCs w:val="24"/>
        </w:rPr>
        <w:t xml:space="preserve"> </w:t>
      </w:r>
      <w:r w:rsidR="0086288C" w:rsidRPr="000410F3">
        <w:rPr>
          <w:rFonts w:ascii="Times New Roman" w:hAnsi="Times New Roman"/>
          <w:szCs w:val="24"/>
        </w:rPr>
        <w:t>and most importantly</w:t>
      </w:r>
      <w:r w:rsidR="0086288C">
        <w:rPr>
          <w:rFonts w:ascii="Times New Roman" w:hAnsi="Times New Roman"/>
          <w:szCs w:val="24"/>
        </w:rPr>
        <w:t xml:space="preserve"> </w:t>
      </w:r>
      <w:r w:rsidR="0086288C" w:rsidRPr="000410F3">
        <w:rPr>
          <w:rFonts w:ascii="Times New Roman" w:hAnsi="Times New Roman"/>
          <w:szCs w:val="24"/>
        </w:rPr>
        <w:t>—</w:t>
      </w:r>
      <w:r w:rsidR="0086288C">
        <w:rPr>
          <w:rFonts w:ascii="Times New Roman" w:hAnsi="Times New Roman"/>
          <w:szCs w:val="24"/>
        </w:rPr>
        <w:t xml:space="preserve"> </w:t>
      </w:r>
      <w:r w:rsidR="0086288C" w:rsidRPr="000410F3">
        <w:rPr>
          <w:rFonts w:ascii="Times New Roman" w:hAnsi="Times New Roman"/>
          <w:szCs w:val="24"/>
        </w:rPr>
        <w:t>“correct” reading of the underlying statute.</w:t>
      </w:r>
      <w:r w:rsidR="0086288C" w:rsidRPr="000410F3">
        <w:rPr>
          <w:rStyle w:val="FootnoteReference"/>
          <w:rFonts w:ascii="Times New Roman" w:hAnsi="Times New Roman"/>
          <w:szCs w:val="24"/>
        </w:rPr>
        <w:footnoteReference w:id="21"/>
      </w:r>
      <w:r w:rsidR="0086288C">
        <w:rPr>
          <w:rFonts w:ascii="Times New Roman" w:hAnsi="Times New Roman"/>
          <w:szCs w:val="24"/>
        </w:rPr>
        <w:t xml:space="preserve"> This study</w:t>
      </w:r>
      <w:r w:rsidR="0086288C" w:rsidRPr="000410F3">
        <w:rPr>
          <w:rFonts w:ascii="Times New Roman" w:hAnsi="Times New Roman"/>
          <w:szCs w:val="24"/>
        </w:rPr>
        <w:t>’</w:t>
      </w:r>
      <w:r w:rsidR="0086288C">
        <w:rPr>
          <w:rFonts w:ascii="Times New Roman" w:hAnsi="Times New Roman"/>
          <w:szCs w:val="24"/>
        </w:rPr>
        <w:t>s</w:t>
      </w:r>
      <w:r w:rsidR="0086288C" w:rsidRPr="000410F3">
        <w:rPr>
          <w:rFonts w:ascii="Times New Roman" w:hAnsi="Times New Roman"/>
          <w:szCs w:val="24"/>
        </w:rPr>
        <w:t xml:space="preserve"> findings support that claim as Board members continually switch their interpretive method depending on the procedural posture of the case.</w:t>
      </w:r>
      <w:r w:rsidR="0086288C">
        <w:rPr>
          <w:rFonts w:ascii="Times New Roman" w:hAnsi="Times New Roman"/>
          <w:szCs w:val="24"/>
        </w:rPr>
        <w:t xml:space="preserve"> </w:t>
      </w:r>
      <w:r w:rsidR="0086288C" w:rsidRPr="000410F3">
        <w:rPr>
          <w:rFonts w:ascii="Times New Roman" w:hAnsi="Times New Roman"/>
          <w:szCs w:val="24"/>
        </w:rPr>
        <w:t>Rather, many noted administrative law scholars have advocated for agencies to advance a purposive approach.</w:t>
      </w:r>
      <w:bookmarkStart w:id="10" w:name="_Ref489471872"/>
      <w:r w:rsidR="0086288C" w:rsidRPr="000410F3">
        <w:rPr>
          <w:rStyle w:val="FootnoteReference"/>
          <w:rFonts w:ascii="Times New Roman" w:hAnsi="Times New Roman"/>
          <w:szCs w:val="24"/>
        </w:rPr>
        <w:footnoteReference w:id="22"/>
      </w:r>
      <w:bookmarkEnd w:id="10"/>
      <w:r w:rsidR="0086288C">
        <w:rPr>
          <w:rFonts w:ascii="Times New Roman" w:hAnsi="Times New Roman"/>
          <w:szCs w:val="24"/>
        </w:rPr>
        <w:t xml:space="preserve"> </w:t>
      </w:r>
      <w:r>
        <w:rPr>
          <w:rFonts w:ascii="Times New Roman" w:hAnsi="Times New Roman"/>
          <w:szCs w:val="24"/>
        </w:rPr>
        <w:t>A</w:t>
      </w:r>
      <w:r w:rsidR="0086288C" w:rsidRPr="000410F3">
        <w:rPr>
          <w:rFonts w:ascii="Times New Roman" w:hAnsi="Times New Roman"/>
          <w:szCs w:val="24"/>
        </w:rPr>
        <w:t>gencies should first focus on the language of the text, in line with how the text aligns with other parts of the statute. If the text does not clearly dictate meaning, then the agency should use its expertise in line with its responsibility to be politically accountable.</w:t>
      </w:r>
      <w:r w:rsidR="0086288C" w:rsidRPr="000410F3">
        <w:rPr>
          <w:rStyle w:val="FootnoteReference"/>
          <w:rFonts w:ascii="Times New Roman" w:hAnsi="Times New Roman"/>
          <w:szCs w:val="24"/>
        </w:rPr>
        <w:footnoteReference w:id="23"/>
      </w:r>
      <w:r w:rsidR="0086288C" w:rsidRPr="000410F3">
        <w:rPr>
          <w:rFonts w:ascii="Times New Roman" w:hAnsi="Times New Roman"/>
          <w:szCs w:val="24"/>
        </w:rPr>
        <w:t xml:space="preserve"> Legislative history should serve as an anchor to inform the agency of the statute’s background, but it should not be used to limit the text or to infuse the statute with the meaning expected by the statute’s enacting coalition.</w:t>
      </w:r>
      <w:bookmarkStart w:id="11" w:name="_Ref489472463"/>
      <w:r w:rsidR="0086288C" w:rsidRPr="000410F3">
        <w:rPr>
          <w:rStyle w:val="FootnoteReference"/>
          <w:rFonts w:ascii="Times New Roman" w:hAnsi="Times New Roman"/>
          <w:szCs w:val="24"/>
        </w:rPr>
        <w:footnoteReference w:id="24"/>
      </w:r>
      <w:bookmarkEnd w:id="11"/>
      <w:r w:rsidR="0086288C" w:rsidRPr="000410F3">
        <w:rPr>
          <w:rFonts w:ascii="Times New Roman" w:hAnsi="Times New Roman"/>
          <w:szCs w:val="24"/>
        </w:rPr>
        <w:t xml:space="preserve"> </w:t>
      </w:r>
    </w:p>
    <w:p w14:paraId="60382234" w14:textId="432D57B4" w:rsidR="0086288C" w:rsidRPr="000410F3" w:rsidRDefault="0086288C" w:rsidP="0086288C">
      <w:pPr>
        <w:ind w:firstLine="720"/>
        <w:rPr>
          <w:rFonts w:ascii="Times New Roman" w:hAnsi="Times New Roman"/>
          <w:szCs w:val="24"/>
        </w:rPr>
      </w:pPr>
      <w:r>
        <w:rPr>
          <w:rFonts w:ascii="Times New Roman" w:hAnsi="Times New Roman"/>
          <w:szCs w:val="24"/>
        </w:rPr>
        <w:lastRenderedPageBreak/>
        <w:t xml:space="preserve">Agencies need to </w:t>
      </w:r>
      <w:r w:rsidRPr="000410F3">
        <w:rPr>
          <w:rFonts w:ascii="Times New Roman" w:hAnsi="Times New Roman"/>
          <w:szCs w:val="24"/>
        </w:rPr>
        <w:t>be more explicit about how they incorporate policy and practical reasoning in their statutory interpretation calculus.</w:t>
      </w:r>
      <w:bookmarkStart w:id="12" w:name="_Ref489472248"/>
      <w:r w:rsidRPr="000410F3">
        <w:rPr>
          <w:rStyle w:val="FootnoteReference"/>
          <w:rFonts w:ascii="Times New Roman" w:hAnsi="Times New Roman"/>
          <w:szCs w:val="24"/>
        </w:rPr>
        <w:footnoteReference w:id="25"/>
      </w:r>
      <w:bookmarkEnd w:id="12"/>
      <w:r w:rsidRPr="000410F3">
        <w:rPr>
          <w:rFonts w:ascii="Times New Roman" w:hAnsi="Times New Roman"/>
          <w:szCs w:val="24"/>
        </w:rPr>
        <w:t xml:space="preserve"> They could do this by embracing </w:t>
      </w:r>
      <w:r w:rsidR="008E43BE">
        <w:rPr>
          <w:rFonts w:ascii="Times New Roman" w:hAnsi="Times New Roman"/>
          <w:szCs w:val="24"/>
        </w:rPr>
        <w:t>their role as experts and base</w:t>
      </w:r>
      <w:r w:rsidRPr="000410F3">
        <w:rPr>
          <w:rFonts w:ascii="Times New Roman" w:hAnsi="Times New Roman"/>
          <w:szCs w:val="24"/>
        </w:rPr>
        <w:t xml:space="preserve"> their legal reasoning on that expertise</w:t>
      </w:r>
      <w:r>
        <w:rPr>
          <w:rFonts w:ascii="Times New Roman" w:hAnsi="Times New Roman"/>
          <w:szCs w:val="24"/>
        </w:rPr>
        <w:t xml:space="preserve"> to make clear the basis for the decisions</w:t>
      </w:r>
      <w:r w:rsidRPr="000410F3">
        <w:rPr>
          <w:rFonts w:ascii="Times New Roman" w:hAnsi="Times New Roman"/>
          <w:szCs w:val="24"/>
        </w:rPr>
        <w:t>.</w:t>
      </w:r>
      <w:r w:rsidRPr="000410F3">
        <w:rPr>
          <w:rStyle w:val="FootnoteReference"/>
          <w:rFonts w:ascii="Times New Roman" w:hAnsi="Times New Roman"/>
          <w:szCs w:val="24"/>
        </w:rPr>
        <w:footnoteReference w:id="26"/>
      </w:r>
      <w:r w:rsidRPr="000410F3">
        <w:rPr>
          <w:rFonts w:ascii="Times New Roman" w:hAnsi="Times New Roman"/>
          <w:szCs w:val="24"/>
        </w:rPr>
        <w:t xml:space="preserve"> </w:t>
      </w:r>
      <w:r>
        <w:rPr>
          <w:rFonts w:ascii="Times New Roman" w:hAnsi="Times New Roman"/>
          <w:szCs w:val="24"/>
        </w:rPr>
        <w:t>T</w:t>
      </w:r>
      <w:r w:rsidRPr="000410F3">
        <w:rPr>
          <w:rFonts w:ascii="Times New Roman" w:hAnsi="Times New Roman"/>
          <w:szCs w:val="24"/>
        </w:rPr>
        <w:t xml:space="preserve">he Board’s more explicit acknowledgement of itself as a policymaking body as opposed to a court would do much to ensure that the Board’s statutory interpretations best effectuate the statutory mandate of the Board. I propose, for instance, that the Board embrace its policymaking mandate by relying more on social science data to inform statutory meaning and to update to the NLRA to current times. </w:t>
      </w:r>
      <w:r>
        <w:rPr>
          <w:rFonts w:ascii="Times New Roman" w:hAnsi="Times New Roman"/>
          <w:szCs w:val="24"/>
        </w:rPr>
        <w:t>Moreover, agencies should leverage their considerable expertise to make decisions in accord with “background” principles unique to the substantive area under the agency’s purview.</w:t>
      </w:r>
      <w:bookmarkStart w:id="13" w:name="_Ref489475128"/>
      <w:r>
        <w:rPr>
          <w:rStyle w:val="FootnoteReference"/>
          <w:rFonts w:ascii="Times New Roman" w:hAnsi="Times New Roman"/>
          <w:szCs w:val="24"/>
        </w:rPr>
        <w:footnoteReference w:id="27"/>
      </w:r>
      <w:bookmarkEnd w:id="13"/>
      <w:r>
        <w:rPr>
          <w:rFonts w:ascii="Times New Roman" w:hAnsi="Times New Roman"/>
          <w:szCs w:val="24"/>
        </w:rPr>
        <w:t xml:space="preserve"> </w:t>
      </w:r>
      <w:r w:rsidRPr="000410F3">
        <w:rPr>
          <w:rFonts w:ascii="Times New Roman" w:hAnsi="Times New Roman"/>
          <w:szCs w:val="24"/>
        </w:rPr>
        <w:t xml:space="preserve">I also argue that the NLRA should also embrace rulemaking to make decisions on some of the matters it currently leaves to case-by-case adjudication. </w:t>
      </w:r>
      <w:r>
        <w:rPr>
          <w:rFonts w:ascii="Times New Roman" w:hAnsi="Times New Roman"/>
          <w:szCs w:val="24"/>
        </w:rPr>
        <w:t xml:space="preserve">Reliance on rulemaking to advance statutory directives would be a better vehicle to balance policy coherence, stability and democratic accountability. </w:t>
      </w:r>
    </w:p>
    <w:p w14:paraId="64850C11" w14:textId="77777777" w:rsidR="0086288C" w:rsidRDefault="0086288C" w:rsidP="0086288C">
      <w:pPr>
        <w:ind w:firstLine="720"/>
        <w:rPr>
          <w:rFonts w:ascii="Times New Roman" w:hAnsi="Times New Roman"/>
          <w:szCs w:val="24"/>
        </w:rPr>
      </w:pPr>
      <w:r w:rsidRPr="000410F3">
        <w:rPr>
          <w:rFonts w:ascii="Times New Roman" w:hAnsi="Times New Roman"/>
          <w:szCs w:val="24"/>
        </w:rPr>
        <w:t xml:space="preserve">In Part I, I survey the scholarly literature. I first review the literature on statutory methodologies generally in Part I.A, and then in Part I.B, I orient the study within the broader scholarship concerning statutory methodologies applied specifically to the administrative state. In Part II, I turn to the empirical study at hand. I provide background on the NLRB in Part II.A and then in Part II.B, I set forth the empirical methodology employed. In Part II.C, I present and analyze the data regarding the statutory methodologies the Board used in its majority opinions </w:t>
      </w:r>
      <w:r>
        <w:rPr>
          <w:rFonts w:ascii="Times New Roman" w:hAnsi="Times New Roman"/>
          <w:szCs w:val="24"/>
        </w:rPr>
        <w:t>during the 24</w:t>
      </w:r>
      <w:r w:rsidRPr="000410F3">
        <w:rPr>
          <w:rFonts w:ascii="Times New Roman" w:hAnsi="Times New Roman"/>
          <w:szCs w:val="24"/>
        </w:rPr>
        <w:t xml:space="preserve">-year period under study. I provide summary statistics and I also set forth, in a doctrinal fashion, different typologies on how the Board analyzed specific cases. I next turn in Part II.D to an analysis of the statutory methodologies used by dissenting Board members to assess how the methods used by dissenting members differed from those used by the majority. I also analyze the extent to which the majority and dissent “dueled” with each other over statutory methods. Finally, I devote Part III to discussing the analysis’s conclusions, before making policy recommendations and proposals in Part III.A and III.B, respectively, to inform statutory decision-making for both the NLRB and the administrative agencies generally. In so doing, I present a normative </w:t>
      </w:r>
      <w:r w:rsidRPr="000410F3">
        <w:rPr>
          <w:rFonts w:ascii="Times New Roman" w:hAnsi="Times New Roman"/>
          <w:szCs w:val="24"/>
        </w:rPr>
        <w:lastRenderedPageBreak/>
        <w:t>argument about the role that statutory methods should play in administrative decision-making and I advocate that the Board embrace its policymaking role by basing its decisions more on expert evidence on the economic effects and ramifications of its policymaking. I also argue that the Board should reduce its relianc</w:t>
      </w:r>
      <w:r>
        <w:rPr>
          <w:rFonts w:ascii="Times New Roman" w:hAnsi="Times New Roman"/>
          <w:szCs w:val="24"/>
        </w:rPr>
        <w:t>e on court-centered modes of statutory interpretation</w:t>
      </w:r>
      <w:r w:rsidRPr="000410F3">
        <w:rPr>
          <w:rFonts w:ascii="Times New Roman" w:hAnsi="Times New Roman"/>
          <w:szCs w:val="24"/>
        </w:rPr>
        <w:t xml:space="preserve"> and that it should more affirmatively embrace rulemaking as part of its policymaking mission.</w:t>
      </w:r>
    </w:p>
    <w:p w14:paraId="1E24B2DF" w14:textId="77777777" w:rsidR="001F1D99" w:rsidRPr="000410F3" w:rsidRDefault="001F1D99" w:rsidP="0086288C">
      <w:pPr>
        <w:ind w:firstLine="720"/>
        <w:rPr>
          <w:rFonts w:ascii="Times New Roman" w:hAnsi="Times New Roman"/>
          <w:szCs w:val="24"/>
        </w:rPr>
      </w:pPr>
    </w:p>
    <w:p w14:paraId="5F2CC695" w14:textId="77777777" w:rsidR="0086288C" w:rsidRDefault="0086288C" w:rsidP="001A4D77">
      <w:pPr>
        <w:pStyle w:val="ListParagraph"/>
        <w:numPr>
          <w:ilvl w:val="0"/>
          <w:numId w:val="10"/>
        </w:numPr>
        <w:spacing w:after="0" w:line="240" w:lineRule="auto"/>
        <w:rPr>
          <w:rFonts w:ascii="Times New Roman" w:hAnsi="Times New Roman"/>
          <w:b/>
          <w:sz w:val="24"/>
          <w:szCs w:val="24"/>
        </w:rPr>
      </w:pPr>
      <w:r w:rsidRPr="00A11347">
        <w:rPr>
          <w:rFonts w:ascii="Times New Roman" w:hAnsi="Times New Roman"/>
          <w:b/>
          <w:sz w:val="24"/>
          <w:szCs w:val="24"/>
        </w:rPr>
        <w:t xml:space="preserve">Statutory Interpretative Methodologies </w:t>
      </w:r>
    </w:p>
    <w:p w14:paraId="00EECE90" w14:textId="77777777" w:rsidR="001F1D99" w:rsidRPr="00A11347" w:rsidRDefault="001F1D99" w:rsidP="001F1D99">
      <w:pPr>
        <w:pStyle w:val="ListParagraph"/>
        <w:spacing w:after="0" w:line="240" w:lineRule="auto"/>
        <w:ind w:left="1080"/>
        <w:rPr>
          <w:rFonts w:ascii="Times New Roman" w:hAnsi="Times New Roman"/>
          <w:b/>
          <w:sz w:val="24"/>
          <w:szCs w:val="24"/>
        </w:rPr>
      </w:pPr>
    </w:p>
    <w:p w14:paraId="53CB3D3C" w14:textId="77777777" w:rsidR="0086288C" w:rsidRDefault="0086288C" w:rsidP="001A4D77">
      <w:pPr>
        <w:pStyle w:val="ListParagraph"/>
        <w:numPr>
          <w:ilvl w:val="0"/>
          <w:numId w:val="3"/>
        </w:numPr>
        <w:spacing w:after="0" w:line="240" w:lineRule="auto"/>
        <w:rPr>
          <w:rFonts w:ascii="Times New Roman" w:hAnsi="Times New Roman"/>
          <w:b/>
          <w:sz w:val="24"/>
          <w:szCs w:val="24"/>
        </w:rPr>
      </w:pPr>
      <w:r w:rsidRPr="00A11347">
        <w:rPr>
          <w:rFonts w:ascii="Times New Roman" w:hAnsi="Times New Roman"/>
          <w:b/>
          <w:sz w:val="24"/>
          <w:szCs w:val="24"/>
        </w:rPr>
        <w:t>Background on Statutory Methods</w:t>
      </w:r>
    </w:p>
    <w:p w14:paraId="64770A9B" w14:textId="77777777" w:rsidR="001F1D99" w:rsidRPr="00A11347" w:rsidRDefault="001F1D99" w:rsidP="001F1D99">
      <w:pPr>
        <w:pStyle w:val="ListParagraph"/>
        <w:spacing w:after="0" w:line="240" w:lineRule="auto"/>
        <w:ind w:left="1440"/>
        <w:rPr>
          <w:rFonts w:ascii="Times New Roman" w:hAnsi="Times New Roman"/>
          <w:b/>
          <w:sz w:val="24"/>
          <w:szCs w:val="24"/>
        </w:rPr>
      </w:pPr>
    </w:p>
    <w:p w14:paraId="36F91159" w14:textId="77777777" w:rsidR="0086288C" w:rsidRDefault="0086288C" w:rsidP="0086288C">
      <w:pPr>
        <w:ind w:firstLine="720"/>
        <w:rPr>
          <w:rFonts w:ascii="Times New Roman" w:hAnsi="Times New Roman"/>
          <w:szCs w:val="24"/>
        </w:rPr>
      </w:pPr>
      <w:r w:rsidRPr="000410F3">
        <w:rPr>
          <w:rFonts w:ascii="Times New Roman" w:hAnsi="Times New Roman"/>
          <w:szCs w:val="24"/>
        </w:rPr>
        <w:t>Scholars have debated how courts and other law-making bodies should construe statutes.</w:t>
      </w:r>
      <w:r w:rsidRPr="000410F3">
        <w:rPr>
          <w:rStyle w:val="FootnoteReference"/>
          <w:rFonts w:ascii="Times New Roman" w:hAnsi="Times New Roman"/>
          <w:szCs w:val="24"/>
        </w:rPr>
        <w:footnoteReference w:id="28"/>
      </w:r>
      <w:r w:rsidRPr="000410F3">
        <w:rPr>
          <w:rFonts w:ascii="Times New Roman" w:hAnsi="Times New Roman"/>
          <w:szCs w:val="24"/>
        </w:rPr>
        <w:t xml:space="preserve"> The issue of statutory construction is often highlighted during Supreme Court confirmation hearings when Senators grill prospective justices on the statutory methodologies they will use to interpret cases. How a statute is construed can be critical to the outcome of a case; a narrow construction of a given term could foreclose relief to the plaintiff while a broad construction, relying on a full arsenal of materials like legislative history to back it up, could result in a decision in the opposite direction. Two competing theories of statutory construction dominate debate: textualism and purposivism. </w:t>
      </w:r>
      <w:r>
        <w:rPr>
          <w:rFonts w:ascii="Times New Roman" w:hAnsi="Times New Roman"/>
          <w:szCs w:val="24"/>
        </w:rPr>
        <w:t>The first theory, textualism</w:t>
      </w:r>
      <w:r w:rsidRPr="000410F3">
        <w:rPr>
          <w:rFonts w:ascii="Times New Roman" w:hAnsi="Times New Roman"/>
          <w:szCs w:val="24"/>
        </w:rPr>
        <w:t xml:space="preserve">, popularized by Justice Antonin Scalia, </w:t>
      </w:r>
      <w:r>
        <w:rPr>
          <w:rFonts w:ascii="Times New Roman" w:hAnsi="Times New Roman"/>
          <w:szCs w:val="24"/>
        </w:rPr>
        <w:t xml:space="preserve">advocates </w:t>
      </w:r>
      <w:r w:rsidRPr="000410F3">
        <w:rPr>
          <w:rFonts w:ascii="Times New Roman" w:hAnsi="Times New Roman"/>
          <w:szCs w:val="24"/>
        </w:rPr>
        <w:t>interpret</w:t>
      </w:r>
      <w:r>
        <w:rPr>
          <w:rFonts w:ascii="Times New Roman" w:hAnsi="Times New Roman"/>
          <w:szCs w:val="24"/>
        </w:rPr>
        <w:t>ing</w:t>
      </w:r>
      <w:r w:rsidRPr="000410F3">
        <w:rPr>
          <w:rFonts w:ascii="Times New Roman" w:hAnsi="Times New Roman"/>
          <w:szCs w:val="24"/>
        </w:rPr>
        <w:t xml:space="preserve"> statutes by looking at the text’s literal meaning.</w:t>
      </w:r>
      <w:bookmarkStart w:id="14" w:name="_Ref460546731"/>
      <w:r w:rsidRPr="000410F3">
        <w:rPr>
          <w:rStyle w:val="FootnoteReference"/>
          <w:rFonts w:ascii="Times New Roman" w:hAnsi="Times New Roman"/>
          <w:szCs w:val="24"/>
        </w:rPr>
        <w:footnoteReference w:id="29"/>
      </w:r>
      <w:bookmarkEnd w:id="14"/>
      <w:r w:rsidRPr="000410F3">
        <w:rPr>
          <w:rFonts w:ascii="Times New Roman" w:hAnsi="Times New Roman"/>
          <w:szCs w:val="24"/>
        </w:rPr>
        <w:t xml:space="preserve"> Another view, purposivism, focuses more on interpreting the statute by looking at the overall purpose of the statutory scheme.</w:t>
      </w:r>
      <w:bookmarkStart w:id="15" w:name="_Ref460546773"/>
      <w:r w:rsidRPr="000410F3">
        <w:rPr>
          <w:rStyle w:val="FootnoteReference"/>
          <w:rFonts w:ascii="Times New Roman" w:hAnsi="Times New Roman"/>
          <w:szCs w:val="24"/>
        </w:rPr>
        <w:footnoteReference w:id="30"/>
      </w:r>
      <w:bookmarkEnd w:id="15"/>
      <w:r w:rsidRPr="000410F3">
        <w:rPr>
          <w:rFonts w:ascii="Times New Roman" w:hAnsi="Times New Roman"/>
          <w:szCs w:val="24"/>
        </w:rPr>
        <w:t xml:space="preserve"> </w:t>
      </w:r>
    </w:p>
    <w:p w14:paraId="680DD16B" w14:textId="77777777" w:rsidR="001F1D99" w:rsidRPr="000410F3" w:rsidRDefault="001F1D99" w:rsidP="0086288C">
      <w:pPr>
        <w:ind w:firstLine="720"/>
        <w:rPr>
          <w:rFonts w:ascii="Times New Roman" w:hAnsi="Times New Roman"/>
          <w:szCs w:val="24"/>
        </w:rPr>
      </w:pPr>
    </w:p>
    <w:p w14:paraId="0C1B420D" w14:textId="141086CC" w:rsidR="0086288C" w:rsidRPr="00A04719" w:rsidRDefault="0086288C" w:rsidP="00A04719">
      <w:pPr>
        <w:pStyle w:val="ListParagraph"/>
        <w:numPr>
          <w:ilvl w:val="0"/>
          <w:numId w:val="20"/>
        </w:numPr>
        <w:rPr>
          <w:rFonts w:ascii="Times New Roman" w:hAnsi="Times New Roman"/>
          <w:b/>
          <w:szCs w:val="24"/>
        </w:rPr>
      </w:pPr>
      <w:r w:rsidRPr="00A04719">
        <w:rPr>
          <w:rFonts w:ascii="Times New Roman" w:hAnsi="Times New Roman"/>
          <w:b/>
          <w:szCs w:val="24"/>
        </w:rPr>
        <w:t>Textualism</w:t>
      </w:r>
    </w:p>
    <w:p w14:paraId="7527E7FC" w14:textId="77777777" w:rsidR="001F1D99" w:rsidRPr="00A11347" w:rsidRDefault="001F1D99" w:rsidP="001F1D99">
      <w:pPr>
        <w:pStyle w:val="ListParagraph"/>
        <w:spacing w:after="0" w:line="240" w:lineRule="auto"/>
        <w:ind w:left="1440"/>
        <w:rPr>
          <w:rFonts w:ascii="Times New Roman" w:hAnsi="Times New Roman"/>
          <w:b/>
          <w:sz w:val="24"/>
          <w:szCs w:val="24"/>
        </w:rPr>
      </w:pPr>
    </w:p>
    <w:p w14:paraId="0CC1A17A"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Textualism places an emphasis on the statute’s text, looking only to find “objective meaning.”</w:t>
      </w:r>
      <w:r w:rsidRPr="000410F3">
        <w:rPr>
          <w:rStyle w:val="FootnoteReference"/>
          <w:rFonts w:ascii="Times New Roman" w:hAnsi="Times New Roman"/>
          <w:szCs w:val="24"/>
        </w:rPr>
        <w:footnoteReference w:id="31"/>
      </w:r>
      <w:r w:rsidRPr="000410F3">
        <w:rPr>
          <w:rFonts w:ascii="Times New Roman" w:hAnsi="Times New Roman"/>
          <w:szCs w:val="24"/>
        </w:rPr>
        <w:t xml:space="preserve"> It calls for judges to look at the ordinary meaning, at the time of enactment, of the statutory term in question, putting an </w:t>
      </w:r>
      <w:r w:rsidRPr="000410F3">
        <w:rPr>
          <w:rFonts w:ascii="Times New Roman" w:hAnsi="Times New Roman"/>
          <w:szCs w:val="24"/>
        </w:rPr>
        <w:lastRenderedPageBreak/>
        <w:t>emphasis on predictability and constancy.</w:t>
      </w:r>
      <w:bookmarkStart w:id="16" w:name="_Ref461029659"/>
      <w:r w:rsidRPr="000410F3">
        <w:rPr>
          <w:rStyle w:val="FootnoteReference"/>
          <w:rFonts w:ascii="Times New Roman" w:hAnsi="Times New Roman"/>
          <w:szCs w:val="24"/>
        </w:rPr>
        <w:footnoteReference w:id="32"/>
      </w:r>
      <w:bookmarkEnd w:id="16"/>
      <w:r w:rsidRPr="000410F3">
        <w:rPr>
          <w:rFonts w:ascii="Times New Roman" w:hAnsi="Times New Roman"/>
          <w:szCs w:val="24"/>
        </w:rPr>
        <w:t xml:space="preserve"> A “pure textualist” would see the statute as a “command[] from the sole politically legitimate statutory law-creating body,” and as such the role of the judge is “simply to apply the command verbatim” such that “[i]nterpretation that goes beyond statutory text operates in an extra-legal domain.”</w:t>
      </w:r>
      <w:r w:rsidRPr="000410F3">
        <w:rPr>
          <w:rStyle w:val="FootnoteReference"/>
          <w:rFonts w:ascii="Times New Roman" w:hAnsi="Times New Roman"/>
          <w:szCs w:val="24"/>
        </w:rPr>
        <w:footnoteReference w:id="33"/>
      </w:r>
      <w:r w:rsidRPr="000410F3">
        <w:rPr>
          <w:rFonts w:ascii="Times New Roman" w:hAnsi="Times New Roman"/>
          <w:szCs w:val="24"/>
        </w:rPr>
        <w:t xml:space="preserve"> Textualists dismiss the role of the legislative process as a resource to discern statutory meaning and as such they do not consider legislative history as important.</w:t>
      </w:r>
      <w:r w:rsidRPr="000410F3">
        <w:rPr>
          <w:rStyle w:val="FootnoteReference"/>
          <w:rFonts w:ascii="Times New Roman" w:hAnsi="Times New Roman"/>
          <w:szCs w:val="24"/>
        </w:rPr>
        <w:footnoteReference w:id="34"/>
      </w:r>
      <w:r w:rsidRPr="000410F3">
        <w:rPr>
          <w:rFonts w:ascii="Times New Roman" w:hAnsi="Times New Roman"/>
          <w:szCs w:val="24"/>
        </w:rPr>
        <w:t xml:space="preserve"> Textualists believe that legislative proponents</w:t>
      </w:r>
      <w:r>
        <w:rPr>
          <w:rFonts w:ascii="Times New Roman" w:hAnsi="Times New Roman"/>
          <w:szCs w:val="24"/>
        </w:rPr>
        <w:t xml:space="preserve"> of a given view </w:t>
      </w:r>
      <w:r w:rsidRPr="000410F3">
        <w:rPr>
          <w:rFonts w:ascii="Times New Roman" w:hAnsi="Times New Roman"/>
          <w:szCs w:val="24"/>
        </w:rPr>
        <w:t xml:space="preserve">could </w:t>
      </w:r>
      <w:r>
        <w:rPr>
          <w:rFonts w:ascii="Times New Roman" w:hAnsi="Times New Roman"/>
          <w:szCs w:val="24"/>
        </w:rPr>
        <w:t xml:space="preserve">simply </w:t>
      </w:r>
      <w:r w:rsidRPr="000410F3">
        <w:rPr>
          <w:rFonts w:ascii="Times New Roman" w:hAnsi="Times New Roman"/>
          <w:szCs w:val="24"/>
        </w:rPr>
        <w:t>pick and choose what piece of legislative history to use to advance certain policy preferences.</w:t>
      </w:r>
      <w:r w:rsidRPr="000410F3">
        <w:rPr>
          <w:rStyle w:val="FootnoteReference"/>
          <w:rFonts w:ascii="Times New Roman" w:hAnsi="Times New Roman"/>
          <w:szCs w:val="24"/>
        </w:rPr>
        <w:footnoteReference w:id="35"/>
      </w:r>
      <w:r w:rsidRPr="000410F3">
        <w:rPr>
          <w:rFonts w:ascii="Times New Roman" w:hAnsi="Times New Roman"/>
          <w:szCs w:val="24"/>
        </w:rPr>
        <w:t xml:space="preserve"> Moreover, general legislative purpose may be so “general and malleable” so as to be effectively meaningless in informing statutory meaning.</w:t>
      </w:r>
      <w:r w:rsidRPr="000410F3">
        <w:rPr>
          <w:rStyle w:val="FootnoteReference"/>
          <w:rFonts w:ascii="Times New Roman" w:hAnsi="Times New Roman"/>
          <w:szCs w:val="24"/>
        </w:rPr>
        <w:footnoteReference w:id="36"/>
      </w:r>
      <w:r w:rsidRPr="000410F3">
        <w:rPr>
          <w:rFonts w:ascii="Times New Roman" w:hAnsi="Times New Roman"/>
          <w:szCs w:val="24"/>
        </w:rPr>
        <w:t xml:space="preserve"> Textualists </w:t>
      </w:r>
      <w:r>
        <w:rPr>
          <w:rFonts w:ascii="Times New Roman" w:hAnsi="Times New Roman"/>
          <w:szCs w:val="24"/>
        </w:rPr>
        <w:t xml:space="preserve">also </w:t>
      </w:r>
      <w:r w:rsidRPr="000410F3">
        <w:rPr>
          <w:rFonts w:ascii="Times New Roman" w:hAnsi="Times New Roman"/>
          <w:szCs w:val="24"/>
        </w:rPr>
        <w:t>think that it is near impossible to discern any singular “legislative intent” given the multiplicity of political actors involved in a statute’s construction.</w:t>
      </w:r>
      <w:r w:rsidRPr="000410F3">
        <w:rPr>
          <w:rStyle w:val="FootnoteReference"/>
          <w:rFonts w:ascii="Times New Roman" w:hAnsi="Times New Roman"/>
          <w:szCs w:val="24"/>
        </w:rPr>
        <w:footnoteReference w:id="37"/>
      </w:r>
      <w:r w:rsidRPr="000410F3">
        <w:rPr>
          <w:rFonts w:ascii="Times New Roman" w:hAnsi="Times New Roman"/>
          <w:szCs w:val="24"/>
        </w:rPr>
        <w:t xml:space="preserve"> </w:t>
      </w:r>
    </w:p>
    <w:p w14:paraId="3139CB1B" w14:textId="03491862" w:rsidR="001F1D99" w:rsidRDefault="0086288C" w:rsidP="001F1D99">
      <w:pPr>
        <w:ind w:firstLine="720"/>
        <w:rPr>
          <w:rFonts w:ascii="Times New Roman" w:hAnsi="Times New Roman"/>
          <w:szCs w:val="24"/>
        </w:rPr>
      </w:pPr>
      <w:r w:rsidRPr="000410F3">
        <w:rPr>
          <w:rFonts w:ascii="Times New Roman" w:hAnsi="Times New Roman"/>
          <w:szCs w:val="24"/>
        </w:rPr>
        <w:t>Textualists embrace textual or semantic statutory canons as tools that enhance predictability.</w:t>
      </w:r>
      <w:r w:rsidRPr="000410F3">
        <w:rPr>
          <w:rStyle w:val="FootnoteReference"/>
          <w:rFonts w:ascii="Times New Roman" w:hAnsi="Times New Roman"/>
          <w:szCs w:val="24"/>
        </w:rPr>
        <w:footnoteReference w:id="38"/>
      </w:r>
      <w:r w:rsidRPr="000410F3">
        <w:rPr>
          <w:rFonts w:ascii="Times New Roman" w:hAnsi="Times New Roman"/>
          <w:szCs w:val="24"/>
        </w:rPr>
        <w:t xml:space="preserve"> Textualists often rely on “textualist canons” to serve as “rules of thumb” in how to interpret the actual text.</w:t>
      </w:r>
      <w:bookmarkStart w:id="17" w:name="_Ref489472317"/>
      <w:r w:rsidRPr="000410F3">
        <w:rPr>
          <w:rStyle w:val="FootnoteReference"/>
          <w:rFonts w:ascii="Times New Roman" w:hAnsi="Times New Roman"/>
          <w:szCs w:val="24"/>
        </w:rPr>
        <w:footnoteReference w:id="39"/>
      </w:r>
      <w:bookmarkEnd w:id="17"/>
      <w:r w:rsidRPr="000410F3">
        <w:rPr>
          <w:rFonts w:ascii="Times New Roman" w:hAnsi="Times New Roman"/>
          <w:szCs w:val="24"/>
        </w:rPr>
        <w:t xml:space="preserve"> The most common textualist canon is the “plain meaning rule” whereas the reviewing body will interpret the words according to their everyday meaning.</w:t>
      </w:r>
      <w:r w:rsidRPr="000410F3">
        <w:rPr>
          <w:rStyle w:val="FootnoteReference"/>
          <w:rFonts w:ascii="Times New Roman" w:hAnsi="Times New Roman"/>
          <w:szCs w:val="24"/>
        </w:rPr>
        <w:footnoteReference w:id="40"/>
      </w:r>
      <w:r w:rsidRPr="000410F3">
        <w:rPr>
          <w:rFonts w:ascii="Times New Roman" w:hAnsi="Times New Roman"/>
          <w:szCs w:val="24"/>
        </w:rPr>
        <w:t xml:space="preserve"> Other textualist canons c</w:t>
      </w:r>
      <w:r w:rsidR="008E43BE">
        <w:rPr>
          <w:rFonts w:ascii="Times New Roman" w:hAnsi="Times New Roman"/>
          <w:szCs w:val="24"/>
        </w:rPr>
        <w:t xml:space="preserve">oncern the </w:t>
      </w:r>
      <w:r w:rsidRPr="000410F3">
        <w:rPr>
          <w:rFonts w:ascii="Times New Roman" w:hAnsi="Times New Roman"/>
          <w:szCs w:val="24"/>
        </w:rPr>
        <w:t>rule against superfluities so as to construe statutes to avoid redundancy and to give independent meaning to overlapping terms.</w:t>
      </w:r>
      <w:r w:rsidRPr="000410F3">
        <w:rPr>
          <w:rStyle w:val="FootnoteReference"/>
          <w:rFonts w:ascii="Times New Roman" w:hAnsi="Times New Roman"/>
          <w:szCs w:val="24"/>
        </w:rPr>
        <w:footnoteReference w:id="41"/>
      </w:r>
      <w:r w:rsidRPr="000410F3">
        <w:rPr>
          <w:rFonts w:ascii="Times New Roman" w:hAnsi="Times New Roman"/>
          <w:szCs w:val="24"/>
        </w:rPr>
        <w:t xml:space="preserve"> There are also a host of Latin-named textualist canons: </w:t>
      </w:r>
      <w:r w:rsidRPr="000410F3">
        <w:rPr>
          <w:rFonts w:ascii="Times New Roman" w:hAnsi="Times New Roman"/>
          <w:i/>
          <w:szCs w:val="24"/>
        </w:rPr>
        <w:t>ejusdem generis</w:t>
      </w:r>
      <w:r w:rsidRPr="000410F3">
        <w:rPr>
          <w:rFonts w:ascii="Times New Roman" w:hAnsi="Times New Roman"/>
          <w:szCs w:val="24"/>
        </w:rPr>
        <w:t>,</w:t>
      </w:r>
      <w:r w:rsidRPr="000410F3">
        <w:rPr>
          <w:rStyle w:val="FootnoteReference"/>
          <w:rFonts w:ascii="Times New Roman" w:hAnsi="Times New Roman"/>
          <w:szCs w:val="24"/>
        </w:rPr>
        <w:footnoteReference w:id="42"/>
      </w:r>
      <w:r w:rsidRPr="000410F3">
        <w:rPr>
          <w:rFonts w:ascii="Times New Roman" w:hAnsi="Times New Roman"/>
          <w:szCs w:val="24"/>
        </w:rPr>
        <w:t xml:space="preserve"> which states that when there is a list of two or more specific descriptors followed by general descriptors,</w:t>
      </w:r>
      <w:bookmarkStart w:id="18" w:name="_Ref460546962"/>
      <w:r w:rsidRPr="000410F3">
        <w:rPr>
          <w:rStyle w:val="FootnoteReference"/>
          <w:rFonts w:ascii="Times New Roman" w:hAnsi="Times New Roman"/>
          <w:szCs w:val="24"/>
        </w:rPr>
        <w:footnoteReference w:id="43"/>
      </w:r>
      <w:bookmarkEnd w:id="18"/>
      <w:r w:rsidRPr="000410F3">
        <w:rPr>
          <w:rFonts w:ascii="Times New Roman" w:hAnsi="Times New Roman"/>
          <w:szCs w:val="24"/>
        </w:rPr>
        <w:t xml:space="preserve"> the general descriptors must be restricted </w:t>
      </w:r>
      <w:r w:rsidRPr="000410F3">
        <w:rPr>
          <w:rFonts w:ascii="Times New Roman" w:hAnsi="Times New Roman"/>
          <w:szCs w:val="24"/>
        </w:rPr>
        <w:lastRenderedPageBreak/>
        <w:t xml:space="preserve">to the same class; </w:t>
      </w:r>
      <w:r w:rsidRPr="000410F3">
        <w:rPr>
          <w:rFonts w:ascii="Times New Roman" w:hAnsi="Times New Roman"/>
          <w:i/>
          <w:szCs w:val="24"/>
        </w:rPr>
        <w:t>expressio/inclusio unius est exclusio</w:t>
      </w:r>
      <w:r w:rsidRPr="000410F3">
        <w:rPr>
          <w:rFonts w:ascii="Times New Roman" w:hAnsi="Times New Roman"/>
          <w:szCs w:val="24"/>
        </w:rPr>
        <w:t xml:space="preserve">, which states that items not on a list are impliedly assumed to be excluded; </w:t>
      </w:r>
      <w:r w:rsidRPr="000410F3">
        <w:rPr>
          <w:rFonts w:ascii="Times New Roman" w:hAnsi="Times New Roman"/>
          <w:i/>
          <w:szCs w:val="24"/>
        </w:rPr>
        <w:t>in pari materi</w:t>
      </w:r>
      <w:r w:rsidRPr="000410F3">
        <w:rPr>
          <w:rFonts w:ascii="Times New Roman" w:hAnsi="Times New Roman"/>
          <w:szCs w:val="24"/>
        </w:rPr>
        <w:t xml:space="preserve">, which states similar statutory provisions should be interpreted in a similar way; and </w:t>
      </w:r>
      <w:r w:rsidRPr="000410F3">
        <w:rPr>
          <w:rFonts w:ascii="Times New Roman" w:hAnsi="Times New Roman"/>
          <w:i/>
          <w:szCs w:val="24"/>
        </w:rPr>
        <w:t>noscitur a sociis</w:t>
      </w:r>
      <w:r w:rsidRPr="000410F3">
        <w:rPr>
          <w:rFonts w:ascii="Times New Roman" w:hAnsi="Times New Roman"/>
          <w:szCs w:val="24"/>
        </w:rPr>
        <w:t>, which states that when a word is ambiguous, one should discern its meaning by looking at references to the surrounding text.</w:t>
      </w:r>
      <w:r w:rsidRPr="000410F3">
        <w:rPr>
          <w:rStyle w:val="FootnoteReference"/>
          <w:rFonts w:ascii="Times New Roman" w:hAnsi="Times New Roman"/>
          <w:szCs w:val="24"/>
        </w:rPr>
        <w:footnoteReference w:id="44"/>
      </w:r>
      <w:r w:rsidRPr="000410F3">
        <w:rPr>
          <w:rFonts w:ascii="Times New Roman" w:hAnsi="Times New Roman"/>
          <w:szCs w:val="24"/>
        </w:rPr>
        <w:t xml:space="preserve"> Another interpretive tool looks at the way courts in other cases have interpreted similar language in other statutes</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Pr="000410F3">
        <w:rPr>
          <w:rFonts w:ascii="Times New Roman" w:hAnsi="Times New Roman"/>
          <w:szCs w:val="24"/>
        </w:rPr>
        <w:t>the whole code rule.</w:t>
      </w:r>
      <w:r w:rsidRPr="000410F3">
        <w:rPr>
          <w:rStyle w:val="FootnoteReference"/>
          <w:rFonts w:ascii="Times New Roman" w:hAnsi="Times New Roman"/>
          <w:szCs w:val="24"/>
        </w:rPr>
        <w:footnoteReference w:id="45"/>
      </w:r>
      <w:r w:rsidRPr="000410F3">
        <w:rPr>
          <w:rFonts w:ascii="Times New Roman" w:hAnsi="Times New Roman"/>
          <w:szCs w:val="24"/>
        </w:rPr>
        <w:t xml:space="preserve"> Likewise, the whole act rule refers to the inferences a reviewing court may make about the meaning of one section of a statute based on how other sections are structured.</w:t>
      </w:r>
      <w:r w:rsidRPr="000410F3">
        <w:rPr>
          <w:rStyle w:val="FootnoteReference"/>
          <w:rFonts w:ascii="Times New Roman" w:hAnsi="Times New Roman"/>
          <w:szCs w:val="24"/>
        </w:rPr>
        <w:footnoteReference w:id="46"/>
      </w:r>
      <w:r w:rsidRPr="000410F3">
        <w:rPr>
          <w:rFonts w:ascii="Times New Roman" w:hAnsi="Times New Roman"/>
          <w:szCs w:val="24"/>
        </w:rPr>
        <w:t xml:space="preserve"> It calls for reviewing courts to assume that differences in similar or parallel statutory provisions to be deemed deliberate and to presume that statutory provisions have consistent meaning through the statute.</w:t>
      </w:r>
      <w:r w:rsidRPr="000410F3">
        <w:rPr>
          <w:rStyle w:val="FootnoteReference"/>
          <w:rFonts w:ascii="Times New Roman" w:hAnsi="Times New Roman"/>
          <w:szCs w:val="24"/>
        </w:rPr>
        <w:footnoteReference w:id="47"/>
      </w:r>
      <w:r w:rsidRPr="000410F3">
        <w:rPr>
          <w:rFonts w:ascii="Times New Roman" w:hAnsi="Times New Roman"/>
          <w:szCs w:val="24"/>
        </w:rPr>
        <w:t xml:space="preserve"> </w:t>
      </w:r>
    </w:p>
    <w:p w14:paraId="26392A84" w14:textId="77777777" w:rsidR="008E43BE" w:rsidRPr="001F1D99" w:rsidRDefault="008E43BE" w:rsidP="001F1D99">
      <w:pPr>
        <w:ind w:firstLine="720"/>
        <w:rPr>
          <w:rFonts w:ascii="Times New Roman" w:hAnsi="Times New Roman"/>
          <w:szCs w:val="24"/>
        </w:rPr>
      </w:pPr>
    </w:p>
    <w:p w14:paraId="24DB040F" w14:textId="5B7C4892" w:rsidR="0086288C" w:rsidRDefault="0086288C" w:rsidP="00A04719">
      <w:pPr>
        <w:pStyle w:val="ListParagraph"/>
        <w:numPr>
          <w:ilvl w:val="0"/>
          <w:numId w:val="20"/>
        </w:numPr>
        <w:spacing w:after="0" w:line="240" w:lineRule="auto"/>
        <w:rPr>
          <w:rFonts w:ascii="Times New Roman" w:hAnsi="Times New Roman"/>
          <w:b/>
          <w:sz w:val="24"/>
          <w:szCs w:val="24"/>
        </w:rPr>
      </w:pPr>
      <w:r w:rsidRPr="00A11347">
        <w:rPr>
          <w:rFonts w:ascii="Times New Roman" w:hAnsi="Times New Roman"/>
          <w:b/>
          <w:sz w:val="24"/>
          <w:szCs w:val="24"/>
        </w:rPr>
        <w:t>Purposivism</w:t>
      </w:r>
    </w:p>
    <w:p w14:paraId="0B256A0C" w14:textId="77777777" w:rsidR="005D2AD9" w:rsidRPr="00A11347" w:rsidRDefault="005D2AD9" w:rsidP="005D2AD9">
      <w:pPr>
        <w:pStyle w:val="ListParagraph"/>
        <w:spacing w:after="0" w:line="240" w:lineRule="auto"/>
        <w:ind w:left="1440"/>
        <w:rPr>
          <w:rFonts w:ascii="Times New Roman" w:hAnsi="Times New Roman"/>
          <w:b/>
          <w:sz w:val="24"/>
          <w:szCs w:val="24"/>
        </w:rPr>
      </w:pPr>
    </w:p>
    <w:p w14:paraId="01378833" w14:textId="633EA051" w:rsidR="0086288C" w:rsidRPr="000410F3" w:rsidRDefault="0086288C" w:rsidP="0086288C">
      <w:pPr>
        <w:ind w:firstLine="720"/>
        <w:rPr>
          <w:rFonts w:ascii="Times New Roman" w:hAnsi="Times New Roman"/>
          <w:szCs w:val="24"/>
        </w:rPr>
      </w:pPr>
      <w:r w:rsidRPr="000410F3">
        <w:rPr>
          <w:rFonts w:ascii="Times New Roman" w:hAnsi="Times New Roman"/>
          <w:szCs w:val="24"/>
        </w:rPr>
        <w:t>Although the theory can have many variations,</w:t>
      </w:r>
      <w:r w:rsidRPr="000410F3">
        <w:rPr>
          <w:rStyle w:val="FootnoteReference"/>
          <w:rFonts w:ascii="Times New Roman" w:hAnsi="Times New Roman"/>
          <w:szCs w:val="24"/>
        </w:rPr>
        <w:footnoteReference w:id="48"/>
      </w:r>
      <w:r w:rsidRPr="000410F3">
        <w:rPr>
          <w:rFonts w:ascii="Times New Roman" w:hAnsi="Times New Roman"/>
          <w:szCs w:val="24"/>
        </w:rPr>
        <w:t xml:space="preserve"> the second approach, purposivism or dynamic interpretation as popularized by William Eskridge,</w:t>
      </w:r>
      <w:bookmarkStart w:id="19" w:name="_Ref460547183"/>
      <w:r w:rsidRPr="000410F3">
        <w:rPr>
          <w:rStyle w:val="FootnoteReference"/>
          <w:rFonts w:ascii="Times New Roman" w:hAnsi="Times New Roman"/>
          <w:szCs w:val="24"/>
        </w:rPr>
        <w:footnoteReference w:id="49"/>
      </w:r>
      <w:bookmarkEnd w:id="19"/>
      <w:r w:rsidRPr="000410F3">
        <w:rPr>
          <w:rFonts w:ascii="Times New Roman" w:hAnsi="Times New Roman"/>
          <w:szCs w:val="24"/>
        </w:rPr>
        <w:t xml:space="preserve"> contends that interpreters should take public values into consideration and construe statutes dynamically to reflect current social, political and legal contexts.</w:t>
      </w:r>
      <w:bookmarkStart w:id="20" w:name="_Ref460547054"/>
      <w:r w:rsidRPr="000410F3">
        <w:rPr>
          <w:rStyle w:val="FootnoteReference"/>
          <w:rFonts w:ascii="Times New Roman" w:hAnsi="Times New Roman"/>
          <w:szCs w:val="24"/>
        </w:rPr>
        <w:footnoteReference w:id="50"/>
      </w:r>
      <w:bookmarkEnd w:id="20"/>
      <w:r w:rsidRPr="000410F3">
        <w:rPr>
          <w:rFonts w:ascii="Times New Roman" w:hAnsi="Times New Roman"/>
          <w:szCs w:val="24"/>
        </w:rPr>
        <w:t xml:space="preserve"> For purposivists, the interpreter looks at three perspectives: 1) the statutory text; 2) the historical perspective as reflected in the original legislature’s explorations of policy; and 3) the evolutive perspective considering the evolution of the statute and the </w:t>
      </w:r>
      <w:r w:rsidR="008E43BE">
        <w:rPr>
          <w:rFonts w:ascii="Times New Roman" w:hAnsi="Times New Roman"/>
          <w:szCs w:val="24"/>
        </w:rPr>
        <w:t xml:space="preserve">present role that the statute </w:t>
      </w:r>
      <w:r w:rsidRPr="000410F3">
        <w:rPr>
          <w:rFonts w:ascii="Times New Roman" w:hAnsi="Times New Roman"/>
          <w:szCs w:val="24"/>
        </w:rPr>
        <w:t>plays in the world, with a particular emphasis on how the statu</w:t>
      </w:r>
      <w:r w:rsidR="008E43BE">
        <w:rPr>
          <w:rFonts w:ascii="Times New Roman" w:hAnsi="Times New Roman"/>
          <w:szCs w:val="24"/>
        </w:rPr>
        <w:t>t</w:t>
      </w:r>
      <w:r w:rsidRPr="000410F3">
        <w:rPr>
          <w:rFonts w:ascii="Times New Roman" w:hAnsi="Times New Roman"/>
          <w:szCs w:val="24"/>
        </w:rPr>
        <w:t xml:space="preserve">e fits in with </w:t>
      </w:r>
      <w:r w:rsidRPr="000410F3">
        <w:rPr>
          <w:rFonts w:ascii="Times New Roman" w:hAnsi="Times New Roman"/>
          <w:szCs w:val="24"/>
        </w:rPr>
        <w:lastRenderedPageBreak/>
        <w:t>the current societal and legal environment.</w:t>
      </w:r>
      <w:r w:rsidRPr="000410F3">
        <w:rPr>
          <w:rStyle w:val="FootnoteReference"/>
          <w:rFonts w:ascii="Times New Roman" w:hAnsi="Times New Roman"/>
          <w:szCs w:val="24"/>
        </w:rPr>
        <w:footnoteReference w:id="51"/>
      </w:r>
      <w:r w:rsidRPr="000410F3">
        <w:rPr>
          <w:rFonts w:ascii="Times New Roman" w:hAnsi="Times New Roman"/>
          <w:szCs w:val="24"/>
        </w:rPr>
        <w:t xml:space="preserve"> Unlike textualists, purposivists argue that judges should discern statutory meaning by first identifying the purpose of the statute and then selecting the meaning that best effectuates the stated (or implied) purpose.</w:t>
      </w:r>
      <w:r w:rsidRPr="000410F3">
        <w:rPr>
          <w:rStyle w:val="FootnoteReference"/>
          <w:rFonts w:ascii="Times New Roman" w:hAnsi="Times New Roman"/>
          <w:szCs w:val="24"/>
        </w:rPr>
        <w:footnoteReference w:id="52"/>
      </w:r>
      <w:r w:rsidRPr="000410F3">
        <w:rPr>
          <w:rFonts w:ascii="Times New Roman" w:hAnsi="Times New Roman"/>
          <w:szCs w:val="24"/>
        </w:rPr>
        <w:t xml:space="preserve"> Purposivists argue that this view defers more to the views of the democratically-elected branches, placing more emphasis on democratic accountability.</w:t>
      </w:r>
      <w:r w:rsidRPr="000410F3">
        <w:rPr>
          <w:rStyle w:val="FootnoteReference"/>
          <w:rFonts w:ascii="Times New Roman" w:hAnsi="Times New Roman"/>
          <w:szCs w:val="24"/>
        </w:rPr>
        <w:footnoteReference w:id="53"/>
      </w:r>
      <w:r w:rsidRPr="000410F3">
        <w:rPr>
          <w:rFonts w:ascii="Times New Roman" w:hAnsi="Times New Roman"/>
          <w:szCs w:val="24"/>
        </w:rPr>
        <w:t xml:space="preserve"> As Stephen Breyer notes, “overemphasis on text can lead courts astray, divorcing law from life—indeed, creating law that harms those whom Congress meant to help.”</w:t>
      </w:r>
      <w:r w:rsidRPr="000410F3">
        <w:rPr>
          <w:rStyle w:val="FootnoteReference"/>
          <w:rFonts w:ascii="Times New Roman" w:hAnsi="Times New Roman"/>
          <w:szCs w:val="24"/>
        </w:rPr>
        <w:footnoteReference w:id="54"/>
      </w:r>
      <w:r w:rsidR="00450845">
        <w:rPr>
          <w:rFonts w:ascii="Times New Roman" w:hAnsi="Times New Roman"/>
          <w:szCs w:val="24"/>
        </w:rPr>
        <w:t xml:space="preserve"> Purposivists often</w:t>
      </w:r>
      <w:r w:rsidRPr="000410F3">
        <w:rPr>
          <w:rFonts w:ascii="Times New Roman" w:hAnsi="Times New Roman"/>
          <w:szCs w:val="24"/>
        </w:rPr>
        <w:t xml:space="preserve"> elevate courts to be the primary arbiters of how the law should be interpreted with the emphasis on evolving legal principles as well as changing social and economic changes.</w:t>
      </w:r>
      <w:r w:rsidRPr="000410F3">
        <w:rPr>
          <w:rStyle w:val="FootnoteReference"/>
          <w:rFonts w:ascii="Times New Roman" w:hAnsi="Times New Roman"/>
          <w:szCs w:val="24"/>
        </w:rPr>
        <w:footnoteReference w:id="55"/>
      </w:r>
      <w:r w:rsidRPr="000410F3">
        <w:rPr>
          <w:rFonts w:ascii="Times New Roman" w:hAnsi="Times New Roman"/>
          <w:szCs w:val="24"/>
        </w:rPr>
        <w:t xml:space="preserve"> As such, the interpretation given by a dynamic court could conceivably differ much from what the enacting coalition might want.</w:t>
      </w:r>
      <w:r w:rsidRPr="000410F3">
        <w:rPr>
          <w:rStyle w:val="FootnoteReference"/>
          <w:rFonts w:ascii="Times New Roman" w:hAnsi="Times New Roman"/>
          <w:szCs w:val="24"/>
        </w:rPr>
        <w:footnoteReference w:id="56"/>
      </w:r>
      <w:r w:rsidRPr="000410F3">
        <w:rPr>
          <w:rFonts w:ascii="Times New Roman" w:hAnsi="Times New Roman"/>
          <w:szCs w:val="24"/>
        </w:rPr>
        <w:t xml:space="preserve"> Such an approach can foster greater judicial autonomy because courts have the power to elevate their own policy preferences ahead of the preferences of the original enacting coalition. </w:t>
      </w:r>
    </w:p>
    <w:p w14:paraId="4A70AA59" w14:textId="51916796" w:rsidR="0086288C" w:rsidRDefault="0086288C" w:rsidP="0086288C">
      <w:pPr>
        <w:ind w:firstLine="720"/>
        <w:rPr>
          <w:rFonts w:ascii="Times New Roman" w:hAnsi="Times New Roman"/>
          <w:szCs w:val="24"/>
        </w:rPr>
      </w:pPr>
      <w:r w:rsidRPr="000410F3">
        <w:rPr>
          <w:rFonts w:ascii="Times New Roman" w:hAnsi="Times New Roman"/>
          <w:szCs w:val="24"/>
        </w:rPr>
        <w:t>Purposivism has its limitations. Most particularly, it can be difficult to discern statutory meaning. A statute can have multiple and cross-cutting purposes.</w:t>
      </w:r>
      <w:r w:rsidRPr="000410F3">
        <w:rPr>
          <w:rStyle w:val="FootnoteReference"/>
          <w:rFonts w:ascii="Times New Roman" w:hAnsi="Times New Roman"/>
          <w:szCs w:val="24"/>
        </w:rPr>
        <w:footnoteReference w:id="57"/>
      </w:r>
      <w:r w:rsidRPr="000410F3">
        <w:rPr>
          <w:rFonts w:ascii="Times New Roman" w:hAnsi="Times New Roman"/>
          <w:szCs w:val="24"/>
        </w:rPr>
        <w:t xml:space="preserve"> Moreover, reliance on legislative history to guide in discerning that purpose can be problematic. Legislative history may not always be reliable as staff can hide the true intent behind a bill with the use of clever language.</w:t>
      </w:r>
      <w:r w:rsidRPr="000410F3">
        <w:rPr>
          <w:rStyle w:val="FootnoteReference"/>
          <w:rFonts w:ascii="Times New Roman" w:hAnsi="Times New Roman"/>
          <w:szCs w:val="24"/>
        </w:rPr>
        <w:footnoteReference w:id="58"/>
      </w:r>
      <w:r w:rsidRPr="000410F3">
        <w:rPr>
          <w:rFonts w:ascii="Times New Roman" w:hAnsi="Times New Roman"/>
          <w:szCs w:val="24"/>
        </w:rPr>
        <w:t xml:space="preserve"> Statements in legislative history could be a tool to provide political cover rather than a blueprint on what the original enacting coalition intended the statute to mean.</w:t>
      </w:r>
      <w:r w:rsidRPr="000410F3">
        <w:rPr>
          <w:rStyle w:val="FootnoteReference"/>
          <w:rFonts w:ascii="Times New Roman" w:hAnsi="Times New Roman"/>
          <w:szCs w:val="24"/>
        </w:rPr>
        <w:footnoteReference w:id="59"/>
      </w:r>
      <w:r w:rsidR="00450845">
        <w:rPr>
          <w:rFonts w:ascii="Times New Roman" w:hAnsi="Times New Roman"/>
          <w:szCs w:val="24"/>
        </w:rPr>
        <w:t xml:space="preserve"> L</w:t>
      </w:r>
      <w:r w:rsidRPr="000410F3">
        <w:rPr>
          <w:rFonts w:ascii="Times New Roman" w:hAnsi="Times New Roman"/>
          <w:szCs w:val="24"/>
        </w:rPr>
        <w:t xml:space="preserve">egislative history can </w:t>
      </w:r>
      <w:r w:rsidR="00450845">
        <w:rPr>
          <w:rFonts w:ascii="Times New Roman" w:hAnsi="Times New Roman"/>
          <w:szCs w:val="24"/>
        </w:rPr>
        <w:t xml:space="preserve">also </w:t>
      </w:r>
      <w:r w:rsidRPr="000410F3">
        <w:rPr>
          <w:rFonts w:ascii="Times New Roman" w:hAnsi="Times New Roman"/>
          <w:szCs w:val="24"/>
        </w:rPr>
        <w:t>take many forms</w:t>
      </w:r>
      <w:r w:rsidR="00450845">
        <w:rPr>
          <w:rFonts w:ascii="Times New Roman" w:hAnsi="Times New Roman"/>
          <w:szCs w:val="24"/>
        </w:rPr>
        <w:t xml:space="preserve"> </w:t>
      </w:r>
      <w:r w:rsidRPr="000410F3">
        <w:rPr>
          <w:rFonts w:ascii="Times New Roman" w:hAnsi="Times New Roman"/>
          <w:szCs w:val="24"/>
        </w:rPr>
        <w:t>—</w:t>
      </w:r>
      <w:r w:rsidR="00450845">
        <w:rPr>
          <w:rFonts w:ascii="Times New Roman" w:hAnsi="Times New Roman"/>
          <w:szCs w:val="24"/>
        </w:rPr>
        <w:t xml:space="preserve"> </w:t>
      </w:r>
      <w:r w:rsidRPr="000410F3">
        <w:rPr>
          <w:rFonts w:ascii="Times New Roman" w:hAnsi="Times New Roman"/>
          <w:szCs w:val="24"/>
        </w:rPr>
        <w:t xml:space="preserve">ranging from conference committee reports to stray remarks made by Congressman on the House floor or in the Congressional Record. Committee reports are often seen as the most authoritative source of legislative history, </w:t>
      </w:r>
      <w:r w:rsidRPr="000410F3">
        <w:rPr>
          <w:rFonts w:ascii="Times New Roman" w:hAnsi="Times New Roman"/>
          <w:szCs w:val="24"/>
        </w:rPr>
        <w:lastRenderedPageBreak/>
        <w:t>followed by conference reports yet the context can often matter.</w:t>
      </w:r>
      <w:r w:rsidRPr="000410F3">
        <w:rPr>
          <w:rStyle w:val="FootnoteReference"/>
          <w:rFonts w:ascii="Times New Roman" w:hAnsi="Times New Roman"/>
          <w:szCs w:val="24"/>
        </w:rPr>
        <w:footnoteReference w:id="60"/>
      </w:r>
      <w:r w:rsidRPr="000410F3">
        <w:rPr>
          <w:rFonts w:ascii="Times New Roman" w:hAnsi="Times New Roman"/>
          <w:szCs w:val="24"/>
        </w:rPr>
        <w:t xml:space="preserve"> Who actually </w:t>
      </w:r>
      <w:r w:rsidR="00450845">
        <w:rPr>
          <w:rFonts w:ascii="Times New Roman" w:hAnsi="Times New Roman"/>
          <w:szCs w:val="24"/>
        </w:rPr>
        <w:t>says the remarks can also make a difference. S</w:t>
      </w:r>
      <w:r w:rsidRPr="000410F3">
        <w:rPr>
          <w:rFonts w:ascii="Times New Roman" w:hAnsi="Times New Roman"/>
          <w:szCs w:val="24"/>
        </w:rPr>
        <w:t>tatements by party leadership</w:t>
      </w:r>
      <w:r w:rsidRPr="000410F3">
        <w:rPr>
          <w:rStyle w:val="FootnoteReference"/>
          <w:rFonts w:ascii="Times New Roman" w:hAnsi="Times New Roman"/>
          <w:szCs w:val="24"/>
        </w:rPr>
        <w:footnoteReference w:id="61"/>
      </w:r>
      <w:r w:rsidR="00450845">
        <w:rPr>
          <w:rFonts w:ascii="Times New Roman" w:hAnsi="Times New Roman"/>
          <w:szCs w:val="24"/>
        </w:rPr>
        <w:t xml:space="preserve"> as well as f</w:t>
      </w:r>
      <w:r w:rsidRPr="000410F3">
        <w:rPr>
          <w:rFonts w:ascii="Times New Roman" w:hAnsi="Times New Roman"/>
          <w:szCs w:val="24"/>
        </w:rPr>
        <w:t>loor statements by those opposed to the bill are often seen as the least reliable.</w:t>
      </w:r>
      <w:r w:rsidRPr="000410F3">
        <w:rPr>
          <w:rStyle w:val="FootnoteReference"/>
          <w:rFonts w:ascii="Times New Roman" w:hAnsi="Times New Roman"/>
          <w:szCs w:val="24"/>
        </w:rPr>
        <w:footnoteReference w:id="62"/>
      </w:r>
      <w:r w:rsidR="00450845">
        <w:rPr>
          <w:rFonts w:ascii="Times New Roman" w:hAnsi="Times New Roman"/>
          <w:szCs w:val="24"/>
        </w:rPr>
        <w:t xml:space="preserve"> In turn</w:t>
      </w:r>
      <w:r w:rsidRPr="000410F3">
        <w:rPr>
          <w:rFonts w:ascii="Times New Roman" w:hAnsi="Times New Roman"/>
          <w:szCs w:val="24"/>
        </w:rPr>
        <w:t>, legislative history that takes the form of showing a “shared consensus” is often seen as most reliable.</w:t>
      </w:r>
      <w:r w:rsidRPr="000410F3">
        <w:rPr>
          <w:rStyle w:val="FootnoteReference"/>
          <w:rFonts w:ascii="Times New Roman" w:hAnsi="Times New Roman"/>
          <w:szCs w:val="24"/>
        </w:rPr>
        <w:footnoteReference w:id="63"/>
      </w:r>
    </w:p>
    <w:p w14:paraId="36C91318" w14:textId="77777777" w:rsidR="005D2AD9" w:rsidRPr="000410F3" w:rsidRDefault="005D2AD9" w:rsidP="0086288C">
      <w:pPr>
        <w:ind w:firstLine="720"/>
        <w:rPr>
          <w:rFonts w:ascii="Times New Roman" w:hAnsi="Times New Roman"/>
          <w:szCs w:val="24"/>
        </w:rPr>
      </w:pPr>
    </w:p>
    <w:p w14:paraId="5F43FD69" w14:textId="17036DB2" w:rsidR="0086288C" w:rsidRDefault="0086288C" w:rsidP="00A04719">
      <w:pPr>
        <w:pStyle w:val="ListParagraph"/>
        <w:numPr>
          <w:ilvl w:val="0"/>
          <w:numId w:val="20"/>
        </w:numPr>
        <w:spacing w:after="0" w:line="240" w:lineRule="auto"/>
        <w:rPr>
          <w:rFonts w:ascii="Times New Roman" w:hAnsi="Times New Roman"/>
          <w:b/>
          <w:sz w:val="24"/>
          <w:szCs w:val="24"/>
        </w:rPr>
      </w:pPr>
      <w:r w:rsidRPr="00A11347">
        <w:rPr>
          <w:rFonts w:ascii="Times New Roman" w:hAnsi="Times New Roman"/>
          <w:b/>
          <w:sz w:val="24"/>
          <w:szCs w:val="24"/>
        </w:rPr>
        <w:t>Substantive Canons</w:t>
      </w:r>
    </w:p>
    <w:p w14:paraId="756F209E" w14:textId="77777777" w:rsidR="005D2AD9" w:rsidRPr="00A11347" w:rsidRDefault="005D2AD9" w:rsidP="005D2AD9">
      <w:pPr>
        <w:pStyle w:val="ListParagraph"/>
        <w:spacing w:after="0" w:line="240" w:lineRule="auto"/>
        <w:ind w:left="1440"/>
        <w:rPr>
          <w:rFonts w:ascii="Times New Roman" w:hAnsi="Times New Roman"/>
          <w:b/>
          <w:sz w:val="24"/>
          <w:szCs w:val="24"/>
        </w:rPr>
      </w:pPr>
    </w:p>
    <w:p w14:paraId="4E5D8BB9" w14:textId="71BEB282" w:rsidR="0086288C" w:rsidRDefault="00450845" w:rsidP="0086288C">
      <w:pPr>
        <w:rPr>
          <w:rFonts w:ascii="Times New Roman" w:hAnsi="Times New Roman"/>
          <w:szCs w:val="24"/>
        </w:rPr>
      </w:pPr>
      <w:r>
        <w:rPr>
          <w:rFonts w:ascii="Times New Roman" w:hAnsi="Times New Roman"/>
          <w:szCs w:val="24"/>
        </w:rPr>
        <w:tab/>
        <w:t>A</w:t>
      </w:r>
      <w:r w:rsidR="0086288C" w:rsidRPr="000410F3">
        <w:rPr>
          <w:rFonts w:ascii="Times New Roman" w:hAnsi="Times New Roman"/>
          <w:szCs w:val="24"/>
        </w:rPr>
        <w:t>ny empirical examination of statutory construction would not be complete without mentioning the use of substantive canons. Substantive canons are judicially-created “rules of thumb” based on overriding legal norms, policies and conventions.</w:t>
      </w:r>
      <w:bookmarkStart w:id="21" w:name="_Ref460547342"/>
      <w:r w:rsidR="0086288C" w:rsidRPr="000410F3">
        <w:rPr>
          <w:rStyle w:val="FootnoteReference"/>
          <w:rFonts w:ascii="Times New Roman" w:hAnsi="Times New Roman"/>
          <w:szCs w:val="24"/>
        </w:rPr>
        <w:footnoteReference w:id="64"/>
      </w:r>
      <w:bookmarkEnd w:id="21"/>
      <w:r w:rsidR="0086288C" w:rsidRPr="000410F3">
        <w:rPr>
          <w:rFonts w:ascii="Times New Roman" w:hAnsi="Times New Roman"/>
          <w:szCs w:val="24"/>
        </w:rPr>
        <w:t xml:space="preserve"> All told, there are more than 100 substantive canons.</w:t>
      </w:r>
      <w:r w:rsidR="0086288C" w:rsidRPr="000410F3">
        <w:rPr>
          <w:rStyle w:val="FootnoteReference"/>
          <w:rFonts w:ascii="Times New Roman" w:hAnsi="Times New Roman"/>
          <w:szCs w:val="24"/>
        </w:rPr>
        <w:footnoteReference w:id="65"/>
      </w:r>
      <w:r w:rsidR="0086288C" w:rsidRPr="000410F3">
        <w:rPr>
          <w:rFonts w:ascii="Times New Roman" w:hAnsi="Times New Roman"/>
          <w:szCs w:val="24"/>
        </w:rPr>
        <w:t xml:space="preserve"> For instance, the “Rule of Lenity” espouses that any ambiguity be resolved in favor of the defendant.</w:t>
      </w:r>
      <w:r w:rsidR="0086288C" w:rsidRPr="000410F3">
        <w:rPr>
          <w:rStyle w:val="FootnoteReference"/>
          <w:rFonts w:ascii="Times New Roman" w:hAnsi="Times New Roman"/>
          <w:szCs w:val="24"/>
        </w:rPr>
        <w:footnoteReference w:id="66"/>
      </w:r>
      <w:r w:rsidR="0086288C" w:rsidRPr="000410F3">
        <w:rPr>
          <w:rFonts w:ascii="Times New Roman" w:hAnsi="Times New Roman"/>
          <w:szCs w:val="24"/>
        </w:rPr>
        <w:t xml:space="preserve"> The oddly named “Charming Betsy” doctrine states that national statutes be construed so as to not conflict with international law. Other statutory canons opine that statutes </w:t>
      </w:r>
      <w:r w:rsidR="0086288C" w:rsidRPr="000410F3">
        <w:rPr>
          <w:rFonts w:ascii="Times New Roman" w:hAnsi="Times New Roman"/>
          <w:szCs w:val="24"/>
        </w:rPr>
        <w:lastRenderedPageBreak/>
        <w:t>be interpreted so as to not violate so-called “fundamental values,” or so as to not abrogate sovereign immunity or not to preempt state law.</w:t>
      </w:r>
      <w:r w:rsidR="0086288C" w:rsidRPr="000410F3">
        <w:rPr>
          <w:rStyle w:val="FootnoteReference"/>
          <w:rFonts w:ascii="Times New Roman" w:hAnsi="Times New Roman"/>
          <w:szCs w:val="24"/>
        </w:rPr>
        <w:footnoteReference w:id="67"/>
      </w:r>
    </w:p>
    <w:p w14:paraId="434338B2" w14:textId="77777777" w:rsidR="005D2AD9" w:rsidRPr="000410F3" w:rsidRDefault="005D2AD9" w:rsidP="0086288C">
      <w:pPr>
        <w:rPr>
          <w:rFonts w:ascii="Times New Roman" w:hAnsi="Times New Roman"/>
          <w:szCs w:val="24"/>
        </w:rPr>
      </w:pPr>
    </w:p>
    <w:p w14:paraId="75C6053B" w14:textId="52CE0FE8" w:rsidR="0086288C" w:rsidRPr="00A04719" w:rsidRDefault="00A04719" w:rsidP="00A04719">
      <w:pPr>
        <w:pStyle w:val="ListParagraph"/>
        <w:numPr>
          <w:ilvl w:val="0"/>
          <w:numId w:val="25"/>
        </w:numPr>
        <w:rPr>
          <w:rFonts w:ascii="Times New Roman" w:hAnsi="Times New Roman"/>
          <w:b/>
          <w:szCs w:val="24"/>
        </w:rPr>
      </w:pPr>
      <w:r w:rsidRPr="00A04719">
        <w:rPr>
          <w:rFonts w:ascii="Times New Roman" w:hAnsi="Times New Roman"/>
          <w:b/>
          <w:szCs w:val="24"/>
        </w:rPr>
        <w:t>E</w:t>
      </w:r>
      <w:r w:rsidR="0086288C" w:rsidRPr="00A04719">
        <w:rPr>
          <w:rFonts w:ascii="Times New Roman" w:hAnsi="Times New Roman"/>
          <w:b/>
          <w:szCs w:val="24"/>
        </w:rPr>
        <w:t>mpirical Studies of Statutory Interpretation</w:t>
      </w:r>
    </w:p>
    <w:p w14:paraId="04E2E2B4" w14:textId="77777777" w:rsidR="005D2AD9" w:rsidRPr="00A11347" w:rsidRDefault="005D2AD9" w:rsidP="005D2AD9">
      <w:pPr>
        <w:pStyle w:val="ListParagraph"/>
        <w:spacing w:after="0" w:line="240" w:lineRule="auto"/>
        <w:ind w:left="1440"/>
        <w:rPr>
          <w:rFonts w:ascii="Times New Roman" w:hAnsi="Times New Roman"/>
          <w:b/>
          <w:sz w:val="24"/>
          <w:szCs w:val="24"/>
        </w:rPr>
      </w:pPr>
    </w:p>
    <w:p w14:paraId="48C39E25" w14:textId="12F367D7" w:rsidR="0086288C" w:rsidRDefault="0086288C" w:rsidP="0086288C">
      <w:pPr>
        <w:ind w:firstLine="720"/>
        <w:rPr>
          <w:rFonts w:ascii="Times New Roman" w:hAnsi="Times New Roman"/>
          <w:szCs w:val="24"/>
        </w:rPr>
      </w:pPr>
      <w:r w:rsidRPr="000410F3">
        <w:rPr>
          <w:rFonts w:ascii="Times New Roman" w:hAnsi="Times New Roman"/>
          <w:szCs w:val="24"/>
        </w:rPr>
        <w:t xml:space="preserve">The </w:t>
      </w:r>
      <w:r w:rsidR="00450845">
        <w:rPr>
          <w:rFonts w:ascii="Times New Roman" w:hAnsi="Times New Roman"/>
          <w:szCs w:val="24"/>
        </w:rPr>
        <w:t xml:space="preserve">empirical-oriented scholarship </w:t>
      </w:r>
      <w:r w:rsidRPr="000410F3">
        <w:rPr>
          <w:rFonts w:ascii="Times New Roman" w:hAnsi="Times New Roman"/>
          <w:szCs w:val="24"/>
        </w:rPr>
        <w:t>analyzing statutory methods falls into two camps.</w:t>
      </w:r>
      <w:bookmarkStart w:id="22" w:name="_Ref460547532"/>
      <w:r w:rsidRPr="000410F3">
        <w:rPr>
          <w:rStyle w:val="FootnoteReference"/>
          <w:rFonts w:ascii="Times New Roman" w:hAnsi="Times New Roman"/>
          <w:szCs w:val="24"/>
        </w:rPr>
        <w:footnoteReference w:id="68"/>
      </w:r>
      <w:bookmarkEnd w:id="22"/>
      <w:r w:rsidRPr="000410F3">
        <w:rPr>
          <w:rFonts w:ascii="Times New Roman" w:hAnsi="Times New Roman"/>
          <w:szCs w:val="24"/>
        </w:rPr>
        <w:t xml:space="preserve"> Traditionally, scholars focus their empirical study on how the Supreme Court interprets statutes.</w:t>
      </w:r>
      <w:r w:rsidRPr="000410F3">
        <w:rPr>
          <w:rStyle w:val="FootnoteReference"/>
          <w:rFonts w:ascii="Times New Roman" w:hAnsi="Times New Roman"/>
          <w:szCs w:val="24"/>
        </w:rPr>
        <w:footnoteReference w:id="69"/>
      </w:r>
      <w:r w:rsidRPr="000410F3">
        <w:rPr>
          <w:rFonts w:ascii="Times New Roman" w:hAnsi="Times New Roman"/>
          <w:szCs w:val="24"/>
        </w:rPr>
        <w:t xml:space="preserve"> In the past few years, however, scholars have shifted the focus beyond the Supreme Court to assess in a quantitative fashion how administrative agencies interpret statutes.</w:t>
      </w:r>
      <w:r w:rsidRPr="000410F3">
        <w:rPr>
          <w:rStyle w:val="FootnoteReference"/>
          <w:rFonts w:ascii="Times New Roman" w:hAnsi="Times New Roman"/>
          <w:szCs w:val="24"/>
        </w:rPr>
        <w:footnoteReference w:id="70"/>
      </w:r>
      <w:r w:rsidRPr="000410F3">
        <w:rPr>
          <w:rFonts w:ascii="Times New Roman" w:hAnsi="Times New Roman"/>
          <w:szCs w:val="24"/>
        </w:rPr>
        <w:t xml:space="preserve"> Some investigate how administrative agencies interpret statutes through the use of surveys asked of administrators and congressional staff,</w:t>
      </w:r>
      <w:r w:rsidRPr="000410F3">
        <w:rPr>
          <w:rStyle w:val="FootnoteReference"/>
          <w:rFonts w:ascii="Times New Roman" w:hAnsi="Times New Roman"/>
          <w:szCs w:val="24"/>
        </w:rPr>
        <w:footnoteReference w:id="71"/>
      </w:r>
      <w:r w:rsidRPr="000410F3">
        <w:rPr>
          <w:rFonts w:ascii="Times New Roman" w:hAnsi="Times New Roman"/>
          <w:szCs w:val="24"/>
        </w:rPr>
        <w:t xml:space="preserve"> while others embark on a more qualitative analysis of agency-specific statutory interpretations, picking out a few examples of actual cases to illustrate given points.</w:t>
      </w:r>
      <w:bookmarkStart w:id="23" w:name="_Ref460643326"/>
      <w:r w:rsidRPr="000410F3">
        <w:rPr>
          <w:rStyle w:val="FootnoteReference"/>
          <w:rFonts w:ascii="Times New Roman" w:hAnsi="Times New Roman"/>
          <w:szCs w:val="24"/>
        </w:rPr>
        <w:footnoteReference w:id="72"/>
      </w:r>
      <w:bookmarkEnd w:id="23"/>
      <w:r w:rsidRPr="000410F3">
        <w:rPr>
          <w:rFonts w:ascii="Times New Roman" w:hAnsi="Times New Roman"/>
          <w:szCs w:val="24"/>
        </w:rPr>
        <w:t xml:space="preserve"> No study has yet merged the various lines of inquiry to see how administrative agencies use statutory methods in their day-to-day decision-making in any sort of systematic way. </w:t>
      </w:r>
    </w:p>
    <w:p w14:paraId="7656CFFF" w14:textId="77777777" w:rsidR="00A04719" w:rsidRPr="000410F3" w:rsidRDefault="00A04719" w:rsidP="00A04719">
      <w:pPr>
        <w:rPr>
          <w:rFonts w:ascii="Times New Roman" w:hAnsi="Times New Roman"/>
          <w:szCs w:val="24"/>
        </w:rPr>
      </w:pPr>
    </w:p>
    <w:p w14:paraId="1396D912" w14:textId="749E2644" w:rsidR="0086288C" w:rsidRPr="00A04719" w:rsidRDefault="0086288C" w:rsidP="00A04719">
      <w:pPr>
        <w:pStyle w:val="ListParagraph"/>
        <w:numPr>
          <w:ilvl w:val="0"/>
          <w:numId w:val="22"/>
        </w:numPr>
        <w:rPr>
          <w:rFonts w:ascii="Times New Roman" w:hAnsi="Times New Roman"/>
          <w:b/>
          <w:szCs w:val="24"/>
        </w:rPr>
      </w:pPr>
      <w:r w:rsidRPr="00A04719">
        <w:rPr>
          <w:rFonts w:ascii="Times New Roman" w:hAnsi="Times New Roman"/>
          <w:b/>
          <w:szCs w:val="24"/>
        </w:rPr>
        <w:t>Statutory Analysis of Supreme Court Decisions</w:t>
      </w:r>
    </w:p>
    <w:p w14:paraId="1D124309"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There have been many excellent studies of statutory analysis at the Supreme Court and the federal courts generally, with most of the analysis focused on deference as opposed to statutory construction. William Eskridge and Lauren Bauer compiled a comprehensive dataset of Supreme Court decisions involving a statutory interpretation issue between the time </w:t>
      </w:r>
      <w:r w:rsidRPr="000410F3">
        <w:rPr>
          <w:rFonts w:ascii="Times New Roman" w:hAnsi="Times New Roman"/>
          <w:i/>
          <w:szCs w:val="24"/>
        </w:rPr>
        <w:t>Chevron</w:t>
      </w:r>
      <w:r w:rsidRPr="000410F3">
        <w:rPr>
          <w:rFonts w:ascii="Times New Roman" w:hAnsi="Times New Roman"/>
          <w:szCs w:val="24"/>
        </w:rPr>
        <w:t xml:space="preserve"> was decided in 1984 and the end of 2005.</w:t>
      </w:r>
      <w:bookmarkStart w:id="24" w:name="_Ref460640140"/>
      <w:r w:rsidRPr="000410F3">
        <w:rPr>
          <w:rStyle w:val="FootnoteReference"/>
          <w:rFonts w:ascii="Times New Roman" w:hAnsi="Times New Roman"/>
          <w:szCs w:val="24"/>
        </w:rPr>
        <w:footnoteReference w:id="73"/>
      </w:r>
      <w:bookmarkEnd w:id="24"/>
      <w:r w:rsidRPr="000410F3">
        <w:rPr>
          <w:rFonts w:ascii="Times New Roman" w:hAnsi="Times New Roman"/>
          <w:szCs w:val="24"/>
        </w:rPr>
        <w:t xml:space="preserve"> They found no evidence to </w:t>
      </w:r>
      <w:r w:rsidRPr="000410F3">
        <w:rPr>
          <w:rFonts w:ascii="Times New Roman" w:hAnsi="Times New Roman"/>
          <w:szCs w:val="24"/>
        </w:rPr>
        <w:lastRenderedPageBreak/>
        <w:t>indicate when the Court will invoke particular deference regimes in whether to defer to the agency.</w:t>
      </w:r>
      <w:r w:rsidRPr="000410F3">
        <w:rPr>
          <w:rStyle w:val="FootnoteReference"/>
          <w:rFonts w:ascii="Times New Roman" w:hAnsi="Times New Roman"/>
          <w:szCs w:val="24"/>
        </w:rPr>
        <w:footnoteReference w:id="74"/>
      </w:r>
      <w:r>
        <w:rPr>
          <w:rFonts w:ascii="Times New Roman" w:hAnsi="Times New Roman"/>
          <w:szCs w:val="24"/>
        </w:rPr>
        <w:t xml:space="preserve"> In the wake of the Eskridge and Bauer analysis</w:t>
      </w:r>
      <w:r w:rsidRPr="000410F3">
        <w:rPr>
          <w:rFonts w:ascii="Times New Roman" w:hAnsi="Times New Roman"/>
          <w:szCs w:val="24"/>
        </w:rPr>
        <w:t xml:space="preserve">, there have been many follow-up studies studying how federal courts apply </w:t>
      </w:r>
      <w:r w:rsidRPr="000410F3">
        <w:rPr>
          <w:rFonts w:ascii="Times New Roman" w:hAnsi="Times New Roman"/>
          <w:i/>
          <w:szCs w:val="24"/>
        </w:rPr>
        <w:t>Chevron</w:t>
      </w:r>
      <w:r w:rsidRPr="000410F3">
        <w:rPr>
          <w:rFonts w:ascii="Times New Roman" w:hAnsi="Times New Roman"/>
          <w:szCs w:val="24"/>
        </w:rPr>
        <w:t>.</w:t>
      </w:r>
      <w:r w:rsidRPr="000410F3">
        <w:rPr>
          <w:rStyle w:val="FootnoteReference"/>
          <w:rFonts w:ascii="Times New Roman" w:hAnsi="Times New Roman"/>
          <w:szCs w:val="24"/>
        </w:rPr>
        <w:footnoteReference w:id="75"/>
      </w:r>
      <w:r w:rsidRPr="000410F3">
        <w:rPr>
          <w:rFonts w:ascii="Times New Roman" w:hAnsi="Times New Roman"/>
          <w:szCs w:val="24"/>
        </w:rPr>
        <w:t xml:space="preserve">  </w:t>
      </w:r>
    </w:p>
    <w:p w14:paraId="60A26C49" w14:textId="6336E8FE"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In addition to the </w:t>
      </w:r>
      <w:r w:rsidRPr="000410F3">
        <w:rPr>
          <w:rFonts w:ascii="Times New Roman" w:hAnsi="Times New Roman"/>
          <w:i/>
          <w:szCs w:val="24"/>
        </w:rPr>
        <w:t>Chevron-</w:t>
      </w:r>
      <w:r w:rsidRPr="000410F3">
        <w:rPr>
          <w:rFonts w:ascii="Times New Roman" w:hAnsi="Times New Roman"/>
          <w:szCs w:val="24"/>
        </w:rPr>
        <w:t>inspired literature, another strain of the literature looks at how federal judges use tools of statutory construction, such as canons and legislative history, to assess how those sources constrain judges from reaching outcomes in apposite to what one would predict from looking at their p</w:t>
      </w:r>
      <w:r w:rsidR="00450845">
        <w:rPr>
          <w:rFonts w:ascii="Times New Roman" w:hAnsi="Times New Roman"/>
          <w:szCs w:val="24"/>
        </w:rPr>
        <w:t xml:space="preserve">olitical background. </w:t>
      </w:r>
      <w:r w:rsidRPr="000410F3">
        <w:rPr>
          <w:rFonts w:ascii="Times New Roman" w:hAnsi="Times New Roman"/>
          <w:szCs w:val="24"/>
        </w:rPr>
        <w:t xml:space="preserve">Frank Cross </w:t>
      </w:r>
      <w:r w:rsidR="00450845">
        <w:rPr>
          <w:rFonts w:ascii="Times New Roman" w:hAnsi="Times New Roman"/>
          <w:szCs w:val="24"/>
        </w:rPr>
        <w:t xml:space="preserve">concluded </w:t>
      </w:r>
      <w:r w:rsidRPr="000410F3">
        <w:rPr>
          <w:rFonts w:ascii="Times New Roman" w:hAnsi="Times New Roman"/>
          <w:szCs w:val="24"/>
        </w:rPr>
        <w:t>that legislative history was more constraining than plain meaning.</w:t>
      </w:r>
      <w:r w:rsidRPr="000410F3">
        <w:rPr>
          <w:rStyle w:val="FootnoteReference"/>
          <w:rFonts w:ascii="Times New Roman" w:hAnsi="Times New Roman"/>
          <w:szCs w:val="24"/>
        </w:rPr>
        <w:footnoteReference w:id="76"/>
      </w:r>
      <w:r w:rsidRPr="000410F3">
        <w:rPr>
          <w:rFonts w:ascii="Times New Roman" w:hAnsi="Times New Roman"/>
          <w:szCs w:val="24"/>
        </w:rPr>
        <w:t xml:space="preserve"> He also found a marked increase in the use of pragmati</w:t>
      </w:r>
      <w:r w:rsidR="00450845">
        <w:rPr>
          <w:rFonts w:ascii="Times New Roman" w:hAnsi="Times New Roman"/>
          <w:szCs w:val="24"/>
        </w:rPr>
        <w:t>sm by federal judges analyzing statutes in the circuit courts</w:t>
      </w:r>
      <w:r w:rsidRPr="000410F3">
        <w:rPr>
          <w:rFonts w:ascii="Times New Roman" w:hAnsi="Times New Roman"/>
          <w:szCs w:val="24"/>
        </w:rPr>
        <w:t>.</w:t>
      </w:r>
      <w:r w:rsidRPr="000410F3">
        <w:rPr>
          <w:rStyle w:val="FootnoteReference"/>
          <w:rFonts w:ascii="Times New Roman" w:hAnsi="Times New Roman"/>
          <w:szCs w:val="24"/>
        </w:rPr>
        <w:footnoteReference w:id="77"/>
      </w:r>
      <w:r w:rsidRPr="000410F3">
        <w:rPr>
          <w:rFonts w:ascii="Times New Roman" w:hAnsi="Times New Roman"/>
          <w:szCs w:val="24"/>
        </w:rPr>
        <w:t xml:space="preserve"> Cross further fo</w:t>
      </w:r>
      <w:r w:rsidR="00450845">
        <w:rPr>
          <w:rFonts w:ascii="Times New Roman" w:hAnsi="Times New Roman"/>
          <w:szCs w:val="24"/>
        </w:rPr>
        <w:t>und a distinct increase in the use of linguistic canons</w:t>
      </w:r>
      <w:r w:rsidRPr="000410F3">
        <w:rPr>
          <w:rFonts w:ascii="Times New Roman" w:hAnsi="Times New Roman"/>
          <w:szCs w:val="24"/>
        </w:rPr>
        <w:t xml:space="preserve"> between 1990 and 2000, a period that corresponded to the time when the use of legislative history was on the decline.</w:t>
      </w:r>
      <w:r w:rsidRPr="000410F3">
        <w:rPr>
          <w:rStyle w:val="FootnoteReference"/>
          <w:rFonts w:ascii="Times New Roman" w:hAnsi="Times New Roman"/>
          <w:szCs w:val="24"/>
        </w:rPr>
        <w:footnoteReference w:id="78"/>
      </w:r>
      <w:r w:rsidRPr="000410F3">
        <w:rPr>
          <w:rFonts w:ascii="Times New Roman" w:hAnsi="Times New Roman"/>
          <w:szCs w:val="24"/>
        </w:rPr>
        <w:t xml:space="preserve"> </w:t>
      </w:r>
    </w:p>
    <w:p w14:paraId="48C4190B" w14:textId="28BCE4A1" w:rsidR="005D2AD9" w:rsidRDefault="0086288C" w:rsidP="005D2AD9">
      <w:pPr>
        <w:ind w:left="720" w:firstLine="0"/>
        <w:rPr>
          <w:rFonts w:ascii="Times New Roman" w:hAnsi="Times New Roman"/>
          <w:szCs w:val="24"/>
        </w:rPr>
      </w:pPr>
      <w:r w:rsidRPr="000410F3">
        <w:rPr>
          <w:rFonts w:ascii="Times New Roman" w:hAnsi="Times New Roman"/>
          <w:szCs w:val="24"/>
        </w:rPr>
        <w:t>A few of the studies look specifically at interpretive cano</w:t>
      </w:r>
      <w:r>
        <w:rPr>
          <w:rFonts w:ascii="Times New Roman" w:hAnsi="Times New Roman"/>
          <w:szCs w:val="24"/>
        </w:rPr>
        <w:t xml:space="preserve">ns, and in </w:t>
      </w:r>
    </w:p>
    <w:p w14:paraId="5AD5085F" w14:textId="4C954F8F" w:rsidR="0086288C" w:rsidRDefault="0086288C" w:rsidP="005D2AD9">
      <w:pPr>
        <w:ind w:firstLine="0"/>
        <w:rPr>
          <w:rFonts w:ascii="Times New Roman" w:hAnsi="Times New Roman"/>
          <w:szCs w:val="24"/>
        </w:rPr>
      </w:pPr>
      <w:r>
        <w:rPr>
          <w:rFonts w:ascii="Times New Roman" w:hAnsi="Times New Roman"/>
          <w:szCs w:val="24"/>
        </w:rPr>
        <w:t xml:space="preserve">particular, </w:t>
      </w:r>
      <w:r w:rsidR="00450845">
        <w:rPr>
          <w:rFonts w:ascii="Times New Roman" w:hAnsi="Times New Roman"/>
          <w:szCs w:val="24"/>
        </w:rPr>
        <w:t xml:space="preserve">analyze </w:t>
      </w:r>
      <w:r>
        <w:rPr>
          <w:rFonts w:ascii="Times New Roman" w:hAnsi="Times New Roman"/>
          <w:szCs w:val="24"/>
        </w:rPr>
        <w:t xml:space="preserve">rates of </w:t>
      </w:r>
      <w:r w:rsidRPr="000410F3">
        <w:rPr>
          <w:rFonts w:ascii="Times New Roman" w:hAnsi="Times New Roman"/>
          <w:szCs w:val="24"/>
        </w:rPr>
        <w:t>dueling canons in majority and dissenting opinions. One study of workplace cases, by James Brudney and Corey Ditslear, looked at interpretive canons in every Supreme Court decision in workplace matters from 1969-2003.</w:t>
      </w:r>
      <w:r w:rsidRPr="000410F3">
        <w:rPr>
          <w:rStyle w:val="FootnoteReference"/>
          <w:rFonts w:ascii="Times New Roman" w:hAnsi="Times New Roman"/>
          <w:szCs w:val="24"/>
        </w:rPr>
        <w:footnoteReference w:id="79"/>
      </w:r>
      <w:r w:rsidRPr="000410F3">
        <w:rPr>
          <w:rFonts w:ascii="Times New Roman" w:hAnsi="Times New Roman"/>
          <w:szCs w:val="24"/>
        </w:rPr>
        <w:t xml:space="preserve"> In the limited subject matter studied, </w:t>
      </w:r>
      <w:r w:rsidRPr="000410F3">
        <w:rPr>
          <w:rFonts w:ascii="Times New Roman" w:hAnsi="Times New Roman"/>
          <w:szCs w:val="24"/>
        </w:rPr>
        <w:lastRenderedPageBreak/>
        <w:t>they notably found there to be no relationship between ideology and the canons employed by a justice, concluding that “in divided decisions, the Justices themselves are more prone to view the canons as reasonable amenable to supporting either side.”</w:t>
      </w:r>
      <w:r w:rsidRPr="000410F3">
        <w:rPr>
          <w:rStyle w:val="FootnoteReference"/>
          <w:rFonts w:ascii="Times New Roman" w:hAnsi="Times New Roman"/>
          <w:szCs w:val="24"/>
        </w:rPr>
        <w:footnoteReference w:id="80"/>
      </w:r>
      <w:r w:rsidRPr="000410F3">
        <w:rPr>
          <w:rFonts w:ascii="Times New Roman" w:hAnsi="Times New Roman"/>
          <w:szCs w:val="24"/>
        </w:rPr>
        <w:t xml:space="preserve"> Nonetheless, they found that conservative justices tend to use canons to reach conservative outcomes, while liberal justices often use the same canon to reach a liberal result.</w:t>
      </w:r>
      <w:r w:rsidRPr="000410F3">
        <w:rPr>
          <w:rStyle w:val="FootnoteReference"/>
          <w:rFonts w:ascii="Times New Roman" w:hAnsi="Times New Roman"/>
          <w:szCs w:val="24"/>
        </w:rPr>
        <w:footnoteReference w:id="81"/>
      </w:r>
      <w:r w:rsidRPr="000410F3">
        <w:rPr>
          <w:rFonts w:ascii="Times New Roman" w:hAnsi="Times New Roman"/>
          <w:szCs w:val="24"/>
        </w:rPr>
        <w:t xml:space="preserve"> In follow-up work, they narrowed their claim a bit, finding that liberal justices were more likely to vote in favor of </w:t>
      </w:r>
      <w:r>
        <w:rPr>
          <w:rFonts w:ascii="Times New Roman" w:hAnsi="Times New Roman"/>
          <w:szCs w:val="24"/>
        </w:rPr>
        <w:t>employer interest when using</w:t>
      </w:r>
      <w:r w:rsidRPr="000410F3">
        <w:rPr>
          <w:rFonts w:ascii="Times New Roman" w:hAnsi="Times New Roman"/>
          <w:szCs w:val="24"/>
        </w:rPr>
        <w:t xml:space="preserve"> legislative history but that the use of canons and legislative history by conservatives was more mixed.</w:t>
      </w:r>
      <w:r w:rsidRPr="000410F3">
        <w:rPr>
          <w:rStyle w:val="FootnoteReference"/>
          <w:rFonts w:ascii="Times New Roman" w:hAnsi="Times New Roman"/>
          <w:szCs w:val="24"/>
        </w:rPr>
        <w:footnoteReference w:id="82"/>
      </w:r>
      <w:r w:rsidRPr="000410F3">
        <w:rPr>
          <w:rFonts w:ascii="Times New Roman" w:hAnsi="Times New Roman"/>
          <w:szCs w:val="24"/>
        </w:rPr>
        <w:t xml:space="preserve"> </w:t>
      </w:r>
    </w:p>
    <w:p w14:paraId="39AF1D72" w14:textId="77777777" w:rsidR="0086288C" w:rsidRDefault="0086288C" w:rsidP="0086288C">
      <w:pPr>
        <w:rPr>
          <w:rFonts w:ascii="Times New Roman" w:hAnsi="Times New Roman"/>
          <w:szCs w:val="24"/>
        </w:rPr>
      </w:pPr>
      <w:r>
        <w:rPr>
          <w:rFonts w:ascii="Times New Roman" w:hAnsi="Times New Roman"/>
          <w:szCs w:val="24"/>
        </w:rPr>
        <w:tab/>
      </w:r>
      <w:r w:rsidRPr="000410F3">
        <w:rPr>
          <w:rFonts w:ascii="Times New Roman" w:hAnsi="Times New Roman"/>
          <w:szCs w:val="24"/>
        </w:rPr>
        <w:t>Another study by David Law and David Zaring analyzes the use of legislative history in Supreme Court cases from 1953 to 2006.</w:t>
      </w:r>
      <w:r w:rsidRPr="000410F3">
        <w:rPr>
          <w:rStyle w:val="FootnoteReference"/>
          <w:rFonts w:ascii="Times New Roman" w:hAnsi="Times New Roman"/>
          <w:szCs w:val="24"/>
        </w:rPr>
        <w:footnoteReference w:id="83"/>
      </w:r>
      <w:r w:rsidRPr="000410F3">
        <w:rPr>
          <w:rFonts w:ascii="Times New Roman" w:hAnsi="Times New Roman"/>
          <w:szCs w:val="24"/>
        </w:rPr>
        <w:t xml:space="preserve"> They looked at legal factors that impacted what made the Court rely on legislative history.</w:t>
      </w:r>
      <w:r w:rsidRPr="000410F3">
        <w:rPr>
          <w:rStyle w:val="FootnoteReference"/>
          <w:rFonts w:ascii="Times New Roman" w:hAnsi="Times New Roman"/>
          <w:szCs w:val="24"/>
        </w:rPr>
        <w:footnoteReference w:id="84"/>
      </w:r>
      <w:r>
        <w:rPr>
          <w:rFonts w:ascii="Times New Roman" w:hAnsi="Times New Roman"/>
          <w:szCs w:val="24"/>
        </w:rPr>
        <w:t xml:space="preserve"> Law and Zaring</w:t>
      </w:r>
      <w:r w:rsidRPr="000410F3">
        <w:rPr>
          <w:rFonts w:ascii="Times New Roman" w:hAnsi="Times New Roman"/>
          <w:szCs w:val="24"/>
        </w:rPr>
        <w:t xml:space="preserve"> found that dissenting judges were more likely to cite legislative history when a majority opinion also cited legislative history, thus suggesting that judges are sensitive to their colleagues’ arguments.</w:t>
      </w:r>
      <w:r w:rsidRPr="000410F3">
        <w:rPr>
          <w:rStyle w:val="FootnoteReference"/>
          <w:rFonts w:ascii="Times New Roman" w:hAnsi="Times New Roman"/>
          <w:szCs w:val="24"/>
        </w:rPr>
        <w:footnoteReference w:id="85"/>
      </w:r>
      <w:r w:rsidRPr="000410F3">
        <w:rPr>
          <w:rFonts w:ascii="Times New Roman" w:hAnsi="Times New Roman"/>
          <w:szCs w:val="24"/>
        </w:rPr>
        <w:t xml:space="preserve"> </w:t>
      </w:r>
    </w:p>
    <w:p w14:paraId="0E097EB3" w14:textId="64568363" w:rsidR="0086288C" w:rsidRDefault="0086288C" w:rsidP="0086288C">
      <w:pPr>
        <w:ind w:firstLine="720"/>
        <w:rPr>
          <w:rFonts w:ascii="Times New Roman" w:hAnsi="Times New Roman"/>
          <w:szCs w:val="24"/>
        </w:rPr>
      </w:pPr>
      <w:r>
        <w:rPr>
          <w:rFonts w:ascii="Times New Roman" w:hAnsi="Times New Roman"/>
          <w:szCs w:val="24"/>
        </w:rPr>
        <w:t xml:space="preserve">Other scholars analyze statutory decisions in both the majority and dissenting opinions. </w:t>
      </w:r>
      <w:r w:rsidRPr="000410F3">
        <w:rPr>
          <w:rFonts w:ascii="Times New Roman" w:hAnsi="Times New Roman"/>
          <w:szCs w:val="24"/>
        </w:rPr>
        <w:t>Anita Krishnakumar has undertaken two empirical analysis of Supreme Court statutory interpretation. In one article, she analyzed the role that “dueling canons” played in Supreme Court decisions in the Roberts</w:t>
      </w:r>
      <w:r w:rsidR="00450845">
        <w:rPr>
          <w:rFonts w:ascii="Times New Roman" w:hAnsi="Times New Roman"/>
          <w:szCs w:val="24"/>
        </w:rPr>
        <w:t xml:space="preserve"> C</w:t>
      </w:r>
      <w:r w:rsidRPr="000410F3">
        <w:rPr>
          <w:rFonts w:ascii="Times New Roman" w:hAnsi="Times New Roman"/>
          <w:szCs w:val="24"/>
        </w:rPr>
        <w:t>ourt from 2005 through 2010.</w:t>
      </w:r>
      <w:r w:rsidRPr="000410F3">
        <w:rPr>
          <w:rStyle w:val="FootnoteReference"/>
          <w:rFonts w:ascii="Times New Roman" w:hAnsi="Times New Roman"/>
          <w:szCs w:val="24"/>
        </w:rPr>
        <w:footnoteReference w:id="86"/>
      </w:r>
      <w:r w:rsidRPr="000410F3">
        <w:rPr>
          <w:rFonts w:ascii="Times New Roman" w:hAnsi="Times New Roman"/>
          <w:szCs w:val="24"/>
        </w:rPr>
        <w:t xml:space="preserve"> She found there to be a strong correlation between ideology and use of interpretive canons, with conservative justices in particular using the canons to reach conservative outcomes in about </w:t>
      </w:r>
      <w:r w:rsidR="00450845">
        <w:rPr>
          <w:rFonts w:ascii="Times New Roman" w:hAnsi="Times New Roman"/>
          <w:szCs w:val="24"/>
        </w:rPr>
        <w:t>60% of cases, with liberal</w:t>
      </w:r>
      <w:r w:rsidRPr="000410F3">
        <w:rPr>
          <w:rFonts w:ascii="Times New Roman" w:hAnsi="Times New Roman"/>
          <w:szCs w:val="24"/>
        </w:rPr>
        <w:t xml:space="preserve"> justices using those same canons to reach a liberal outcome.</w:t>
      </w:r>
      <w:r w:rsidRPr="000410F3">
        <w:rPr>
          <w:rStyle w:val="FootnoteReference"/>
          <w:rFonts w:ascii="Times New Roman" w:hAnsi="Times New Roman"/>
          <w:szCs w:val="24"/>
        </w:rPr>
        <w:footnoteReference w:id="87"/>
      </w:r>
      <w:r w:rsidRPr="000410F3">
        <w:rPr>
          <w:rFonts w:ascii="Times New Roman" w:hAnsi="Times New Roman"/>
          <w:szCs w:val="24"/>
        </w:rPr>
        <w:t xml:space="preserve"> She also found that the canons do not constrain the judges to vote against their ideology and that practical reasoning led to greater rates of dueling than traditional methods of construction.</w:t>
      </w:r>
      <w:r w:rsidRPr="000410F3">
        <w:rPr>
          <w:rStyle w:val="FootnoteReference"/>
          <w:rFonts w:ascii="Times New Roman" w:hAnsi="Times New Roman"/>
          <w:szCs w:val="24"/>
        </w:rPr>
        <w:footnoteReference w:id="88"/>
      </w:r>
      <w:r w:rsidRPr="000410F3">
        <w:rPr>
          <w:rFonts w:ascii="Times New Roman" w:hAnsi="Times New Roman"/>
          <w:szCs w:val="24"/>
        </w:rPr>
        <w:t xml:space="preserve"> Krishnakumar also looked more thoroughly at the Roberts Court’s use of substantive canons, finding that they are infrequently invoked as a justification in statutory construction.</w:t>
      </w:r>
      <w:r w:rsidRPr="000410F3">
        <w:rPr>
          <w:rStyle w:val="FootnoteReference"/>
          <w:rFonts w:ascii="Times New Roman" w:hAnsi="Times New Roman"/>
          <w:szCs w:val="24"/>
        </w:rPr>
        <w:footnoteReference w:id="89"/>
      </w:r>
      <w:r w:rsidRPr="000410F3">
        <w:rPr>
          <w:rFonts w:ascii="Times New Roman" w:hAnsi="Times New Roman"/>
          <w:szCs w:val="24"/>
        </w:rPr>
        <w:t xml:space="preserve"> Rather, she found that Supreme Court </w:t>
      </w:r>
      <w:r w:rsidRPr="000410F3">
        <w:rPr>
          <w:rFonts w:ascii="Times New Roman" w:hAnsi="Times New Roman"/>
          <w:szCs w:val="24"/>
        </w:rPr>
        <w:lastRenderedPageBreak/>
        <w:t>precedent as well as reliance on practical considerations serve as the “real gap-filling interpretive tools” that the Court relies on.</w:t>
      </w:r>
      <w:r w:rsidRPr="000410F3">
        <w:rPr>
          <w:rStyle w:val="FootnoteReference"/>
          <w:rFonts w:ascii="Times New Roman" w:hAnsi="Times New Roman"/>
          <w:szCs w:val="24"/>
        </w:rPr>
        <w:footnoteReference w:id="90"/>
      </w:r>
      <w:r w:rsidRPr="000410F3">
        <w:rPr>
          <w:rFonts w:ascii="Times New Roman" w:hAnsi="Times New Roman"/>
          <w:szCs w:val="24"/>
        </w:rPr>
        <w:t xml:space="preserve"> </w:t>
      </w:r>
    </w:p>
    <w:p w14:paraId="1D4E5C2A"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More recently, Lawrence Solan explored the use of precedent in guiding statutory decisions.</w:t>
      </w:r>
      <w:r w:rsidRPr="000410F3">
        <w:rPr>
          <w:rStyle w:val="FootnoteReference"/>
          <w:rFonts w:ascii="Times New Roman" w:hAnsi="Times New Roman"/>
          <w:szCs w:val="24"/>
        </w:rPr>
        <w:footnoteReference w:id="91"/>
      </w:r>
      <w:r w:rsidRPr="000410F3">
        <w:rPr>
          <w:rFonts w:ascii="Times New Roman" w:hAnsi="Times New Roman"/>
          <w:szCs w:val="24"/>
        </w:rPr>
        <w:t xml:space="preserve"> Examining the use of precedent in five to three or five to four decisions before the United States Supreme Court, Solan paints a “chaotic picture” on the use of precedent in statutory interpretation.</w:t>
      </w:r>
      <w:r w:rsidRPr="000410F3">
        <w:rPr>
          <w:rStyle w:val="FootnoteReference"/>
          <w:rFonts w:ascii="Times New Roman" w:hAnsi="Times New Roman"/>
          <w:szCs w:val="24"/>
        </w:rPr>
        <w:footnoteReference w:id="92"/>
      </w:r>
      <w:r w:rsidRPr="000410F3">
        <w:rPr>
          <w:rFonts w:ascii="Times New Roman" w:hAnsi="Times New Roman"/>
          <w:szCs w:val="24"/>
        </w:rPr>
        <w:t xml:space="preserve"> Judges on opposing sides cite contrasting precedent, or strategically cite precedent to advance their preferred outcome.</w:t>
      </w:r>
      <w:r w:rsidRPr="000410F3">
        <w:rPr>
          <w:rStyle w:val="FootnoteReference"/>
          <w:rFonts w:ascii="Times New Roman" w:hAnsi="Times New Roman"/>
          <w:szCs w:val="24"/>
        </w:rPr>
        <w:footnoteReference w:id="93"/>
      </w:r>
    </w:p>
    <w:p w14:paraId="62328781" w14:textId="1B34B391" w:rsidR="0086288C" w:rsidRDefault="0086288C" w:rsidP="0086288C">
      <w:pPr>
        <w:ind w:firstLine="720"/>
        <w:rPr>
          <w:rFonts w:ascii="Times New Roman" w:hAnsi="Times New Roman"/>
          <w:szCs w:val="24"/>
        </w:rPr>
      </w:pPr>
      <w:r w:rsidRPr="000410F3">
        <w:rPr>
          <w:rFonts w:ascii="Times New Roman" w:hAnsi="Times New Roman"/>
          <w:szCs w:val="24"/>
        </w:rPr>
        <w:t xml:space="preserve">Scholars have </w:t>
      </w:r>
      <w:r>
        <w:rPr>
          <w:rFonts w:ascii="Times New Roman" w:hAnsi="Times New Roman"/>
          <w:szCs w:val="24"/>
        </w:rPr>
        <w:t>also begun to study statutory interpretation by the appellate courts</w:t>
      </w:r>
      <w:r w:rsidRPr="000410F3">
        <w:rPr>
          <w:rFonts w:ascii="Times New Roman" w:hAnsi="Times New Roman"/>
          <w:szCs w:val="24"/>
        </w:rPr>
        <w:t>. James Brudney and Lawrence Baum compared the use of dictionaries and legislative history between the court of appeals and the United States Supreme Court in three doctrinal areas: criminal</w:t>
      </w:r>
      <w:r>
        <w:rPr>
          <w:rFonts w:ascii="Times New Roman" w:hAnsi="Times New Roman"/>
          <w:szCs w:val="24"/>
        </w:rPr>
        <w:t xml:space="preserve"> law</w:t>
      </w:r>
      <w:r w:rsidRPr="000410F3">
        <w:rPr>
          <w:rFonts w:ascii="Times New Roman" w:hAnsi="Times New Roman"/>
          <w:szCs w:val="24"/>
        </w:rPr>
        <w:t>, business and commercial law and labor and employment law:</w:t>
      </w:r>
      <w:r w:rsidRPr="000410F3">
        <w:rPr>
          <w:rStyle w:val="FootnoteReference"/>
          <w:rFonts w:ascii="Times New Roman" w:hAnsi="Times New Roman"/>
          <w:szCs w:val="24"/>
        </w:rPr>
        <w:footnoteReference w:id="94"/>
      </w:r>
      <w:r>
        <w:rPr>
          <w:rFonts w:ascii="Times New Roman" w:hAnsi="Times New Roman"/>
          <w:szCs w:val="24"/>
        </w:rPr>
        <w:t xml:space="preserve"> </w:t>
      </w:r>
      <w:r w:rsidRPr="000410F3">
        <w:rPr>
          <w:rFonts w:ascii="Times New Roman" w:hAnsi="Times New Roman"/>
          <w:szCs w:val="24"/>
        </w:rPr>
        <w:t xml:space="preserve">They found that the court of appeals </w:t>
      </w:r>
      <w:r w:rsidR="00450845">
        <w:rPr>
          <w:rFonts w:ascii="Times New Roman" w:hAnsi="Times New Roman"/>
          <w:szCs w:val="24"/>
        </w:rPr>
        <w:t>relied</w:t>
      </w:r>
      <w:r w:rsidRPr="000410F3">
        <w:rPr>
          <w:rFonts w:ascii="Times New Roman" w:hAnsi="Times New Roman"/>
          <w:szCs w:val="24"/>
        </w:rPr>
        <w:t xml:space="preserve"> far less on legislative history and dictionaries than the Supreme Court did.</w:t>
      </w:r>
      <w:r w:rsidRPr="000410F3">
        <w:rPr>
          <w:rStyle w:val="FootnoteReference"/>
          <w:rFonts w:ascii="Times New Roman" w:hAnsi="Times New Roman"/>
          <w:szCs w:val="24"/>
        </w:rPr>
        <w:footnoteReference w:id="95"/>
      </w:r>
      <w:r>
        <w:rPr>
          <w:rFonts w:ascii="Times New Roman" w:hAnsi="Times New Roman"/>
          <w:szCs w:val="24"/>
        </w:rPr>
        <w:t xml:space="preserve"> They also noted that the two bodies</w:t>
      </w:r>
      <w:r w:rsidRPr="000410F3">
        <w:rPr>
          <w:rFonts w:ascii="Times New Roman" w:hAnsi="Times New Roman"/>
          <w:szCs w:val="24"/>
        </w:rPr>
        <w:t xml:space="preserve"> used</w:t>
      </w:r>
      <w:r>
        <w:rPr>
          <w:rFonts w:ascii="Times New Roman" w:hAnsi="Times New Roman"/>
          <w:szCs w:val="24"/>
        </w:rPr>
        <w:t xml:space="preserve"> legislative history in different</w:t>
      </w:r>
      <w:r w:rsidRPr="000410F3">
        <w:rPr>
          <w:rFonts w:ascii="Times New Roman" w:hAnsi="Times New Roman"/>
          <w:szCs w:val="24"/>
        </w:rPr>
        <w:t xml:space="preserve"> ways, with circuit courts using it to resolve ambiguities, confirm meaning or reveal legislative intent, while </w:t>
      </w:r>
      <w:r>
        <w:rPr>
          <w:rFonts w:ascii="Times New Roman" w:hAnsi="Times New Roman"/>
          <w:szCs w:val="24"/>
        </w:rPr>
        <w:t xml:space="preserve">the Supreme Court relied more on </w:t>
      </w:r>
      <w:r w:rsidRPr="000410F3">
        <w:rPr>
          <w:rFonts w:ascii="Times New Roman" w:hAnsi="Times New Roman"/>
          <w:szCs w:val="24"/>
        </w:rPr>
        <w:t>channeling changes in the statutory text.</w:t>
      </w:r>
      <w:r w:rsidRPr="000410F3">
        <w:rPr>
          <w:rStyle w:val="FootnoteReference"/>
          <w:rFonts w:ascii="Times New Roman" w:hAnsi="Times New Roman"/>
          <w:szCs w:val="24"/>
        </w:rPr>
        <w:footnoteReference w:id="96"/>
      </w:r>
      <w:r w:rsidRPr="000410F3">
        <w:rPr>
          <w:rFonts w:ascii="Times New Roman" w:hAnsi="Times New Roman"/>
          <w:szCs w:val="24"/>
        </w:rPr>
        <w:t xml:space="preserve"> Brudney and Baum</w:t>
      </w:r>
      <w:r>
        <w:rPr>
          <w:rFonts w:ascii="Times New Roman" w:hAnsi="Times New Roman"/>
          <w:szCs w:val="24"/>
        </w:rPr>
        <w:t xml:space="preserve"> </w:t>
      </w:r>
      <w:r w:rsidRPr="000410F3">
        <w:rPr>
          <w:rFonts w:ascii="Times New Roman" w:hAnsi="Times New Roman"/>
          <w:szCs w:val="24"/>
        </w:rPr>
        <w:t>conclude that these differences in approach are due to political and institutional</w:t>
      </w:r>
      <w:r>
        <w:rPr>
          <w:rFonts w:ascii="Times New Roman" w:hAnsi="Times New Roman"/>
          <w:szCs w:val="24"/>
        </w:rPr>
        <w:t xml:space="preserve"> factors</w:t>
      </w:r>
      <w:r w:rsidRPr="000410F3">
        <w:rPr>
          <w:rFonts w:ascii="Times New Roman" w:hAnsi="Times New Roman"/>
          <w:szCs w:val="24"/>
        </w:rPr>
        <w:t>.</w:t>
      </w:r>
      <w:r>
        <w:rPr>
          <w:rStyle w:val="FootnoteReference"/>
          <w:rFonts w:ascii="Times New Roman" w:hAnsi="Times New Roman"/>
          <w:szCs w:val="24"/>
        </w:rPr>
        <w:footnoteReference w:id="97"/>
      </w:r>
      <w:r w:rsidRPr="000410F3">
        <w:rPr>
          <w:rFonts w:ascii="Times New Roman" w:hAnsi="Times New Roman"/>
          <w:szCs w:val="24"/>
        </w:rPr>
        <w:t xml:space="preserve"> The heightened exposure of the Supreme Court to media and the wider </w:t>
      </w:r>
      <w:r>
        <w:rPr>
          <w:rFonts w:ascii="Times New Roman" w:hAnsi="Times New Roman"/>
          <w:szCs w:val="24"/>
        </w:rPr>
        <w:t>political arena</w:t>
      </w:r>
      <w:r w:rsidRPr="000410F3">
        <w:rPr>
          <w:rFonts w:ascii="Times New Roman" w:hAnsi="Times New Roman"/>
          <w:szCs w:val="24"/>
        </w:rPr>
        <w:t xml:space="preserve"> prompt them to rely more on dictionaries to deflect ch</w:t>
      </w:r>
      <w:r>
        <w:rPr>
          <w:rFonts w:ascii="Times New Roman" w:hAnsi="Times New Roman"/>
          <w:szCs w:val="24"/>
        </w:rPr>
        <w:t>arges of judicial activism</w:t>
      </w:r>
      <w:r w:rsidRPr="000410F3">
        <w:rPr>
          <w:rFonts w:ascii="Times New Roman" w:hAnsi="Times New Roman"/>
          <w:szCs w:val="24"/>
        </w:rPr>
        <w:t>.</w:t>
      </w:r>
      <w:r>
        <w:rPr>
          <w:rStyle w:val="FootnoteReference"/>
          <w:rFonts w:ascii="Times New Roman" w:hAnsi="Times New Roman"/>
          <w:szCs w:val="24"/>
        </w:rPr>
        <w:footnoteReference w:id="98"/>
      </w:r>
      <w:r>
        <w:rPr>
          <w:rFonts w:ascii="Times New Roman" w:hAnsi="Times New Roman"/>
          <w:szCs w:val="24"/>
        </w:rPr>
        <w:t xml:space="preserve"> In addition, t</w:t>
      </w:r>
      <w:r w:rsidRPr="000410F3">
        <w:rPr>
          <w:rFonts w:ascii="Times New Roman" w:hAnsi="Times New Roman"/>
          <w:szCs w:val="24"/>
        </w:rPr>
        <w:t xml:space="preserve">he more routine aspects of circuit court review along </w:t>
      </w:r>
      <w:r>
        <w:rPr>
          <w:rFonts w:ascii="Times New Roman" w:hAnsi="Times New Roman"/>
          <w:szCs w:val="24"/>
        </w:rPr>
        <w:t xml:space="preserve">with lack of permanent membership may result in circuit courts </w:t>
      </w:r>
      <w:r w:rsidRPr="000410F3">
        <w:rPr>
          <w:rFonts w:ascii="Times New Roman" w:hAnsi="Times New Roman"/>
          <w:szCs w:val="24"/>
        </w:rPr>
        <w:t>adopting less of an institutional culture regarding the use of specific interpretiv</w:t>
      </w:r>
      <w:r>
        <w:rPr>
          <w:rFonts w:ascii="Times New Roman" w:hAnsi="Times New Roman"/>
          <w:szCs w:val="24"/>
        </w:rPr>
        <w:t>e resources such as dictionaries</w:t>
      </w:r>
      <w:r w:rsidRPr="000410F3">
        <w:rPr>
          <w:rFonts w:ascii="Times New Roman" w:hAnsi="Times New Roman"/>
          <w:szCs w:val="24"/>
        </w:rPr>
        <w:t>.</w:t>
      </w:r>
      <w:r>
        <w:rPr>
          <w:rStyle w:val="FootnoteReference"/>
          <w:rFonts w:ascii="Times New Roman" w:hAnsi="Times New Roman"/>
          <w:szCs w:val="24"/>
        </w:rPr>
        <w:footnoteReference w:id="99"/>
      </w:r>
      <w:r w:rsidRPr="000410F3">
        <w:rPr>
          <w:rFonts w:ascii="Times New Roman" w:hAnsi="Times New Roman"/>
          <w:szCs w:val="24"/>
        </w:rPr>
        <w:t xml:space="preserve"> </w:t>
      </w:r>
    </w:p>
    <w:p w14:paraId="67EDBCB3" w14:textId="77777777" w:rsidR="005D2AD9" w:rsidRPr="000410F3" w:rsidRDefault="005D2AD9" w:rsidP="005D2AD9">
      <w:pPr>
        <w:rPr>
          <w:rFonts w:ascii="Times New Roman" w:hAnsi="Times New Roman"/>
          <w:szCs w:val="24"/>
        </w:rPr>
      </w:pPr>
    </w:p>
    <w:p w14:paraId="47854E4F" w14:textId="54A68080" w:rsidR="0086288C" w:rsidRPr="00A04719" w:rsidRDefault="00A04719" w:rsidP="00A04719">
      <w:pPr>
        <w:pStyle w:val="ListParagraph"/>
        <w:numPr>
          <w:ilvl w:val="0"/>
          <w:numId w:val="22"/>
        </w:numPr>
        <w:rPr>
          <w:rFonts w:ascii="Times New Roman" w:hAnsi="Times New Roman"/>
          <w:b/>
          <w:szCs w:val="24"/>
        </w:rPr>
      </w:pPr>
      <w:r>
        <w:rPr>
          <w:rFonts w:ascii="Times New Roman" w:hAnsi="Times New Roman"/>
          <w:b/>
          <w:szCs w:val="24"/>
        </w:rPr>
        <w:t>Statutory Analysis of</w:t>
      </w:r>
      <w:r w:rsidR="0086288C" w:rsidRPr="00A04719">
        <w:rPr>
          <w:rFonts w:ascii="Times New Roman" w:hAnsi="Times New Roman"/>
          <w:b/>
          <w:szCs w:val="24"/>
        </w:rPr>
        <w:t xml:space="preserve"> Administrative Law</w:t>
      </w:r>
      <w:r>
        <w:rPr>
          <w:rFonts w:ascii="Times New Roman" w:hAnsi="Times New Roman"/>
          <w:b/>
          <w:szCs w:val="24"/>
        </w:rPr>
        <w:t xml:space="preserve"> Decisions</w:t>
      </w:r>
    </w:p>
    <w:p w14:paraId="266D029C" w14:textId="77777777" w:rsidR="005D2AD9" w:rsidRPr="00850B14" w:rsidRDefault="005D2AD9" w:rsidP="005D2AD9">
      <w:pPr>
        <w:pStyle w:val="ListParagraph"/>
        <w:spacing w:after="0" w:line="240" w:lineRule="auto"/>
        <w:ind w:left="1440"/>
        <w:rPr>
          <w:rFonts w:ascii="Times New Roman" w:hAnsi="Times New Roman"/>
          <w:b/>
          <w:sz w:val="24"/>
          <w:szCs w:val="24"/>
        </w:rPr>
      </w:pPr>
    </w:p>
    <w:p w14:paraId="6019FC7F" w14:textId="77777777" w:rsidR="0086288C" w:rsidRDefault="0086288C" w:rsidP="001A4D77">
      <w:pPr>
        <w:pStyle w:val="ListParagraph"/>
        <w:numPr>
          <w:ilvl w:val="0"/>
          <w:numId w:val="13"/>
        </w:numPr>
        <w:spacing w:after="0" w:line="240" w:lineRule="auto"/>
        <w:rPr>
          <w:rFonts w:ascii="Times New Roman" w:hAnsi="Times New Roman"/>
          <w:b/>
          <w:sz w:val="24"/>
          <w:szCs w:val="24"/>
        </w:rPr>
      </w:pPr>
      <w:r w:rsidRPr="00850B14">
        <w:rPr>
          <w:rFonts w:ascii="Times New Roman" w:hAnsi="Times New Roman"/>
          <w:b/>
          <w:sz w:val="24"/>
          <w:szCs w:val="24"/>
        </w:rPr>
        <w:t>Theoretical Accounts</w:t>
      </w:r>
    </w:p>
    <w:p w14:paraId="3F09DD82" w14:textId="77777777" w:rsidR="005D2AD9" w:rsidRPr="00850B14" w:rsidRDefault="005D2AD9" w:rsidP="005D2AD9">
      <w:pPr>
        <w:pStyle w:val="ListParagraph"/>
        <w:spacing w:after="0" w:line="240" w:lineRule="auto"/>
        <w:ind w:left="1800"/>
        <w:rPr>
          <w:rFonts w:ascii="Times New Roman" w:hAnsi="Times New Roman"/>
          <w:b/>
          <w:sz w:val="24"/>
          <w:szCs w:val="24"/>
        </w:rPr>
      </w:pPr>
    </w:p>
    <w:p w14:paraId="5B3223E0" w14:textId="6C76424B" w:rsidR="0086288C" w:rsidRPr="000410F3" w:rsidRDefault="0086288C" w:rsidP="005D2AD9">
      <w:pPr>
        <w:rPr>
          <w:rFonts w:ascii="Times New Roman" w:hAnsi="Times New Roman"/>
          <w:szCs w:val="24"/>
        </w:rPr>
      </w:pPr>
      <w:r w:rsidRPr="000410F3">
        <w:rPr>
          <w:rFonts w:ascii="Times New Roman" w:hAnsi="Times New Roman"/>
          <w:szCs w:val="24"/>
        </w:rPr>
        <w:t>Scholars have offered some solutions for how to tackle the puzzle of ho</w:t>
      </w:r>
      <w:r w:rsidR="005D2AD9">
        <w:rPr>
          <w:rFonts w:ascii="Times New Roman" w:hAnsi="Times New Roman"/>
          <w:szCs w:val="24"/>
        </w:rPr>
        <w:t xml:space="preserve">w </w:t>
      </w:r>
      <w:r w:rsidR="005D2AD9">
        <w:rPr>
          <w:rFonts w:ascii="Times New Roman" w:hAnsi="Times New Roman"/>
          <w:szCs w:val="24"/>
        </w:rPr>
        <w:lastRenderedPageBreak/>
        <w:t xml:space="preserve">agencies, as </w:t>
      </w:r>
      <w:r w:rsidRPr="000410F3">
        <w:rPr>
          <w:rFonts w:ascii="Times New Roman" w:hAnsi="Times New Roman"/>
          <w:szCs w:val="24"/>
        </w:rPr>
        <w:t>opposed to courts, should interpret statutes. Jerry Mashaw and Peter Strass argue that we should not expect agencies to necessarily construe statutes like courts do.</w:t>
      </w:r>
      <w:r w:rsidRPr="000410F3">
        <w:rPr>
          <w:rStyle w:val="FootnoteReference"/>
          <w:rFonts w:ascii="Times New Roman" w:hAnsi="Times New Roman"/>
          <w:szCs w:val="24"/>
        </w:rPr>
        <w:footnoteReference w:id="100"/>
      </w:r>
      <w:r w:rsidRPr="000410F3">
        <w:rPr>
          <w:rFonts w:ascii="Times New Roman" w:hAnsi="Times New Roman"/>
          <w:szCs w:val="24"/>
        </w:rPr>
        <w:t xml:space="preserve"> Mashaw sets forth normative guidelines for how an agency should interpret a statute differently than a court as a result of its unique constitutional role and practical necessity.</w:t>
      </w:r>
      <w:r w:rsidRPr="000410F3">
        <w:rPr>
          <w:rStyle w:val="FootnoteReference"/>
          <w:rFonts w:ascii="Times New Roman" w:hAnsi="Times New Roman"/>
          <w:szCs w:val="24"/>
        </w:rPr>
        <w:footnoteReference w:id="101"/>
      </w:r>
      <w:r>
        <w:rPr>
          <w:rFonts w:ascii="Times New Roman" w:hAnsi="Times New Roman"/>
          <w:szCs w:val="24"/>
        </w:rPr>
        <w:t xml:space="preserve"> </w:t>
      </w:r>
      <w:r w:rsidRPr="000410F3">
        <w:rPr>
          <w:rFonts w:ascii="Times New Roman" w:hAnsi="Times New Roman"/>
          <w:szCs w:val="24"/>
        </w:rPr>
        <w:t>Mashaw contends we might expect agencies to “energize” a statutory program and engage in more activist policymaking in line with the wishes of political principals.</w:t>
      </w:r>
      <w:r w:rsidRPr="000410F3">
        <w:rPr>
          <w:rStyle w:val="FootnoteReference"/>
          <w:rFonts w:ascii="Times New Roman" w:hAnsi="Times New Roman"/>
          <w:szCs w:val="24"/>
        </w:rPr>
        <w:footnoteReference w:id="102"/>
      </w:r>
      <w:r w:rsidRPr="000410F3">
        <w:rPr>
          <w:rFonts w:ascii="Times New Roman" w:hAnsi="Times New Roman"/>
          <w:szCs w:val="24"/>
        </w:rPr>
        <w:t xml:space="preserve"> Mashaw also argues that unlike courts, who are more constrained by norms like </w:t>
      </w:r>
      <w:r w:rsidRPr="000410F3">
        <w:rPr>
          <w:rFonts w:ascii="Times New Roman" w:hAnsi="Times New Roman"/>
          <w:i/>
          <w:szCs w:val="24"/>
        </w:rPr>
        <w:t>stare decisis</w:t>
      </w:r>
      <w:r w:rsidRPr="000410F3">
        <w:rPr>
          <w:rFonts w:ascii="Times New Roman" w:hAnsi="Times New Roman"/>
          <w:szCs w:val="24"/>
        </w:rPr>
        <w:t xml:space="preserve"> and who seek to impose coherence to the legal order, agencies need not always be consistent in how they interpret statutes as they must be cognizant of present political realities.</w:t>
      </w:r>
      <w:r w:rsidRPr="000410F3">
        <w:rPr>
          <w:rStyle w:val="FootnoteReference"/>
          <w:rFonts w:ascii="Times New Roman" w:hAnsi="Times New Roman"/>
          <w:szCs w:val="24"/>
        </w:rPr>
        <w:footnoteReference w:id="103"/>
      </w:r>
    </w:p>
    <w:p w14:paraId="2D973120" w14:textId="6727CB8A"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Strauss too argues that “agencies essentially </w:t>
      </w:r>
      <w:r w:rsidRPr="000410F3">
        <w:rPr>
          <w:rFonts w:ascii="Times New Roman" w:hAnsi="Times New Roman"/>
          <w:i/>
          <w:szCs w:val="24"/>
        </w:rPr>
        <w:t>live</w:t>
      </w:r>
      <w:r w:rsidRPr="000410F3">
        <w:rPr>
          <w:rFonts w:ascii="Times New Roman" w:hAnsi="Times New Roman"/>
          <w:szCs w:val="24"/>
        </w:rPr>
        <w:t xml:space="preserve"> the process of statutory interpretation,” and that the political nature of the task of interpretation takes on a special role in the context of agency statutory interpretation.</w:t>
      </w:r>
      <w:r w:rsidRPr="000410F3">
        <w:rPr>
          <w:rStyle w:val="FootnoteReference"/>
          <w:rFonts w:ascii="Times New Roman" w:hAnsi="Times New Roman"/>
          <w:szCs w:val="24"/>
        </w:rPr>
        <w:footnoteReference w:id="104"/>
      </w:r>
      <w:r w:rsidRPr="000410F3">
        <w:rPr>
          <w:rFonts w:ascii="Times New Roman" w:hAnsi="Times New Roman"/>
          <w:szCs w:val="24"/>
        </w:rPr>
        <w:t xml:space="preserve"> As such, agencies, much more so than courts, are able to use legislative history to much greater effect.</w:t>
      </w:r>
      <w:r w:rsidRPr="000410F3">
        <w:rPr>
          <w:rStyle w:val="FootnoteReference"/>
          <w:rFonts w:ascii="Times New Roman" w:hAnsi="Times New Roman"/>
          <w:szCs w:val="24"/>
        </w:rPr>
        <w:footnoteReference w:id="105"/>
      </w:r>
      <w:r w:rsidR="00450845">
        <w:rPr>
          <w:rFonts w:ascii="Times New Roman" w:hAnsi="Times New Roman"/>
          <w:szCs w:val="24"/>
        </w:rPr>
        <w:t xml:space="preserve"> As Strauss notes, “[t]</w:t>
      </w:r>
      <w:r w:rsidRPr="000410F3">
        <w:rPr>
          <w:rFonts w:ascii="Times New Roman" w:hAnsi="Times New Roman"/>
          <w:szCs w:val="24"/>
        </w:rPr>
        <w:t>he enduring and multifaceted character of the agency’s relationship with Congress contributes to the agency’s capacity to distinguish reliably those conservations that served to shape the legislation, legislative history wheat, from the more manipulative chaff.”</w:t>
      </w:r>
      <w:r w:rsidRPr="000410F3">
        <w:rPr>
          <w:rStyle w:val="FootnoteReference"/>
          <w:rFonts w:ascii="Times New Roman" w:hAnsi="Times New Roman"/>
          <w:szCs w:val="24"/>
        </w:rPr>
        <w:footnoteReference w:id="106"/>
      </w:r>
      <w:r w:rsidRPr="000410F3">
        <w:rPr>
          <w:rFonts w:ascii="Times New Roman" w:hAnsi="Times New Roman"/>
          <w:szCs w:val="24"/>
        </w:rPr>
        <w:t xml:space="preserve"> Agencies can use legislative history in the context of its relationship to the White House, Congress and congressional committees.</w:t>
      </w:r>
      <w:r w:rsidRPr="000410F3">
        <w:rPr>
          <w:rStyle w:val="FootnoteReference"/>
          <w:rFonts w:ascii="Times New Roman" w:hAnsi="Times New Roman"/>
          <w:szCs w:val="24"/>
        </w:rPr>
        <w:footnoteReference w:id="107"/>
      </w:r>
      <w:r w:rsidRPr="000410F3">
        <w:rPr>
          <w:rFonts w:ascii="Times New Roman" w:hAnsi="Times New Roman"/>
          <w:szCs w:val="24"/>
        </w:rPr>
        <w:t xml:space="preserve"> This special “institutional memory” thus provides agencies with a unique perspective and a “crucial resource” in which to discern congressional intent.</w:t>
      </w:r>
      <w:r w:rsidRPr="000410F3">
        <w:rPr>
          <w:rStyle w:val="FootnoteReference"/>
          <w:rFonts w:ascii="Times New Roman" w:hAnsi="Times New Roman"/>
          <w:szCs w:val="24"/>
        </w:rPr>
        <w:footnoteReference w:id="108"/>
      </w:r>
      <w:r w:rsidRPr="000410F3">
        <w:rPr>
          <w:rFonts w:ascii="Times New Roman" w:hAnsi="Times New Roman"/>
          <w:szCs w:val="24"/>
        </w:rPr>
        <w:t xml:space="preserve"> </w:t>
      </w:r>
    </w:p>
    <w:p w14:paraId="1C446FEB" w14:textId="77777777" w:rsidR="0086288C" w:rsidRDefault="0086288C" w:rsidP="0086288C">
      <w:pPr>
        <w:ind w:firstLine="720"/>
        <w:rPr>
          <w:rFonts w:ascii="Times New Roman" w:hAnsi="Times New Roman"/>
          <w:szCs w:val="24"/>
        </w:rPr>
      </w:pPr>
      <w:r w:rsidRPr="000410F3">
        <w:rPr>
          <w:rFonts w:ascii="Times New Roman" w:hAnsi="Times New Roman"/>
          <w:szCs w:val="24"/>
        </w:rPr>
        <w:t>More recently, Kevin Stack argued that agencies should adopt a purposive method in and that agencies “are purposive by statutory design.”</w:t>
      </w:r>
      <w:r w:rsidRPr="000410F3">
        <w:rPr>
          <w:rStyle w:val="FootnoteReference"/>
          <w:rFonts w:ascii="Times New Roman" w:hAnsi="Times New Roman"/>
          <w:szCs w:val="24"/>
        </w:rPr>
        <w:footnoteReference w:id="109"/>
      </w:r>
      <w:r w:rsidRPr="000410F3">
        <w:rPr>
          <w:rFonts w:ascii="Times New Roman" w:hAnsi="Times New Roman"/>
          <w:szCs w:val="24"/>
        </w:rPr>
        <w:t xml:space="preserve"> </w:t>
      </w:r>
      <w:r>
        <w:rPr>
          <w:rFonts w:ascii="Times New Roman" w:hAnsi="Times New Roman"/>
          <w:szCs w:val="24"/>
        </w:rPr>
        <w:t>Agencies should act in a purposive manner because “Congress, in its statutory delegations, directs” them to do so.</w:t>
      </w:r>
      <w:r>
        <w:rPr>
          <w:rStyle w:val="FootnoteReference"/>
          <w:rFonts w:ascii="Times New Roman" w:hAnsi="Times New Roman"/>
          <w:szCs w:val="24"/>
        </w:rPr>
        <w:footnoteReference w:id="110"/>
      </w:r>
      <w:r>
        <w:rPr>
          <w:rFonts w:ascii="Times New Roman" w:hAnsi="Times New Roman"/>
          <w:szCs w:val="24"/>
        </w:rPr>
        <w:t xml:space="preserve"> </w:t>
      </w:r>
      <w:r w:rsidRPr="000410F3">
        <w:rPr>
          <w:rFonts w:ascii="Times New Roman" w:hAnsi="Times New Roman"/>
          <w:szCs w:val="24"/>
        </w:rPr>
        <w:t xml:space="preserve">He argues that agencies’ institutional capacities such as their expertise, political accountability and their ability to effectively evaluate and vet proposals makes them uniquely capable of </w:t>
      </w:r>
      <w:r w:rsidRPr="000410F3">
        <w:rPr>
          <w:rFonts w:ascii="Times New Roman" w:hAnsi="Times New Roman"/>
          <w:szCs w:val="24"/>
        </w:rPr>
        <w:lastRenderedPageBreak/>
        <w:t>interpreting statutes in a purposive way by looking at the purpose of the regulatory scheme and selecting actions that best effectuate those purposes.</w:t>
      </w:r>
      <w:r w:rsidRPr="000410F3">
        <w:rPr>
          <w:rStyle w:val="FootnoteReference"/>
          <w:rFonts w:ascii="Times New Roman" w:hAnsi="Times New Roman"/>
          <w:szCs w:val="24"/>
        </w:rPr>
        <w:footnoteReference w:id="111"/>
      </w:r>
      <w:r w:rsidRPr="000410F3">
        <w:rPr>
          <w:rFonts w:ascii="Times New Roman" w:hAnsi="Times New Roman"/>
          <w:szCs w:val="24"/>
        </w:rPr>
        <w:t xml:space="preserve"> He further contends that agencies are guided by an “intelligible principle” of the agency’s purpose and thus have a duty to 1) develop an understanding of that purpose; 2) evaluate alternatives for action in relation to the purpose; and 3) then act in ways that best furthers that purpose; and adopt only interpretations of the statute that effectuate that purpose.</w:t>
      </w:r>
      <w:r w:rsidRPr="000410F3">
        <w:rPr>
          <w:rStyle w:val="FootnoteReference"/>
          <w:rFonts w:ascii="Times New Roman" w:hAnsi="Times New Roman"/>
          <w:szCs w:val="24"/>
        </w:rPr>
        <w:footnoteReference w:id="112"/>
      </w:r>
    </w:p>
    <w:p w14:paraId="0886554E" w14:textId="77777777" w:rsidR="0086288C" w:rsidRDefault="0086288C" w:rsidP="0086288C">
      <w:pPr>
        <w:ind w:firstLine="720"/>
        <w:rPr>
          <w:rFonts w:ascii="Times New Roman" w:hAnsi="Times New Roman"/>
          <w:szCs w:val="24"/>
        </w:rPr>
      </w:pPr>
      <w:r>
        <w:rPr>
          <w:rFonts w:ascii="Times New Roman" w:hAnsi="Times New Roman"/>
          <w:szCs w:val="24"/>
        </w:rPr>
        <w:t xml:space="preserve">Aaron Saiger too argues that agencies </w:t>
      </w:r>
      <w:r w:rsidRPr="000410F3">
        <w:rPr>
          <w:rFonts w:ascii="Times New Roman" w:hAnsi="Times New Roman"/>
          <w:szCs w:val="24"/>
        </w:rPr>
        <w:t xml:space="preserve">interpreting regulations </w:t>
      </w:r>
      <w:r>
        <w:rPr>
          <w:rFonts w:ascii="Times New Roman" w:hAnsi="Times New Roman"/>
          <w:szCs w:val="24"/>
        </w:rPr>
        <w:t>have an ethical obligation to espouse what it deems to be the “best” interpretation of the statute.</w:t>
      </w:r>
      <w:r>
        <w:rPr>
          <w:rStyle w:val="FootnoteReference"/>
          <w:rFonts w:ascii="Times New Roman" w:hAnsi="Times New Roman"/>
          <w:szCs w:val="24"/>
        </w:rPr>
        <w:footnoteReference w:id="113"/>
      </w:r>
      <w:r>
        <w:rPr>
          <w:rFonts w:ascii="Times New Roman" w:hAnsi="Times New Roman"/>
          <w:szCs w:val="24"/>
        </w:rPr>
        <w:t xml:space="preserve"> He contends that it is wrong for agencies to advance a statutory interpretation that solely advances its policy preferences; rather it must use “interpretive criteria” to arrive at the “best” interpretation of the statute, even if such interpretation departs from those preferences.</w:t>
      </w:r>
      <w:r>
        <w:rPr>
          <w:rStyle w:val="FootnoteReference"/>
          <w:rFonts w:ascii="Times New Roman" w:hAnsi="Times New Roman"/>
          <w:szCs w:val="24"/>
        </w:rPr>
        <w:footnoteReference w:id="114"/>
      </w:r>
      <w:r>
        <w:rPr>
          <w:rFonts w:ascii="Times New Roman" w:hAnsi="Times New Roman"/>
          <w:szCs w:val="24"/>
        </w:rPr>
        <w:t xml:space="preserve"> In particular, when the court defers to the agency, the duty is incumbent on the agency to “say what the law is,” a responsibility akin to that of a court.</w:t>
      </w:r>
      <w:r>
        <w:rPr>
          <w:rStyle w:val="FootnoteReference"/>
          <w:rFonts w:ascii="Times New Roman" w:hAnsi="Times New Roman"/>
          <w:szCs w:val="24"/>
        </w:rPr>
        <w:footnoteReference w:id="115"/>
      </w:r>
    </w:p>
    <w:p w14:paraId="6E2EFE4F" w14:textId="77777777" w:rsidR="005D2AD9" w:rsidRPr="000410F3" w:rsidRDefault="005D2AD9" w:rsidP="0086288C">
      <w:pPr>
        <w:ind w:firstLine="720"/>
        <w:rPr>
          <w:rFonts w:ascii="Times New Roman" w:hAnsi="Times New Roman"/>
          <w:szCs w:val="24"/>
        </w:rPr>
      </w:pPr>
    </w:p>
    <w:p w14:paraId="24833707" w14:textId="33AE83FF" w:rsidR="0086288C" w:rsidRDefault="0086288C" w:rsidP="001A4D77">
      <w:pPr>
        <w:pStyle w:val="ListParagraph"/>
        <w:numPr>
          <w:ilvl w:val="0"/>
          <w:numId w:val="13"/>
        </w:numPr>
        <w:spacing w:after="0" w:line="240" w:lineRule="auto"/>
        <w:rPr>
          <w:rFonts w:ascii="Times New Roman" w:hAnsi="Times New Roman"/>
          <w:b/>
          <w:sz w:val="24"/>
          <w:szCs w:val="24"/>
        </w:rPr>
      </w:pPr>
      <w:r w:rsidRPr="00850B14">
        <w:rPr>
          <w:rFonts w:ascii="Times New Roman" w:hAnsi="Times New Roman"/>
          <w:b/>
          <w:sz w:val="24"/>
          <w:szCs w:val="24"/>
        </w:rPr>
        <w:t xml:space="preserve">Empirical Studies of </w:t>
      </w:r>
      <w:r w:rsidR="00A04719">
        <w:rPr>
          <w:rFonts w:ascii="Times New Roman" w:hAnsi="Times New Roman"/>
          <w:b/>
          <w:sz w:val="24"/>
          <w:szCs w:val="24"/>
        </w:rPr>
        <w:t xml:space="preserve">Administrative </w:t>
      </w:r>
      <w:r w:rsidRPr="00850B14">
        <w:rPr>
          <w:rFonts w:ascii="Times New Roman" w:hAnsi="Times New Roman"/>
          <w:b/>
          <w:sz w:val="24"/>
          <w:szCs w:val="24"/>
        </w:rPr>
        <w:t>Statutory Interpretation</w:t>
      </w:r>
    </w:p>
    <w:p w14:paraId="1BDF0082" w14:textId="77777777" w:rsidR="005D2AD9" w:rsidRPr="00850B14" w:rsidRDefault="005D2AD9" w:rsidP="005D2AD9">
      <w:pPr>
        <w:pStyle w:val="ListParagraph"/>
        <w:spacing w:after="0" w:line="240" w:lineRule="auto"/>
        <w:ind w:left="1800"/>
        <w:rPr>
          <w:rFonts w:ascii="Times New Roman" w:hAnsi="Times New Roman"/>
          <w:b/>
          <w:sz w:val="24"/>
          <w:szCs w:val="24"/>
        </w:rPr>
      </w:pPr>
    </w:p>
    <w:p w14:paraId="58E2C907" w14:textId="77777777" w:rsidR="0086288C" w:rsidRPr="000410F3" w:rsidRDefault="0086288C" w:rsidP="0086288C">
      <w:pPr>
        <w:rPr>
          <w:rFonts w:ascii="Times New Roman" w:hAnsi="Times New Roman"/>
          <w:szCs w:val="24"/>
        </w:rPr>
      </w:pPr>
      <w:r w:rsidRPr="000410F3">
        <w:rPr>
          <w:rFonts w:ascii="Times New Roman" w:hAnsi="Times New Roman"/>
          <w:i/>
          <w:szCs w:val="24"/>
        </w:rPr>
        <w:tab/>
      </w:r>
      <w:r w:rsidRPr="000410F3">
        <w:rPr>
          <w:rFonts w:ascii="Times New Roman" w:hAnsi="Times New Roman"/>
          <w:szCs w:val="24"/>
        </w:rPr>
        <w:t>In the past three</w:t>
      </w:r>
      <w:r>
        <w:rPr>
          <w:rFonts w:ascii="Times New Roman" w:hAnsi="Times New Roman"/>
          <w:szCs w:val="24"/>
        </w:rPr>
        <w:t xml:space="preserve"> years, a few</w:t>
      </w:r>
      <w:r w:rsidRPr="000410F3">
        <w:rPr>
          <w:rFonts w:ascii="Times New Roman" w:hAnsi="Times New Roman"/>
          <w:szCs w:val="24"/>
        </w:rPr>
        <w:t xml:space="preserve"> detailed and comprehensive studies have been done empirically looking at how Congress and administrative agencies embark on statutory interpretation. Abbe Gluck and Lisa Bressman conducted a comprehensive and detailed study of agency interpretive practices by surveying members of Congress.</w:t>
      </w:r>
      <w:r w:rsidRPr="000410F3">
        <w:rPr>
          <w:rStyle w:val="FootnoteReference"/>
          <w:rFonts w:ascii="Times New Roman" w:hAnsi="Times New Roman"/>
          <w:szCs w:val="24"/>
        </w:rPr>
        <w:footnoteReference w:id="116"/>
      </w:r>
      <w:r w:rsidRPr="000410F3">
        <w:rPr>
          <w:rFonts w:ascii="Times New Roman" w:hAnsi="Times New Roman"/>
          <w:szCs w:val="24"/>
        </w:rPr>
        <w:t xml:space="preserve"> They surveyed 137 congressional staffers with 171 questions to inquire into what members of Congress involved in drafting thought of agency practices.</w:t>
      </w:r>
      <w:r w:rsidRPr="000410F3">
        <w:rPr>
          <w:rStyle w:val="FootnoteReference"/>
          <w:rFonts w:ascii="Times New Roman" w:hAnsi="Times New Roman"/>
          <w:szCs w:val="24"/>
        </w:rPr>
        <w:footnoteReference w:id="117"/>
      </w:r>
      <w:r w:rsidRPr="000410F3">
        <w:rPr>
          <w:rFonts w:ascii="Times New Roman" w:hAnsi="Times New Roman"/>
          <w:szCs w:val="24"/>
        </w:rPr>
        <w:t xml:space="preserve"> The study was the largest major empirical study related to statutory interpretation, and the only comprehensive empirical analysis of congressional staffers with respect to what they think about such aspects of statutory interpretation such as legislative history, </w:t>
      </w:r>
      <w:r w:rsidRPr="000410F3">
        <w:rPr>
          <w:rFonts w:ascii="Times New Roman" w:hAnsi="Times New Roman"/>
          <w:i/>
          <w:szCs w:val="24"/>
        </w:rPr>
        <w:t>Chevron</w:t>
      </w:r>
      <w:r w:rsidRPr="000410F3">
        <w:rPr>
          <w:rFonts w:ascii="Times New Roman" w:hAnsi="Times New Roman"/>
          <w:szCs w:val="24"/>
        </w:rPr>
        <w:t xml:space="preserve">, </w:t>
      </w:r>
      <w:r w:rsidRPr="000410F3">
        <w:rPr>
          <w:rFonts w:ascii="Times New Roman" w:hAnsi="Times New Roman"/>
          <w:i/>
          <w:szCs w:val="24"/>
        </w:rPr>
        <w:t>Mead</w:t>
      </w:r>
      <w:r w:rsidRPr="000410F3">
        <w:rPr>
          <w:rFonts w:ascii="Times New Roman" w:hAnsi="Times New Roman"/>
          <w:szCs w:val="24"/>
        </w:rPr>
        <w:t xml:space="preserve">, </w:t>
      </w:r>
      <w:r w:rsidRPr="000410F3">
        <w:rPr>
          <w:rFonts w:ascii="Times New Roman" w:hAnsi="Times New Roman"/>
          <w:i/>
          <w:szCs w:val="24"/>
        </w:rPr>
        <w:t>Skidmore</w:t>
      </w:r>
      <w:r w:rsidRPr="000410F3">
        <w:rPr>
          <w:rFonts w:ascii="Times New Roman" w:hAnsi="Times New Roman"/>
          <w:szCs w:val="24"/>
        </w:rPr>
        <w:t xml:space="preserve"> and other issues.</w:t>
      </w:r>
      <w:r w:rsidRPr="000410F3">
        <w:rPr>
          <w:rStyle w:val="FootnoteReference"/>
          <w:rFonts w:ascii="Times New Roman" w:hAnsi="Times New Roman"/>
          <w:szCs w:val="24"/>
        </w:rPr>
        <w:footnoteReference w:id="118"/>
      </w:r>
      <w:r w:rsidRPr="000410F3">
        <w:rPr>
          <w:rFonts w:ascii="Times New Roman" w:hAnsi="Times New Roman"/>
          <w:szCs w:val="24"/>
        </w:rPr>
        <w:t xml:space="preserve"> They found that legislative drafters were unfamiliar with the names of certain doctrines, but they nevertheless incorporated the assumptions of those doctrines in how </w:t>
      </w:r>
      <w:r w:rsidRPr="000410F3">
        <w:rPr>
          <w:rFonts w:ascii="Times New Roman" w:hAnsi="Times New Roman"/>
          <w:szCs w:val="24"/>
        </w:rPr>
        <w:lastRenderedPageBreak/>
        <w:t>they drafted legislation.</w:t>
      </w:r>
      <w:r w:rsidRPr="000410F3">
        <w:rPr>
          <w:rStyle w:val="FootnoteReference"/>
          <w:rFonts w:ascii="Times New Roman" w:hAnsi="Times New Roman"/>
          <w:szCs w:val="24"/>
        </w:rPr>
        <w:footnoteReference w:id="119"/>
      </w:r>
      <w:r w:rsidRPr="000410F3">
        <w:rPr>
          <w:rFonts w:ascii="Times New Roman" w:hAnsi="Times New Roman"/>
          <w:szCs w:val="24"/>
        </w:rPr>
        <w:t xml:space="preserve"> The Gluck and Bressman survey found some canons to be out of favor; for instance, congressional respondents seemed to reject the whole code rule and </w:t>
      </w:r>
      <w:r w:rsidRPr="000410F3">
        <w:rPr>
          <w:rFonts w:ascii="Times New Roman" w:hAnsi="Times New Roman"/>
          <w:i/>
          <w:szCs w:val="24"/>
        </w:rPr>
        <w:t>in pari materia.</w:t>
      </w:r>
      <w:r w:rsidRPr="000410F3">
        <w:rPr>
          <w:rStyle w:val="FootnoteReference"/>
          <w:rFonts w:ascii="Times New Roman" w:hAnsi="Times New Roman"/>
          <w:i/>
          <w:szCs w:val="24"/>
        </w:rPr>
        <w:footnoteReference w:id="120"/>
      </w:r>
      <w:r w:rsidRPr="000410F3">
        <w:rPr>
          <w:rFonts w:ascii="Times New Roman" w:hAnsi="Times New Roman"/>
          <w:i/>
          <w:szCs w:val="24"/>
        </w:rPr>
        <w:t xml:space="preserve"> </w:t>
      </w:r>
      <w:r w:rsidRPr="000410F3">
        <w:rPr>
          <w:rFonts w:ascii="Times New Roman" w:hAnsi="Times New Roman"/>
          <w:szCs w:val="24"/>
        </w:rPr>
        <w:t>Their respondents said that legislative history was the most important interpretive tool after the text.</w:t>
      </w:r>
      <w:r w:rsidRPr="000410F3">
        <w:rPr>
          <w:rStyle w:val="FootnoteReference"/>
          <w:rFonts w:ascii="Times New Roman" w:hAnsi="Times New Roman"/>
          <w:szCs w:val="24"/>
        </w:rPr>
        <w:footnoteReference w:id="121"/>
      </w:r>
      <w:r w:rsidRPr="000410F3">
        <w:rPr>
          <w:rFonts w:ascii="Times New Roman" w:hAnsi="Times New Roman"/>
          <w:szCs w:val="24"/>
        </w:rPr>
        <w:t xml:space="preserve"> </w:t>
      </w:r>
    </w:p>
    <w:p w14:paraId="0F47084F" w14:textId="77777777" w:rsidR="0086288C" w:rsidRPr="000410F3" w:rsidRDefault="0086288C" w:rsidP="0086288C">
      <w:pPr>
        <w:ind w:firstLine="720"/>
        <w:rPr>
          <w:rFonts w:ascii="Times New Roman" w:hAnsi="Times New Roman"/>
          <w:szCs w:val="24"/>
        </w:rPr>
      </w:pPr>
      <w:r>
        <w:rPr>
          <w:rFonts w:ascii="Times New Roman" w:hAnsi="Times New Roman"/>
          <w:szCs w:val="24"/>
        </w:rPr>
        <w:t>Two recent surveys</w:t>
      </w:r>
      <w:r w:rsidRPr="000410F3">
        <w:rPr>
          <w:rFonts w:ascii="Times New Roman" w:hAnsi="Times New Roman"/>
          <w:szCs w:val="24"/>
        </w:rPr>
        <w:t xml:space="preserve"> have looked at the role that agencies play in legislative drafting. Christopher Walker, in conjunction with the Administrative Conference of the United States (“ACUS”), conducted a comprehensive survey of agency rule drafters at seven executive departments and two independent agencies to shed light on the approaches that agency rule drafters use when they interpret statutes and draft regulations.</w:t>
      </w:r>
      <w:r w:rsidRPr="000410F3">
        <w:rPr>
          <w:rStyle w:val="FootnoteReference"/>
          <w:rFonts w:ascii="Times New Roman" w:hAnsi="Times New Roman"/>
          <w:szCs w:val="24"/>
        </w:rPr>
        <w:footnoteReference w:id="122"/>
      </w:r>
      <w:r w:rsidRPr="000410F3">
        <w:rPr>
          <w:rFonts w:ascii="Times New Roman" w:hAnsi="Times New Roman"/>
          <w:szCs w:val="24"/>
        </w:rPr>
        <w:t xml:space="preserve"> He found that drafters believed the canons to be the “key indicia of interpretive fidelity” and that rule drafters were frequently very familiar with the canons, even by the Latin names.</w:t>
      </w:r>
      <w:r w:rsidRPr="000410F3">
        <w:rPr>
          <w:rStyle w:val="FootnoteReference"/>
          <w:rFonts w:ascii="Times New Roman" w:hAnsi="Times New Roman"/>
          <w:szCs w:val="24"/>
        </w:rPr>
        <w:footnoteReference w:id="123"/>
      </w:r>
      <w:r w:rsidRPr="000410F3">
        <w:rPr>
          <w:rFonts w:ascii="Times New Roman" w:hAnsi="Times New Roman"/>
          <w:szCs w:val="24"/>
        </w:rPr>
        <w:t xml:space="preserve"> His respondents noted that they frequently used some of the Latin canons (particularly </w:t>
      </w:r>
      <w:r w:rsidRPr="000410F3">
        <w:rPr>
          <w:rFonts w:ascii="Times New Roman" w:hAnsi="Times New Roman"/>
          <w:i/>
          <w:szCs w:val="24"/>
        </w:rPr>
        <w:t xml:space="preserve">noscitur a sociis </w:t>
      </w:r>
      <w:r w:rsidRPr="000410F3">
        <w:rPr>
          <w:rFonts w:ascii="Times New Roman" w:hAnsi="Times New Roman"/>
          <w:szCs w:val="24"/>
        </w:rPr>
        <w:t xml:space="preserve">(associated word canon) and </w:t>
      </w:r>
      <w:r w:rsidRPr="000410F3">
        <w:rPr>
          <w:rFonts w:ascii="Times New Roman" w:hAnsi="Times New Roman"/>
          <w:i/>
          <w:szCs w:val="24"/>
        </w:rPr>
        <w:t>ejusdem generis</w:t>
      </w:r>
      <w:r w:rsidRPr="000410F3">
        <w:rPr>
          <w:rFonts w:ascii="Times New Roman" w:hAnsi="Times New Roman"/>
          <w:szCs w:val="24"/>
        </w:rPr>
        <w:t xml:space="preserve"> (residual clause canon) and the whole act rule, but that they did not often use the whole code rule or </w:t>
      </w:r>
      <w:r w:rsidRPr="000410F3">
        <w:rPr>
          <w:rFonts w:ascii="Times New Roman" w:hAnsi="Times New Roman"/>
          <w:i/>
          <w:szCs w:val="24"/>
        </w:rPr>
        <w:t>in pari materia</w:t>
      </w:r>
      <w:r w:rsidRPr="000410F3">
        <w:rPr>
          <w:rFonts w:ascii="Times New Roman" w:hAnsi="Times New Roman"/>
          <w:szCs w:val="24"/>
        </w:rPr>
        <w:t xml:space="preserve"> (interpret similar statutory provisions alike).</w:t>
      </w:r>
      <w:r w:rsidRPr="000410F3">
        <w:rPr>
          <w:rStyle w:val="FootnoteReference"/>
          <w:rFonts w:ascii="Times New Roman" w:hAnsi="Times New Roman"/>
          <w:szCs w:val="24"/>
        </w:rPr>
        <w:footnoteReference w:id="124"/>
      </w:r>
      <w:r w:rsidRPr="000410F3">
        <w:rPr>
          <w:rFonts w:ascii="Times New Roman" w:hAnsi="Times New Roman"/>
          <w:szCs w:val="24"/>
        </w:rPr>
        <w:t xml:space="preserve"> Moreover, a little </w:t>
      </w:r>
      <w:r>
        <w:rPr>
          <w:rFonts w:ascii="Times New Roman" w:hAnsi="Times New Roman"/>
          <w:szCs w:val="24"/>
        </w:rPr>
        <w:t xml:space="preserve">more </w:t>
      </w:r>
      <w:r w:rsidRPr="000410F3">
        <w:rPr>
          <w:rFonts w:ascii="Times New Roman" w:hAnsi="Times New Roman"/>
          <w:szCs w:val="24"/>
        </w:rPr>
        <w:t xml:space="preserve">than half of the respondents reported that the assumptions behind </w:t>
      </w:r>
      <w:r w:rsidRPr="000410F3">
        <w:rPr>
          <w:rFonts w:ascii="Times New Roman" w:hAnsi="Times New Roman"/>
          <w:i/>
          <w:szCs w:val="24"/>
        </w:rPr>
        <w:t xml:space="preserve">expressio unius </w:t>
      </w:r>
      <w:r w:rsidRPr="000410F3">
        <w:rPr>
          <w:rFonts w:ascii="Times New Roman" w:hAnsi="Times New Roman"/>
          <w:szCs w:val="24"/>
        </w:rPr>
        <w:t>and the rule against superfluities were often or always true.</w:t>
      </w:r>
      <w:r w:rsidRPr="000410F3">
        <w:rPr>
          <w:rStyle w:val="FootnoteReference"/>
          <w:rFonts w:ascii="Times New Roman" w:hAnsi="Times New Roman"/>
          <w:szCs w:val="24"/>
        </w:rPr>
        <w:footnoteReference w:id="125"/>
      </w:r>
      <w:r w:rsidRPr="000410F3">
        <w:rPr>
          <w:rFonts w:ascii="Times New Roman" w:hAnsi="Times New Roman"/>
          <w:szCs w:val="24"/>
        </w:rPr>
        <w:t xml:space="preserve"> Walker reached many of the same conclusions as did Gluck and Bressman, though there were some differences.</w:t>
      </w:r>
      <w:r w:rsidRPr="000410F3">
        <w:rPr>
          <w:rStyle w:val="FootnoteReference"/>
          <w:rFonts w:ascii="Times New Roman" w:hAnsi="Times New Roman"/>
          <w:szCs w:val="24"/>
        </w:rPr>
        <w:footnoteReference w:id="126"/>
      </w:r>
      <w:r w:rsidRPr="000410F3">
        <w:rPr>
          <w:rFonts w:ascii="Times New Roman" w:hAnsi="Times New Roman"/>
          <w:szCs w:val="24"/>
        </w:rPr>
        <w:t xml:space="preserve"> For instance, similar to Gluck and Bressman, his survey also found legislative history to be an important aid to interpretation (having the sixth highest response rate), though, in contrast to congressional drafters, agency decision-makers had somewhat different views on legislative history. For instance, agency drafters were less likely to believe legislative history was used to facilitate political deals.</w:t>
      </w:r>
      <w:r w:rsidRPr="000410F3">
        <w:rPr>
          <w:rStyle w:val="FootnoteReference"/>
          <w:rFonts w:ascii="Times New Roman" w:hAnsi="Times New Roman"/>
          <w:szCs w:val="24"/>
        </w:rPr>
        <w:footnoteReference w:id="127"/>
      </w:r>
      <w:r w:rsidRPr="000410F3">
        <w:rPr>
          <w:rFonts w:ascii="Times New Roman" w:hAnsi="Times New Roman"/>
          <w:szCs w:val="24"/>
        </w:rPr>
        <w:t xml:space="preserve"> In addition, Walker provided extensive evidence demonstrating how agencies provide “technical drafting assistance” to Congress, underscoring how agencies play an “active …but opaque” role in devising the governing statutory scheme.</w:t>
      </w:r>
      <w:r w:rsidRPr="000410F3">
        <w:rPr>
          <w:rStyle w:val="FootnoteReference"/>
          <w:rFonts w:ascii="Times New Roman" w:hAnsi="Times New Roman"/>
          <w:szCs w:val="24"/>
        </w:rPr>
        <w:footnoteReference w:id="128"/>
      </w:r>
    </w:p>
    <w:p w14:paraId="4F73D380" w14:textId="7FCB14FB" w:rsidR="005D2AD9" w:rsidRDefault="0086288C" w:rsidP="00A04719">
      <w:pPr>
        <w:ind w:firstLine="720"/>
        <w:rPr>
          <w:rFonts w:ascii="Times New Roman" w:hAnsi="Times New Roman"/>
          <w:szCs w:val="24"/>
        </w:rPr>
      </w:pPr>
      <w:r w:rsidRPr="000410F3">
        <w:rPr>
          <w:rFonts w:ascii="Times New Roman" w:hAnsi="Times New Roman"/>
          <w:szCs w:val="24"/>
        </w:rPr>
        <w:t>Like Walker, Jarod Shobe debunked long-standing assumptions of legislative drafting, conclud</w:t>
      </w:r>
      <w:r>
        <w:rPr>
          <w:rFonts w:ascii="Times New Roman" w:hAnsi="Times New Roman"/>
          <w:szCs w:val="24"/>
        </w:rPr>
        <w:t xml:space="preserve">ing that agencies often play a large role </w:t>
      </w:r>
      <w:r>
        <w:rPr>
          <w:rFonts w:ascii="Times New Roman" w:hAnsi="Times New Roman"/>
          <w:i/>
          <w:szCs w:val="24"/>
        </w:rPr>
        <w:t xml:space="preserve">a priori </w:t>
      </w:r>
      <w:r>
        <w:rPr>
          <w:rFonts w:ascii="Times New Roman" w:hAnsi="Times New Roman"/>
          <w:szCs w:val="24"/>
        </w:rPr>
        <w:lastRenderedPageBreak/>
        <w:t>in legislative drafting</w:t>
      </w:r>
      <w:r w:rsidRPr="00AA4D70">
        <w:rPr>
          <w:rFonts w:ascii="Times New Roman" w:hAnsi="Times New Roman"/>
          <w:szCs w:val="24"/>
        </w:rPr>
        <w:t>.</w:t>
      </w:r>
      <w:bookmarkStart w:id="25" w:name="_Ref489474712"/>
      <w:r w:rsidRPr="00AA4D70">
        <w:rPr>
          <w:rStyle w:val="FootnoteReference"/>
          <w:rFonts w:ascii="Times New Roman" w:hAnsi="Times New Roman"/>
          <w:szCs w:val="24"/>
        </w:rPr>
        <w:footnoteReference w:id="129"/>
      </w:r>
      <w:bookmarkEnd w:id="25"/>
      <w:r w:rsidR="00EB0182">
        <w:rPr>
          <w:rFonts w:ascii="Times New Roman" w:hAnsi="Times New Roman"/>
          <w:i/>
          <w:szCs w:val="24"/>
        </w:rPr>
        <w:t xml:space="preserve"> </w:t>
      </w:r>
      <w:r w:rsidRPr="000410F3">
        <w:rPr>
          <w:rFonts w:ascii="Times New Roman" w:hAnsi="Times New Roman"/>
          <w:szCs w:val="24"/>
        </w:rPr>
        <w:t>He surveyed fifty-four agency officials who revealed that agencies partic</w:t>
      </w:r>
      <w:r>
        <w:rPr>
          <w:rFonts w:ascii="Times New Roman" w:hAnsi="Times New Roman"/>
          <w:szCs w:val="24"/>
        </w:rPr>
        <w:t>ipate in the drafting process such</w:t>
      </w:r>
      <w:r w:rsidRPr="000410F3">
        <w:rPr>
          <w:rFonts w:ascii="Times New Roman" w:hAnsi="Times New Roman"/>
          <w:szCs w:val="24"/>
        </w:rPr>
        <w:t xml:space="preserve"> that Congress and the agency agree </w:t>
      </w:r>
      <w:r w:rsidRPr="0042586F">
        <w:rPr>
          <w:rFonts w:ascii="Times New Roman" w:hAnsi="Times New Roman"/>
          <w:i/>
          <w:szCs w:val="24"/>
        </w:rPr>
        <w:t>ex ante</w:t>
      </w:r>
      <w:r w:rsidRPr="000410F3">
        <w:rPr>
          <w:rFonts w:ascii="Times New Roman" w:hAnsi="Times New Roman"/>
          <w:szCs w:val="24"/>
        </w:rPr>
        <w:t xml:space="preserve"> on statutory meaning.</w:t>
      </w:r>
      <w:r w:rsidRPr="000410F3">
        <w:rPr>
          <w:rStyle w:val="FootnoteReference"/>
          <w:rFonts w:ascii="Times New Roman" w:hAnsi="Times New Roman"/>
          <w:szCs w:val="24"/>
        </w:rPr>
        <w:footnoteReference w:id="130"/>
      </w:r>
      <w:r>
        <w:rPr>
          <w:rFonts w:ascii="Times New Roman" w:hAnsi="Times New Roman"/>
          <w:szCs w:val="24"/>
        </w:rPr>
        <w:t xml:space="preserve"> Shobe also</w:t>
      </w:r>
      <w:r w:rsidRPr="000410F3">
        <w:rPr>
          <w:rFonts w:ascii="Times New Roman" w:hAnsi="Times New Roman"/>
          <w:szCs w:val="24"/>
        </w:rPr>
        <w:t xml:space="preserve"> details how agencies work collaboratively with Congress throughout the drafting process, with agencies frequently offering extensive ch</w:t>
      </w:r>
      <w:r>
        <w:rPr>
          <w:rFonts w:ascii="Times New Roman" w:hAnsi="Times New Roman"/>
          <w:szCs w:val="24"/>
        </w:rPr>
        <w:t>anges to legislative texts.</w:t>
      </w:r>
      <w:r>
        <w:rPr>
          <w:rStyle w:val="FootnoteReference"/>
          <w:rFonts w:ascii="Times New Roman" w:hAnsi="Times New Roman"/>
          <w:szCs w:val="24"/>
        </w:rPr>
        <w:footnoteReference w:id="131"/>
      </w:r>
      <w:r w:rsidR="00EB0182">
        <w:rPr>
          <w:rFonts w:ascii="Times New Roman" w:hAnsi="Times New Roman"/>
          <w:szCs w:val="24"/>
        </w:rPr>
        <w:t xml:space="preserve"> T</w:t>
      </w:r>
      <w:r>
        <w:rPr>
          <w:rFonts w:ascii="Times New Roman" w:hAnsi="Times New Roman"/>
          <w:szCs w:val="24"/>
        </w:rPr>
        <w:t>he results of Shobe’s surve</w:t>
      </w:r>
      <w:r w:rsidR="00EB0182">
        <w:rPr>
          <w:rFonts w:ascii="Times New Roman" w:hAnsi="Times New Roman"/>
          <w:szCs w:val="24"/>
        </w:rPr>
        <w:t>y much like Walkers</w:t>
      </w:r>
      <w:r>
        <w:rPr>
          <w:rFonts w:ascii="Times New Roman" w:hAnsi="Times New Roman"/>
          <w:szCs w:val="24"/>
        </w:rPr>
        <w:t xml:space="preserve"> reveal a drafting process that is a lot more fragmented than commonly thought, with agencies being intimately in</w:t>
      </w:r>
      <w:r w:rsidR="00EB0182">
        <w:rPr>
          <w:rFonts w:ascii="Times New Roman" w:hAnsi="Times New Roman"/>
          <w:szCs w:val="24"/>
        </w:rPr>
        <w:t xml:space="preserve">volved in legislative drafting and who </w:t>
      </w:r>
      <w:r>
        <w:rPr>
          <w:rFonts w:ascii="Times New Roman" w:hAnsi="Times New Roman"/>
          <w:szCs w:val="24"/>
        </w:rPr>
        <w:t>often even providing samples of statutory text to overseeing congressional committees.</w:t>
      </w:r>
      <w:r>
        <w:rPr>
          <w:rStyle w:val="FootnoteReference"/>
          <w:rFonts w:ascii="Times New Roman" w:hAnsi="Times New Roman"/>
          <w:szCs w:val="24"/>
        </w:rPr>
        <w:footnoteReference w:id="132"/>
      </w:r>
    </w:p>
    <w:p w14:paraId="1A437B9F" w14:textId="77777777" w:rsidR="00A04719" w:rsidRPr="000410F3" w:rsidRDefault="00A04719" w:rsidP="00EB0182">
      <w:pPr>
        <w:ind w:firstLine="0"/>
        <w:rPr>
          <w:rFonts w:ascii="Times New Roman" w:hAnsi="Times New Roman"/>
          <w:szCs w:val="24"/>
        </w:rPr>
      </w:pPr>
    </w:p>
    <w:p w14:paraId="7E94609D" w14:textId="77777777" w:rsidR="0086288C" w:rsidRDefault="0086288C" w:rsidP="001A4D77">
      <w:pPr>
        <w:pStyle w:val="ListParagraph"/>
        <w:numPr>
          <w:ilvl w:val="0"/>
          <w:numId w:val="10"/>
        </w:numPr>
        <w:spacing w:after="0" w:line="240" w:lineRule="auto"/>
        <w:rPr>
          <w:rFonts w:ascii="Times New Roman" w:hAnsi="Times New Roman"/>
          <w:b/>
          <w:sz w:val="24"/>
          <w:szCs w:val="24"/>
        </w:rPr>
      </w:pPr>
      <w:r w:rsidRPr="00850B14">
        <w:rPr>
          <w:rFonts w:ascii="Times New Roman" w:hAnsi="Times New Roman"/>
          <w:b/>
          <w:sz w:val="24"/>
          <w:szCs w:val="24"/>
        </w:rPr>
        <w:t>Analysis of Statutory Interpretation at the NLRB</w:t>
      </w:r>
    </w:p>
    <w:p w14:paraId="2985A454" w14:textId="77777777" w:rsidR="005D2AD9" w:rsidRPr="00850B14" w:rsidRDefault="005D2AD9" w:rsidP="005D2AD9">
      <w:pPr>
        <w:pStyle w:val="ListParagraph"/>
        <w:spacing w:after="0" w:line="240" w:lineRule="auto"/>
        <w:ind w:left="1080"/>
        <w:rPr>
          <w:rFonts w:ascii="Times New Roman" w:hAnsi="Times New Roman"/>
          <w:b/>
          <w:sz w:val="24"/>
          <w:szCs w:val="24"/>
        </w:rPr>
      </w:pPr>
    </w:p>
    <w:p w14:paraId="1D4B52C9" w14:textId="47BF7EAF" w:rsidR="0086288C" w:rsidRPr="00EB0182" w:rsidRDefault="0086288C" w:rsidP="0086288C">
      <w:pPr>
        <w:rPr>
          <w:rFonts w:ascii="Times New Roman" w:hAnsi="Times New Roman"/>
          <w:b/>
          <w:szCs w:val="24"/>
        </w:rPr>
      </w:pPr>
      <w:r w:rsidRPr="000410F3">
        <w:rPr>
          <w:rFonts w:ascii="Times New Roman" w:hAnsi="Times New Roman"/>
          <w:szCs w:val="24"/>
        </w:rPr>
        <w:tab/>
        <w:t>How then can we apply these theories of statutory interpretation in practice? In this Part, I analyze how one specific agency</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Pr="000410F3">
        <w:rPr>
          <w:rFonts w:ascii="Times New Roman" w:hAnsi="Times New Roman"/>
          <w:szCs w:val="24"/>
        </w:rPr>
        <w:t>the NLRB</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Pr="000410F3">
        <w:rPr>
          <w:rFonts w:ascii="Times New Roman" w:hAnsi="Times New Roman"/>
          <w:szCs w:val="24"/>
        </w:rPr>
        <w:t>interprets s</w:t>
      </w:r>
      <w:r>
        <w:rPr>
          <w:rFonts w:ascii="Times New Roman" w:hAnsi="Times New Roman"/>
          <w:szCs w:val="24"/>
        </w:rPr>
        <w:t>tatutes over a 24-</w:t>
      </w:r>
      <w:r w:rsidRPr="000410F3">
        <w:rPr>
          <w:rFonts w:ascii="Times New Roman" w:hAnsi="Times New Roman"/>
          <w:szCs w:val="24"/>
        </w:rPr>
        <w:t xml:space="preserve">year period. I first provide background on the NLRB in Part II.A. Then, in Part II.B, I set forth the methodology I employed as well as how I collected the data. In Part II.C, I present summary statistics on my findings and I also offer a conceptual framework setting forth what I see as separate typologies of how the NLRB interprets statutes in its majority decisions. I turn in Part II.D to look at how dissenters on the Board “duel” with the majority in how they interpret statutes. </w:t>
      </w:r>
    </w:p>
    <w:p w14:paraId="26473046" w14:textId="77777777" w:rsidR="005D2AD9" w:rsidRPr="00EB0182" w:rsidRDefault="005D2AD9" w:rsidP="0086288C">
      <w:pPr>
        <w:rPr>
          <w:rFonts w:ascii="Times New Roman" w:hAnsi="Times New Roman"/>
          <w:b/>
          <w:szCs w:val="24"/>
        </w:rPr>
      </w:pPr>
    </w:p>
    <w:p w14:paraId="6DB3A449" w14:textId="77777777" w:rsidR="0086288C" w:rsidRDefault="0086288C" w:rsidP="001A4D77">
      <w:pPr>
        <w:pStyle w:val="ListParagraph"/>
        <w:numPr>
          <w:ilvl w:val="0"/>
          <w:numId w:val="4"/>
        </w:numPr>
        <w:spacing w:after="0" w:line="240" w:lineRule="auto"/>
        <w:rPr>
          <w:rFonts w:ascii="Times New Roman" w:hAnsi="Times New Roman"/>
          <w:b/>
          <w:sz w:val="24"/>
          <w:szCs w:val="24"/>
        </w:rPr>
      </w:pPr>
      <w:r w:rsidRPr="00850B14">
        <w:rPr>
          <w:rFonts w:ascii="Times New Roman" w:hAnsi="Times New Roman"/>
          <w:b/>
          <w:sz w:val="24"/>
          <w:szCs w:val="24"/>
        </w:rPr>
        <w:t>Background on the National Labor Relations Board</w:t>
      </w:r>
    </w:p>
    <w:p w14:paraId="1413AE9F" w14:textId="77777777" w:rsidR="005D2AD9" w:rsidRPr="00850B14" w:rsidRDefault="005D2AD9" w:rsidP="005D2AD9">
      <w:pPr>
        <w:pStyle w:val="ListParagraph"/>
        <w:spacing w:after="0" w:line="240" w:lineRule="auto"/>
        <w:rPr>
          <w:rFonts w:ascii="Times New Roman" w:hAnsi="Times New Roman"/>
          <w:b/>
          <w:sz w:val="24"/>
          <w:szCs w:val="24"/>
        </w:rPr>
      </w:pPr>
    </w:p>
    <w:p w14:paraId="1FB2785C"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In 1935, Congress enacted the National Labor Relations Act (“NLRA”), also known as the Wagner Act, to protect the rights of employee to organize and bargain collectively.</w:t>
      </w:r>
      <w:r w:rsidRPr="000410F3">
        <w:rPr>
          <w:rStyle w:val="FootnoteReference"/>
          <w:rFonts w:ascii="Times New Roman" w:hAnsi="Times New Roman"/>
          <w:szCs w:val="24"/>
        </w:rPr>
        <w:footnoteReference w:id="133"/>
      </w:r>
      <w:r w:rsidRPr="000410F3">
        <w:rPr>
          <w:rFonts w:ascii="Times New Roman" w:hAnsi="Times New Roman"/>
          <w:szCs w:val="24"/>
        </w:rPr>
        <w:t xml:space="preserve"> Congress created the Board to try 1) to reduce strikes and industrial strife which had burdened commerce and 2) to increase employee bargaining power which could have the effect of raising wages in the height of the Great Depression.</w:t>
      </w:r>
      <w:r w:rsidRPr="000410F3">
        <w:rPr>
          <w:rStyle w:val="FootnoteReference"/>
          <w:rFonts w:ascii="Times New Roman" w:hAnsi="Times New Roman"/>
          <w:szCs w:val="24"/>
        </w:rPr>
        <w:footnoteReference w:id="134"/>
      </w:r>
      <w:r w:rsidRPr="000410F3">
        <w:rPr>
          <w:rFonts w:ascii="Times New Roman" w:hAnsi="Times New Roman"/>
          <w:szCs w:val="24"/>
        </w:rPr>
        <w:t xml:space="preserve"> During the New Deal era, the NLRB was one among many new administrative agencies created to handle </w:t>
      </w:r>
      <w:r w:rsidRPr="000410F3">
        <w:rPr>
          <w:rFonts w:ascii="Times New Roman" w:hAnsi="Times New Roman"/>
          <w:szCs w:val="24"/>
        </w:rPr>
        <w:lastRenderedPageBreak/>
        <w:t>the responsibilities of a burgeoning administrative state.</w:t>
      </w:r>
      <w:r w:rsidRPr="000410F3">
        <w:rPr>
          <w:rStyle w:val="FootnoteReference"/>
          <w:rFonts w:ascii="Times New Roman" w:hAnsi="Times New Roman"/>
          <w:szCs w:val="24"/>
        </w:rPr>
        <w:footnoteReference w:id="135"/>
      </w:r>
      <w:r w:rsidRPr="000410F3">
        <w:rPr>
          <w:rFonts w:ascii="Times New Roman" w:hAnsi="Times New Roman"/>
          <w:szCs w:val="24"/>
        </w:rPr>
        <w:t xml:space="preserve"> Judicial aversion to unions had caused many to be fearful of using courts as a vehicle to combat labor abuses so Congress deliberately created an administrative agency to handle disputes as an express alternative to courts.</w:t>
      </w:r>
      <w:bookmarkStart w:id="26" w:name="_Ref460548486"/>
      <w:r w:rsidRPr="000410F3">
        <w:rPr>
          <w:rStyle w:val="FootnoteReference"/>
          <w:rFonts w:ascii="Times New Roman" w:hAnsi="Times New Roman"/>
          <w:szCs w:val="24"/>
        </w:rPr>
        <w:footnoteReference w:id="136"/>
      </w:r>
      <w:bookmarkEnd w:id="26"/>
      <w:r w:rsidRPr="000410F3">
        <w:rPr>
          <w:rFonts w:ascii="Times New Roman" w:hAnsi="Times New Roman"/>
          <w:szCs w:val="24"/>
        </w:rPr>
        <w:t xml:space="preserve"> As such, through the Wagner Act, Congress created the Board to both prosecute NLRB cases as well as to supervise union elections.</w:t>
      </w:r>
      <w:r w:rsidRPr="000410F3">
        <w:rPr>
          <w:rStyle w:val="FootnoteReference"/>
          <w:rFonts w:ascii="Times New Roman" w:hAnsi="Times New Roman"/>
          <w:szCs w:val="24"/>
        </w:rPr>
        <w:footnoteReference w:id="137"/>
      </w:r>
      <w:r w:rsidRPr="000410F3">
        <w:rPr>
          <w:rFonts w:ascii="Times New Roman" w:hAnsi="Times New Roman"/>
          <w:szCs w:val="24"/>
        </w:rPr>
        <w:t xml:space="preserve"> As reflected in its legislative history, Senator Robert Wagner, architect of the NLRA, intended the Board to be a non-partisan tribunal that would make decisions detached from the whims of changing administrations.</w:t>
      </w:r>
      <w:r w:rsidRPr="000410F3">
        <w:rPr>
          <w:rStyle w:val="FootnoteReference"/>
          <w:rFonts w:ascii="Times New Roman" w:hAnsi="Times New Roman"/>
          <w:szCs w:val="24"/>
        </w:rPr>
        <w:footnoteReference w:id="138"/>
      </w:r>
      <w:r w:rsidRPr="000410F3">
        <w:rPr>
          <w:rFonts w:ascii="Times New Roman" w:hAnsi="Times New Roman"/>
          <w:szCs w:val="24"/>
        </w:rPr>
        <w:t xml:space="preserve"> The new Board differed from its predecessor, the National Labor Board, an arbitral body composed of two members each from labor and industry, with a final seat as representative of the public interest.</w:t>
      </w:r>
      <w:bookmarkStart w:id="27" w:name="_Ref460548343"/>
      <w:r w:rsidRPr="000410F3">
        <w:rPr>
          <w:rStyle w:val="FootnoteReference"/>
          <w:rFonts w:ascii="Times New Roman" w:hAnsi="Times New Roman"/>
          <w:szCs w:val="24"/>
        </w:rPr>
        <w:footnoteReference w:id="139"/>
      </w:r>
      <w:bookmarkEnd w:id="27"/>
      <w:r w:rsidRPr="000410F3">
        <w:rPr>
          <w:rFonts w:ascii="Times New Roman" w:hAnsi="Times New Roman"/>
          <w:szCs w:val="24"/>
        </w:rPr>
        <w:t xml:space="preserve"> The new Board would have no pre-reserved seats, because there was a feeling that it would represent the public interest.</w:t>
      </w:r>
      <w:r w:rsidRPr="000410F3">
        <w:rPr>
          <w:rStyle w:val="FootnoteReference"/>
          <w:rFonts w:ascii="Times New Roman" w:hAnsi="Times New Roman"/>
          <w:szCs w:val="24"/>
        </w:rPr>
        <w:footnoteReference w:id="140"/>
      </w:r>
      <w:r w:rsidRPr="000410F3">
        <w:rPr>
          <w:rFonts w:ascii="Times New Roman" w:hAnsi="Times New Roman"/>
          <w:szCs w:val="24"/>
        </w:rPr>
        <w:t xml:space="preserve"> Appointments in the first half-century reflected this spirit with many appointees rising from academia or government.</w:t>
      </w:r>
      <w:r w:rsidRPr="000410F3">
        <w:rPr>
          <w:rStyle w:val="FootnoteReference"/>
          <w:rFonts w:ascii="Times New Roman" w:hAnsi="Times New Roman"/>
          <w:szCs w:val="24"/>
        </w:rPr>
        <w:footnoteReference w:id="141"/>
      </w:r>
      <w:r w:rsidRPr="000410F3">
        <w:rPr>
          <w:rFonts w:ascii="Times New Roman" w:hAnsi="Times New Roman"/>
          <w:szCs w:val="24"/>
        </w:rPr>
        <w:t xml:space="preserve"> Also, despite efforts by the Department of Labor to include the Board within its ambit, Congress created the Board as an independent agency so as to give it some distance from the political branches.</w:t>
      </w:r>
      <w:r w:rsidRPr="000410F3">
        <w:rPr>
          <w:rStyle w:val="FootnoteReference"/>
          <w:rFonts w:ascii="Times New Roman" w:hAnsi="Times New Roman"/>
          <w:szCs w:val="24"/>
        </w:rPr>
        <w:footnoteReference w:id="142"/>
      </w:r>
      <w:r w:rsidRPr="000410F3">
        <w:rPr>
          <w:rFonts w:ascii="Times New Roman" w:hAnsi="Times New Roman"/>
          <w:szCs w:val="24"/>
        </w:rPr>
        <w:t xml:space="preserve"> Creators of the Board wanted a body that would be flexible enough to respond to changing circumstances while at the same time be responsive to political overseers.</w:t>
      </w:r>
      <w:bookmarkStart w:id="28" w:name="_Ref460548375"/>
      <w:r w:rsidRPr="000410F3">
        <w:rPr>
          <w:rStyle w:val="FootnoteReference"/>
          <w:rFonts w:ascii="Times New Roman" w:hAnsi="Times New Roman"/>
          <w:szCs w:val="24"/>
        </w:rPr>
        <w:footnoteReference w:id="143"/>
      </w:r>
      <w:bookmarkEnd w:id="28"/>
      <w:r w:rsidRPr="000410F3">
        <w:rPr>
          <w:rFonts w:ascii="Times New Roman" w:hAnsi="Times New Roman"/>
          <w:szCs w:val="24"/>
        </w:rPr>
        <w:t xml:space="preserve"> The legislative history indicates that </w:t>
      </w:r>
      <w:r w:rsidRPr="000410F3">
        <w:rPr>
          <w:rFonts w:ascii="Times New Roman" w:hAnsi="Times New Roman"/>
          <w:szCs w:val="24"/>
        </w:rPr>
        <w:lastRenderedPageBreak/>
        <w:t>Congress deliberately meant for Board member terms to be short and for there often to be turnover so as to ensure that responsiveness.</w:t>
      </w:r>
      <w:r w:rsidRPr="000410F3">
        <w:rPr>
          <w:rStyle w:val="FootnoteReference"/>
          <w:rFonts w:ascii="Times New Roman" w:hAnsi="Times New Roman"/>
          <w:szCs w:val="24"/>
        </w:rPr>
        <w:footnoteReference w:id="144"/>
      </w:r>
    </w:p>
    <w:p w14:paraId="1CC0345F" w14:textId="53F5ECB1"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After widespread labor strife and claims by opponents that the NLRB acted too much in a pro-labor fashion, Congress amended the Wagner Act in 1947 through the Taft-Hartley amendments to apply certain provisions to </w:t>
      </w:r>
      <w:r w:rsidR="00EB0182">
        <w:rPr>
          <w:rFonts w:ascii="Times New Roman" w:hAnsi="Times New Roman"/>
          <w:szCs w:val="24"/>
        </w:rPr>
        <w:t xml:space="preserve">combat </w:t>
      </w:r>
      <w:r w:rsidRPr="000410F3">
        <w:rPr>
          <w:rFonts w:ascii="Times New Roman" w:hAnsi="Times New Roman"/>
          <w:szCs w:val="24"/>
        </w:rPr>
        <w:t>union abuses, among other changes.</w:t>
      </w:r>
      <w:r w:rsidRPr="000410F3">
        <w:rPr>
          <w:rStyle w:val="FootnoteReference"/>
          <w:rFonts w:ascii="Times New Roman" w:hAnsi="Times New Roman"/>
          <w:szCs w:val="24"/>
        </w:rPr>
        <w:footnoteReference w:id="145"/>
      </w:r>
      <w:r w:rsidRPr="000410F3">
        <w:rPr>
          <w:rFonts w:ascii="Times New Roman" w:hAnsi="Times New Roman"/>
          <w:szCs w:val="24"/>
        </w:rPr>
        <w:t xml:space="preserve"> The NRLA has somewhat of an inconsistent mandat</w:t>
      </w:r>
      <w:r w:rsidR="00EB0182">
        <w:rPr>
          <w:rFonts w:ascii="Times New Roman" w:hAnsi="Times New Roman"/>
          <w:szCs w:val="24"/>
        </w:rPr>
        <w:t>e in that it represents</w:t>
      </w:r>
      <w:r w:rsidRPr="000410F3">
        <w:rPr>
          <w:rFonts w:ascii="Times New Roman" w:hAnsi="Times New Roman"/>
          <w:szCs w:val="24"/>
        </w:rPr>
        <w:t xml:space="preserve"> an “odd marriage” between the Wagner Act and the Taft-Hartley Act.</w:t>
      </w:r>
      <w:r w:rsidRPr="000410F3">
        <w:rPr>
          <w:rStyle w:val="FootnoteReference"/>
          <w:rFonts w:ascii="Times New Roman" w:hAnsi="Times New Roman"/>
          <w:szCs w:val="24"/>
        </w:rPr>
        <w:footnoteReference w:id="146"/>
      </w:r>
      <w:r w:rsidRPr="000410F3">
        <w:rPr>
          <w:rFonts w:ascii="Times New Roman" w:hAnsi="Times New Roman"/>
          <w:szCs w:val="24"/>
        </w:rPr>
        <w:t xml:space="preserve"> The Act itself is a reflection of different standards and operates somewhat at cross-purposes. As Catherine Fisk and Deborah Malamud question, “How radically pro-union was the Wagner Act, and how radically anti-union was Taft-Hartley”?</w:t>
      </w:r>
      <w:r w:rsidRPr="000410F3">
        <w:rPr>
          <w:rStyle w:val="FootnoteReference"/>
          <w:rFonts w:ascii="Times New Roman" w:hAnsi="Times New Roman"/>
          <w:szCs w:val="24"/>
        </w:rPr>
        <w:footnoteReference w:id="147"/>
      </w:r>
      <w:r w:rsidRPr="000410F3">
        <w:rPr>
          <w:rFonts w:ascii="Times New Roman" w:hAnsi="Times New Roman"/>
          <w:szCs w:val="24"/>
        </w:rPr>
        <w:t xml:space="preserve"> Some labor scholars contend that the Wagner Act was a “transformative, pro-union, pro-collective bargaining ‘super statute’ with Taft Hartley being merely an amendment to reduce the power of unions and NLRB abuses of power, but which did not alter fundamentally the liberal basis of the Wagner Act.</w:t>
      </w:r>
      <w:r w:rsidRPr="000410F3">
        <w:rPr>
          <w:rStyle w:val="FootnoteReference"/>
          <w:rFonts w:ascii="Times New Roman" w:hAnsi="Times New Roman"/>
          <w:szCs w:val="24"/>
        </w:rPr>
        <w:footnoteReference w:id="148"/>
      </w:r>
      <w:r w:rsidRPr="000410F3">
        <w:rPr>
          <w:rFonts w:ascii="Times New Roman" w:hAnsi="Times New Roman"/>
          <w:szCs w:val="24"/>
        </w:rPr>
        <w:t xml:space="preserve"> Other scholars see Taft-Hartley as altering the pro-union bent of the Wagner Act by imposing significant changes on the </w:t>
      </w:r>
      <w:r>
        <w:rPr>
          <w:rFonts w:ascii="Times New Roman" w:hAnsi="Times New Roman"/>
          <w:szCs w:val="24"/>
        </w:rPr>
        <w:t xml:space="preserve"> </w:t>
      </w:r>
      <w:r w:rsidRPr="000410F3">
        <w:rPr>
          <w:rFonts w:ascii="Times New Roman" w:hAnsi="Times New Roman"/>
          <w:szCs w:val="24"/>
        </w:rPr>
        <w:t>power of the Board.</w:t>
      </w:r>
      <w:bookmarkStart w:id="29" w:name="_Ref489473665"/>
      <w:r w:rsidRPr="000410F3">
        <w:rPr>
          <w:rStyle w:val="FootnoteReference"/>
          <w:rFonts w:ascii="Times New Roman" w:hAnsi="Times New Roman"/>
          <w:szCs w:val="24"/>
        </w:rPr>
        <w:footnoteReference w:id="149"/>
      </w:r>
      <w:bookmarkEnd w:id="29"/>
    </w:p>
    <w:p w14:paraId="14A5D6EA" w14:textId="5FAD65DA" w:rsidR="0086288C" w:rsidRPr="000410F3" w:rsidRDefault="0086288C" w:rsidP="0086288C">
      <w:pPr>
        <w:ind w:firstLine="720"/>
        <w:rPr>
          <w:rFonts w:ascii="Times New Roman" w:hAnsi="Times New Roman"/>
          <w:szCs w:val="24"/>
        </w:rPr>
      </w:pPr>
      <w:r w:rsidRPr="000410F3">
        <w:rPr>
          <w:rFonts w:ascii="Times New Roman" w:hAnsi="Times New Roman"/>
          <w:szCs w:val="24"/>
        </w:rPr>
        <w:t>In addition to providing for unfair labor charges to be brought against unions as well as employers, the Taft-Hartley Act expanded the size of the Board and created an Office of General Counsel so as to separate out adjudicative from prosecutorial functions</w:t>
      </w:r>
      <w:r w:rsidR="00EB0182">
        <w:rPr>
          <w:rFonts w:ascii="Times New Roman" w:hAnsi="Times New Roman"/>
          <w:szCs w:val="24"/>
        </w:rPr>
        <w:t xml:space="preserve"> </w:t>
      </w:r>
      <w:r w:rsidRPr="000410F3">
        <w:rPr>
          <w:rFonts w:ascii="Times New Roman" w:hAnsi="Times New Roman"/>
          <w:szCs w:val="24"/>
        </w:rPr>
        <w:t>—</w:t>
      </w:r>
      <w:r w:rsidR="00EB0182">
        <w:rPr>
          <w:rFonts w:ascii="Times New Roman" w:hAnsi="Times New Roman"/>
          <w:szCs w:val="24"/>
        </w:rPr>
        <w:t xml:space="preserve"> </w:t>
      </w:r>
      <w:r w:rsidRPr="000410F3">
        <w:rPr>
          <w:rFonts w:ascii="Times New Roman" w:hAnsi="Times New Roman"/>
          <w:szCs w:val="24"/>
        </w:rPr>
        <w:t>a unique feature of the NLRB among federal agencies.</w:t>
      </w:r>
      <w:r w:rsidRPr="000410F3">
        <w:rPr>
          <w:rStyle w:val="FootnoteReference"/>
          <w:rFonts w:ascii="Times New Roman" w:hAnsi="Times New Roman"/>
          <w:szCs w:val="24"/>
        </w:rPr>
        <w:footnoteReference w:id="150"/>
      </w:r>
      <w:r w:rsidRPr="000410F3">
        <w:rPr>
          <w:rFonts w:ascii="Times New Roman" w:hAnsi="Times New Roman"/>
          <w:szCs w:val="24"/>
        </w:rPr>
        <w:t xml:space="preserve"> The President appoints members for staggered </w:t>
      </w:r>
      <w:r w:rsidRPr="000410F3">
        <w:rPr>
          <w:rFonts w:ascii="Times New Roman" w:hAnsi="Times New Roman"/>
          <w:szCs w:val="24"/>
        </w:rPr>
        <w:lastRenderedPageBreak/>
        <w:t>five year terms with the advice and consent of the Senate.</w:t>
      </w:r>
      <w:r w:rsidRPr="000410F3">
        <w:rPr>
          <w:rStyle w:val="FootnoteReference"/>
          <w:rFonts w:ascii="Times New Roman" w:hAnsi="Times New Roman"/>
          <w:szCs w:val="24"/>
        </w:rPr>
        <w:footnoteReference w:id="151"/>
      </w:r>
      <w:r w:rsidRPr="000410F3">
        <w:rPr>
          <w:rFonts w:ascii="Times New Roman" w:hAnsi="Times New Roman"/>
          <w:szCs w:val="24"/>
        </w:rPr>
        <w:t xml:space="preserve"> Although early Board members largely hailed from academia or the government, more recent appointees come from a clear labor or management background.</w:t>
      </w:r>
      <w:r w:rsidRPr="000410F3">
        <w:rPr>
          <w:rStyle w:val="FootnoteReference"/>
          <w:rFonts w:ascii="Times New Roman" w:hAnsi="Times New Roman"/>
          <w:szCs w:val="24"/>
        </w:rPr>
        <w:footnoteReference w:id="152"/>
      </w:r>
      <w:r w:rsidRPr="000410F3">
        <w:rPr>
          <w:rFonts w:ascii="Times New Roman" w:hAnsi="Times New Roman"/>
          <w:szCs w:val="24"/>
        </w:rPr>
        <w:t xml:space="preserve"> </w:t>
      </w:r>
    </w:p>
    <w:p w14:paraId="39327D8A"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Unlike many other agencies, the NLRB has chosen to proceed primarily through adjudication in its policymaking, on</w:t>
      </w:r>
      <w:r>
        <w:rPr>
          <w:rFonts w:ascii="Times New Roman" w:hAnsi="Times New Roman"/>
          <w:szCs w:val="24"/>
        </w:rPr>
        <w:t>ly engaging in rulemaking in a few</w:t>
      </w:r>
      <w:r w:rsidRPr="000410F3">
        <w:rPr>
          <w:rFonts w:ascii="Times New Roman" w:hAnsi="Times New Roman"/>
          <w:szCs w:val="24"/>
        </w:rPr>
        <w:t xml:space="preserve"> instance</w:t>
      </w:r>
      <w:r>
        <w:rPr>
          <w:rFonts w:ascii="Times New Roman" w:hAnsi="Times New Roman"/>
          <w:szCs w:val="24"/>
        </w:rPr>
        <w:t>s</w:t>
      </w:r>
      <w:r w:rsidRPr="000410F3">
        <w:rPr>
          <w:rFonts w:ascii="Times New Roman" w:hAnsi="Times New Roman"/>
          <w:szCs w:val="24"/>
        </w:rPr>
        <w:t xml:space="preserve"> in its 75-year history.</w:t>
      </w:r>
      <w:bookmarkStart w:id="30" w:name="_Ref489473530"/>
      <w:r w:rsidRPr="000410F3">
        <w:rPr>
          <w:rStyle w:val="FootnoteReference"/>
          <w:rFonts w:ascii="Times New Roman" w:hAnsi="Times New Roman"/>
          <w:szCs w:val="24"/>
        </w:rPr>
        <w:footnoteReference w:id="153"/>
      </w:r>
      <w:bookmarkEnd w:id="30"/>
      <w:r w:rsidRPr="000410F3">
        <w:rPr>
          <w:rFonts w:ascii="Times New Roman" w:hAnsi="Times New Roman"/>
          <w:szCs w:val="24"/>
        </w:rPr>
        <w:t xml:space="preserve"> The General Counsel brings cases on a region-based system, where they are heard by an Administrative Law Judge (“ALJ”).</w:t>
      </w:r>
      <w:bookmarkStart w:id="31" w:name="_Ref460548599"/>
      <w:r w:rsidRPr="000410F3">
        <w:rPr>
          <w:rStyle w:val="FootnoteReference"/>
          <w:rFonts w:ascii="Times New Roman" w:hAnsi="Times New Roman"/>
          <w:szCs w:val="24"/>
        </w:rPr>
        <w:footnoteReference w:id="154"/>
      </w:r>
      <w:bookmarkEnd w:id="31"/>
      <w:r w:rsidRPr="000410F3">
        <w:rPr>
          <w:rFonts w:ascii="Times New Roman" w:hAnsi="Times New Roman"/>
          <w:szCs w:val="24"/>
        </w:rPr>
        <w:t xml:space="preserve"> The Board, sitting in three-member panels randomly assigned, hears appeals to the ALJ decision if any party files what is known as “exceptions” to the ALJ opinion.</w:t>
      </w:r>
      <w:bookmarkStart w:id="32" w:name="_Ref460684884"/>
      <w:r w:rsidRPr="000410F3">
        <w:rPr>
          <w:rStyle w:val="FootnoteReference"/>
          <w:rFonts w:ascii="Times New Roman" w:hAnsi="Times New Roman"/>
          <w:szCs w:val="24"/>
        </w:rPr>
        <w:footnoteReference w:id="155"/>
      </w:r>
      <w:bookmarkEnd w:id="32"/>
      <w:r w:rsidRPr="000410F3">
        <w:rPr>
          <w:rFonts w:ascii="Times New Roman" w:hAnsi="Times New Roman"/>
          <w:szCs w:val="24"/>
        </w:rPr>
        <w:t xml:space="preserve"> Board decisions are free from the constraints of </w:t>
      </w:r>
      <w:r w:rsidRPr="000410F3">
        <w:rPr>
          <w:rFonts w:ascii="Times New Roman" w:hAnsi="Times New Roman"/>
          <w:i/>
          <w:szCs w:val="24"/>
        </w:rPr>
        <w:t>stare decisis</w:t>
      </w:r>
      <w:r w:rsidRPr="000410F3">
        <w:rPr>
          <w:rFonts w:ascii="Times New Roman" w:hAnsi="Times New Roman"/>
          <w:szCs w:val="24"/>
        </w:rPr>
        <w:t>, although the full Board of five-members can meet and decide cases to have precedential value before the Board itself.</w:t>
      </w:r>
      <w:r w:rsidRPr="000410F3">
        <w:rPr>
          <w:rStyle w:val="FootnoteReference"/>
          <w:rFonts w:ascii="Times New Roman" w:hAnsi="Times New Roman"/>
          <w:szCs w:val="24"/>
        </w:rPr>
        <w:footnoteReference w:id="156"/>
      </w:r>
      <w:r w:rsidRPr="000410F3">
        <w:rPr>
          <w:rFonts w:ascii="Times New Roman" w:hAnsi="Times New Roman"/>
          <w:szCs w:val="24"/>
        </w:rPr>
        <w:t xml:space="preserve"> A party losing before the Board can seek relief in the federal appellate courts, although the Board largely subscribes to the doctrine of nonacquiescence whereby it rejects relying on the federal courts of appeals as binding precedent so as to ensure uniform application of law throughout the country.</w:t>
      </w:r>
      <w:bookmarkStart w:id="33" w:name="_Ref489473884"/>
      <w:r w:rsidRPr="000410F3">
        <w:rPr>
          <w:rStyle w:val="FootnoteReference"/>
          <w:rFonts w:ascii="Times New Roman" w:hAnsi="Times New Roman"/>
          <w:szCs w:val="24"/>
        </w:rPr>
        <w:footnoteReference w:id="157"/>
      </w:r>
      <w:bookmarkEnd w:id="33"/>
      <w:r w:rsidRPr="000410F3">
        <w:rPr>
          <w:rFonts w:ascii="Times New Roman" w:hAnsi="Times New Roman"/>
          <w:szCs w:val="24"/>
        </w:rPr>
        <w:t xml:space="preserve"> The Board’s orders are not self-enforcing; unless the parties </w:t>
      </w:r>
      <w:r w:rsidRPr="000410F3">
        <w:rPr>
          <w:rFonts w:ascii="Times New Roman" w:hAnsi="Times New Roman"/>
          <w:szCs w:val="24"/>
        </w:rPr>
        <w:lastRenderedPageBreak/>
        <w:t>voluntarily agree to abide by the Board’s orders, the General Counsel must go to federal court to seek enforcement.</w:t>
      </w:r>
      <w:r w:rsidRPr="000410F3">
        <w:rPr>
          <w:rStyle w:val="FootnoteReference"/>
          <w:rFonts w:ascii="Times New Roman" w:hAnsi="Times New Roman"/>
          <w:szCs w:val="24"/>
        </w:rPr>
        <w:footnoteReference w:id="158"/>
      </w:r>
      <w:r w:rsidRPr="000410F3">
        <w:rPr>
          <w:rFonts w:ascii="Times New Roman" w:hAnsi="Times New Roman"/>
          <w:szCs w:val="24"/>
        </w:rPr>
        <w:t xml:space="preserve"> Only 1% of cases are appealed.</w:t>
      </w:r>
      <w:r w:rsidRPr="000410F3">
        <w:rPr>
          <w:rStyle w:val="FootnoteReference"/>
          <w:rFonts w:ascii="Times New Roman" w:hAnsi="Times New Roman"/>
          <w:szCs w:val="24"/>
        </w:rPr>
        <w:footnoteReference w:id="159"/>
      </w:r>
      <w:r w:rsidRPr="000410F3">
        <w:rPr>
          <w:rFonts w:ascii="Times New Roman" w:hAnsi="Times New Roman"/>
          <w:szCs w:val="24"/>
        </w:rPr>
        <w:t xml:space="preserve"> </w:t>
      </w:r>
    </w:p>
    <w:p w14:paraId="6106E941"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Unlike most other agencies who are charged to enforce many federal programs, the NLRB largely has essentially one statute to interpret — the NLRA. “[L]ongstanding political impasse[s] at the national level has blocked” substantial revisions to the Act, resulting in the NLRA not being amended in any major way since 1959.</w:t>
      </w:r>
      <w:r w:rsidRPr="000410F3">
        <w:rPr>
          <w:rStyle w:val="FootnoteReference"/>
          <w:rFonts w:ascii="Times New Roman" w:hAnsi="Times New Roman"/>
          <w:szCs w:val="24"/>
        </w:rPr>
        <w:footnoteReference w:id="160"/>
      </w:r>
      <w:r w:rsidRPr="000410F3">
        <w:rPr>
          <w:rFonts w:ascii="Times New Roman" w:hAnsi="Times New Roman"/>
          <w:szCs w:val="24"/>
        </w:rPr>
        <w:t xml:space="preserve"> As such, the NLRB does not have to engage in much new statutory interpretation because it basically reviews the same statute. The NLRB hears two main types of cases: unfair labor practice disputes alleging either employers or unions</w:t>
      </w:r>
      <w:r w:rsidRPr="000410F3">
        <w:rPr>
          <w:rStyle w:val="FootnoteReference"/>
          <w:rFonts w:ascii="Times New Roman" w:hAnsi="Times New Roman"/>
          <w:szCs w:val="24"/>
        </w:rPr>
        <w:footnoteReference w:id="161"/>
      </w:r>
      <w:r w:rsidRPr="000410F3">
        <w:rPr>
          <w:rFonts w:ascii="Times New Roman" w:hAnsi="Times New Roman"/>
          <w:szCs w:val="24"/>
        </w:rPr>
        <w:t xml:space="preserve"> and election representation cases or bargaining unit determinations.</w:t>
      </w:r>
      <w:r w:rsidRPr="000410F3">
        <w:rPr>
          <w:rStyle w:val="FootnoteReference"/>
          <w:rFonts w:ascii="Times New Roman" w:hAnsi="Times New Roman"/>
          <w:szCs w:val="24"/>
        </w:rPr>
        <w:footnoteReference w:id="162"/>
      </w:r>
      <w:r w:rsidRPr="000410F3">
        <w:rPr>
          <w:rFonts w:ascii="Times New Roman" w:hAnsi="Times New Roman"/>
          <w:szCs w:val="24"/>
        </w:rPr>
        <w:t xml:space="preserve"> The first type, unfair labor practice disputes, are claims brought by aggrieved parties that some entity (usually an employer) violated the unfair labor practice provisions of the NLRA, by, for instance, unlawfully discharging someone because they engaged in union activity, or altering the terms and conditions of the union contract in a unilateral matter or refusing to bargain with the union in “good faith.” Unfair labor disputes are not limited to actions just against employers (so-called “CA” cases), although disputes against employers represent the vast majority of cases heard by the Board. A party can also bring a claim against a union for unfair labor practices (“CB,” “CC,” “CD” or “CE” case). Moreover, in addition to unfair labor practice disputes, the Board hears cases arising out of disputes relating to union elections and representation petitions, such as cases about certifying the appropriate bargaining unit.</w:t>
      </w:r>
    </w:p>
    <w:p w14:paraId="612F3F73" w14:textId="48AE9EE0" w:rsidR="0086288C" w:rsidRDefault="0086288C" w:rsidP="0086288C">
      <w:pPr>
        <w:ind w:firstLine="720"/>
        <w:rPr>
          <w:rFonts w:ascii="Times New Roman" w:hAnsi="Times New Roman"/>
          <w:szCs w:val="24"/>
        </w:rPr>
      </w:pPr>
      <w:r w:rsidRPr="000410F3">
        <w:rPr>
          <w:rFonts w:ascii="Times New Roman" w:hAnsi="Times New Roman"/>
          <w:szCs w:val="24"/>
        </w:rPr>
        <w:t>Voting on the Board in general is highly ideological, with Republican members voting in favor of management and Democratic members being more likely to vote in favor of labor.</w:t>
      </w:r>
      <w:bookmarkStart w:id="34" w:name="_Ref460548624"/>
      <w:r w:rsidRPr="000410F3">
        <w:rPr>
          <w:rStyle w:val="FootnoteReference"/>
          <w:rFonts w:ascii="Times New Roman" w:hAnsi="Times New Roman"/>
          <w:szCs w:val="24"/>
        </w:rPr>
        <w:footnoteReference w:id="163"/>
      </w:r>
      <w:bookmarkEnd w:id="34"/>
      <w:r w:rsidRPr="000410F3">
        <w:rPr>
          <w:rFonts w:ascii="Times New Roman" w:hAnsi="Times New Roman"/>
          <w:szCs w:val="24"/>
        </w:rPr>
        <w:t xml:space="preserve"> In some cases, the Board simply </w:t>
      </w:r>
      <w:r w:rsidRPr="000410F3">
        <w:rPr>
          <w:rFonts w:ascii="Times New Roman" w:hAnsi="Times New Roman"/>
          <w:szCs w:val="24"/>
        </w:rPr>
        <w:lastRenderedPageBreak/>
        <w:t>reverses many of the decisions of the prior administration when a new partisan majority takes hold at the Board.</w:t>
      </w:r>
      <w:r w:rsidRPr="000410F3">
        <w:rPr>
          <w:rStyle w:val="FootnoteReference"/>
          <w:rFonts w:ascii="Times New Roman" w:hAnsi="Times New Roman"/>
          <w:szCs w:val="24"/>
        </w:rPr>
        <w:footnoteReference w:id="164"/>
      </w:r>
      <w:r w:rsidRPr="000410F3">
        <w:rPr>
          <w:rFonts w:ascii="Times New Roman" w:hAnsi="Times New Roman"/>
          <w:szCs w:val="24"/>
        </w:rPr>
        <w:t xml:space="preserve"> Critics of the Board commonly cite these frequent flip-flops as cause for concern as  undermining the stability of labor law.</w:t>
      </w:r>
      <w:r w:rsidRPr="000410F3">
        <w:rPr>
          <w:rStyle w:val="FootnoteReference"/>
          <w:rFonts w:ascii="Times New Roman" w:hAnsi="Times New Roman"/>
          <w:szCs w:val="24"/>
        </w:rPr>
        <w:footnoteReference w:id="165"/>
      </w:r>
      <w:r w:rsidRPr="000410F3">
        <w:rPr>
          <w:rFonts w:ascii="Times New Roman" w:hAnsi="Times New Roman"/>
          <w:szCs w:val="24"/>
        </w:rPr>
        <w:t xml:space="preserve"> The ideological nature of appointments to the Board since the Reagan years has increased the instability.</w:t>
      </w:r>
      <w:r w:rsidRPr="000410F3">
        <w:rPr>
          <w:rStyle w:val="FootnoteReference"/>
          <w:rFonts w:ascii="Times New Roman" w:hAnsi="Times New Roman"/>
          <w:szCs w:val="24"/>
        </w:rPr>
        <w:footnoteReference w:id="166"/>
      </w:r>
      <w:r w:rsidRPr="000410F3">
        <w:rPr>
          <w:rFonts w:ascii="Times New Roman" w:hAnsi="Times New Roman"/>
          <w:szCs w:val="24"/>
        </w:rPr>
        <w:t xml:space="preserve"> Former Board member William Gould has argued that this sea change in the nomination process and the “batching” of nominees “frequently means the lowest common denominator,” with appointments being concentrated among Washington insiders.</w:t>
      </w:r>
      <w:r w:rsidRPr="000410F3">
        <w:rPr>
          <w:rStyle w:val="FootnoteReference"/>
          <w:rFonts w:ascii="Times New Roman" w:hAnsi="Times New Roman"/>
          <w:szCs w:val="24"/>
        </w:rPr>
        <w:footnoteReference w:id="167"/>
      </w:r>
      <w:r w:rsidRPr="000410F3">
        <w:rPr>
          <w:rFonts w:ascii="Times New Roman" w:hAnsi="Times New Roman"/>
          <w:szCs w:val="24"/>
        </w:rPr>
        <w:t xml:space="preserve"> Today, there is an informal tradition of appointing both Democrats and Republicans to the Board so as to always ensure that the President’s party have a 3 to 2 majority of the seats as well as being the chair.</w:t>
      </w:r>
      <w:r w:rsidRPr="000410F3">
        <w:rPr>
          <w:rStyle w:val="FootnoteReference"/>
          <w:rFonts w:ascii="Times New Roman" w:hAnsi="Times New Roman"/>
          <w:szCs w:val="24"/>
        </w:rPr>
        <w:footnoteReference w:id="168"/>
      </w:r>
      <w:r w:rsidRPr="000410F3">
        <w:rPr>
          <w:rFonts w:ascii="Times New Roman" w:hAnsi="Times New Roman"/>
          <w:szCs w:val="24"/>
        </w:rPr>
        <w:t xml:space="preserve"> At the turn of the twenty-first century, the Board consisted of two ex-management lawyers, two former union lawyers, a former law professor and a career Board employee</w:t>
      </w:r>
      <w:r>
        <w:rPr>
          <w:rFonts w:ascii="Times New Roman" w:hAnsi="Times New Roman"/>
          <w:szCs w:val="24"/>
        </w:rPr>
        <w:t xml:space="preserve"> </w:t>
      </w:r>
      <w:r w:rsidRPr="000410F3">
        <w:rPr>
          <w:rFonts w:ascii="Times New Roman" w:hAnsi="Times New Roman"/>
          <w:szCs w:val="24"/>
        </w:rPr>
        <w:t>— exactly the type of Board Congress expressly rejected when designing the NLRB.</w:t>
      </w:r>
      <w:r w:rsidRPr="000410F3">
        <w:rPr>
          <w:rStyle w:val="FootnoteReference"/>
          <w:rFonts w:ascii="Times New Roman" w:hAnsi="Times New Roman"/>
          <w:szCs w:val="24"/>
        </w:rPr>
        <w:footnoteReference w:id="169"/>
      </w:r>
    </w:p>
    <w:p w14:paraId="6E11C55F" w14:textId="77777777" w:rsidR="005D2AD9" w:rsidRDefault="005D2AD9" w:rsidP="005D2AD9">
      <w:pPr>
        <w:rPr>
          <w:rFonts w:ascii="Times New Roman" w:hAnsi="Times New Roman"/>
          <w:szCs w:val="24"/>
        </w:rPr>
      </w:pPr>
    </w:p>
    <w:p w14:paraId="37521944" w14:textId="77777777" w:rsidR="00CD3F94" w:rsidRDefault="00CD3F94" w:rsidP="005D2AD9">
      <w:pPr>
        <w:rPr>
          <w:rFonts w:ascii="Times New Roman" w:hAnsi="Times New Roman"/>
          <w:szCs w:val="24"/>
        </w:rPr>
      </w:pPr>
    </w:p>
    <w:p w14:paraId="63A00DDB" w14:textId="77777777" w:rsidR="00CD3F94" w:rsidRPr="000410F3" w:rsidRDefault="00CD3F94" w:rsidP="005D2AD9">
      <w:pPr>
        <w:rPr>
          <w:rFonts w:ascii="Times New Roman" w:hAnsi="Times New Roman"/>
          <w:szCs w:val="24"/>
        </w:rPr>
      </w:pPr>
    </w:p>
    <w:p w14:paraId="6CA1FAA3" w14:textId="4C40DE33" w:rsidR="0086288C" w:rsidRDefault="0086288C" w:rsidP="001A4D77">
      <w:pPr>
        <w:pStyle w:val="ListParagraph"/>
        <w:numPr>
          <w:ilvl w:val="0"/>
          <w:numId w:val="4"/>
        </w:numPr>
        <w:spacing w:after="0" w:line="240" w:lineRule="auto"/>
        <w:rPr>
          <w:rFonts w:ascii="Times New Roman" w:hAnsi="Times New Roman"/>
          <w:b/>
          <w:sz w:val="24"/>
          <w:szCs w:val="24"/>
        </w:rPr>
      </w:pPr>
      <w:r w:rsidRPr="00850B14">
        <w:rPr>
          <w:rFonts w:ascii="Times New Roman" w:hAnsi="Times New Roman"/>
          <w:b/>
          <w:sz w:val="24"/>
          <w:szCs w:val="24"/>
        </w:rPr>
        <w:lastRenderedPageBreak/>
        <w:t xml:space="preserve">Methodology of Analyzing </w:t>
      </w:r>
      <w:r w:rsidR="00A04719">
        <w:rPr>
          <w:rFonts w:ascii="Times New Roman" w:hAnsi="Times New Roman"/>
          <w:b/>
          <w:sz w:val="24"/>
          <w:szCs w:val="24"/>
        </w:rPr>
        <w:t xml:space="preserve">NLRB </w:t>
      </w:r>
      <w:r w:rsidRPr="00850B14">
        <w:rPr>
          <w:rFonts w:ascii="Times New Roman" w:hAnsi="Times New Roman"/>
          <w:b/>
          <w:sz w:val="24"/>
          <w:szCs w:val="24"/>
        </w:rPr>
        <w:t>Statutory Interpretation</w:t>
      </w:r>
    </w:p>
    <w:p w14:paraId="3ACDD116" w14:textId="77777777" w:rsidR="005D2AD9" w:rsidRPr="00850B14" w:rsidRDefault="005D2AD9" w:rsidP="005D2AD9">
      <w:pPr>
        <w:pStyle w:val="ListParagraph"/>
        <w:spacing w:after="0" w:line="240" w:lineRule="auto"/>
        <w:rPr>
          <w:rFonts w:ascii="Times New Roman" w:hAnsi="Times New Roman"/>
          <w:b/>
          <w:sz w:val="24"/>
          <w:szCs w:val="24"/>
        </w:rPr>
      </w:pPr>
    </w:p>
    <w:p w14:paraId="1D193395"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To analyze how the Board interprets statutes, I first created a dataset consisting of the cases in which the Board engages in statutory interpretation of the NLRA. The Board, in some respects, engages in statutory interpretation every time it adjudicates a case; it must decide whether any given fact scenario fits within the violations set forth by the NLRA. Most of these cases, however, fit into predictable fact patterns that the Board can easily look to past precedent and apply. Most interesting, however, is to try to understand how exactly t</w:t>
      </w:r>
      <w:r>
        <w:rPr>
          <w:rFonts w:ascii="Times New Roman" w:hAnsi="Times New Roman"/>
          <w:szCs w:val="24"/>
        </w:rPr>
        <w:t>he NLRB newly construes its governing statute</w:t>
      </w:r>
      <w:r w:rsidRPr="000410F3">
        <w:rPr>
          <w:rFonts w:ascii="Times New Roman" w:hAnsi="Times New Roman"/>
          <w:szCs w:val="24"/>
        </w:rPr>
        <w:t xml:space="preserve"> and what interpretive methodologies it uses to understand those cases. As such, I limited the analysis to only those few cases where the Board can fairly be said to engage in statutory interpretation as a matter of impression to serve as a model for ALJs and Regional Officers to use to direct case outcomes as opposed to simply applying a set rule to new factual circumstances.   </w:t>
      </w:r>
    </w:p>
    <w:p w14:paraId="6ADC920D"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To address this issue, I look at NLRB cases through the Bush, Clinton and Obama years. As part of another project looking at partisan panel effects, I read and coded over 3,000 NLRB cases during a 16-year time frame (1993-2007) and I extended the present statutory interpretation analysis to include cases up to August 2016.</w:t>
      </w:r>
      <w:r w:rsidRPr="000410F3">
        <w:rPr>
          <w:rStyle w:val="FootnoteReference"/>
          <w:rFonts w:ascii="Times New Roman" w:hAnsi="Times New Roman"/>
          <w:szCs w:val="24"/>
        </w:rPr>
        <w:footnoteReference w:id="170"/>
      </w:r>
      <w:r w:rsidRPr="000410F3">
        <w:rPr>
          <w:rFonts w:ascii="Times New Roman" w:hAnsi="Times New Roman"/>
          <w:szCs w:val="24"/>
        </w:rPr>
        <w:t xml:space="preserve"> In all, I read over 7,000 cases on Westlaw to discern which ones involved statutory interpretation. When reading each case, I coded the statutory methodology employed. To make sure I captured all the cases, I did a word search on Westlaw to capture all cases in which the Board engaged in statutory interpretation, and I similarly looked at all NLRB appellate cases that discussed either </w:t>
      </w:r>
      <w:r w:rsidRPr="000410F3">
        <w:rPr>
          <w:rFonts w:ascii="Times New Roman" w:hAnsi="Times New Roman"/>
          <w:i/>
          <w:szCs w:val="24"/>
        </w:rPr>
        <w:t>Chevron</w:t>
      </w:r>
      <w:r w:rsidRPr="000410F3">
        <w:rPr>
          <w:rFonts w:ascii="Times New Roman" w:hAnsi="Times New Roman"/>
          <w:szCs w:val="24"/>
        </w:rPr>
        <w:t xml:space="preserve"> or statutory interpretation.</w:t>
      </w:r>
      <w:r w:rsidRPr="000410F3">
        <w:rPr>
          <w:rStyle w:val="FootnoteReference"/>
          <w:rFonts w:ascii="Times New Roman" w:hAnsi="Times New Roman"/>
          <w:szCs w:val="24"/>
        </w:rPr>
        <w:footnoteReference w:id="171"/>
      </w:r>
      <w:r w:rsidRPr="000410F3">
        <w:rPr>
          <w:rFonts w:ascii="Times New Roman" w:hAnsi="Times New Roman"/>
          <w:szCs w:val="24"/>
        </w:rPr>
        <w:t xml:space="preserve">  </w:t>
      </w:r>
    </w:p>
    <w:p w14:paraId="2ADBDC08"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I found that the Board engages in some measure of statutory interpretation in less than 2% of all cases during the indicated time frame as in most instances it simply applies existing caselaw. This finding is not unsurprising. As Fish and Malamud note, a large proportion of the Board’s decision do not rely on any specific statutory language, a result of the lack of </w:t>
      </w:r>
      <w:r w:rsidRPr="000410F3">
        <w:rPr>
          <w:rFonts w:ascii="Times New Roman" w:hAnsi="Times New Roman"/>
          <w:szCs w:val="24"/>
        </w:rPr>
        <w:lastRenderedPageBreak/>
        <w:t>any recent legislative activity.</w:t>
      </w:r>
      <w:bookmarkStart w:id="35" w:name="_Ref460648804"/>
      <w:r w:rsidRPr="000410F3">
        <w:rPr>
          <w:rStyle w:val="FootnoteReference"/>
          <w:rFonts w:ascii="Times New Roman" w:hAnsi="Times New Roman"/>
          <w:szCs w:val="24"/>
        </w:rPr>
        <w:footnoteReference w:id="172"/>
      </w:r>
      <w:bookmarkEnd w:id="35"/>
      <w:r w:rsidRPr="000410F3">
        <w:rPr>
          <w:rFonts w:ascii="Times New Roman" w:hAnsi="Times New Roman"/>
          <w:szCs w:val="24"/>
        </w:rPr>
        <w:t xml:space="preserve"> Moreover, there is no “helpful” legislative history as the Supreme Court’s statutory interpretation in NLRB cases “often turn on nothing more than statements about the underlying purposes of the statute, and shows the same incapacity the Board manifests itself when it comes to how to prioritize Wagner Act versus Taft-Hartley formulation of those purposes.”</w:t>
      </w:r>
      <w:r w:rsidRPr="000410F3">
        <w:rPr>
          <w:rStyle w:val="FootnoteReference"/>
          <w:rFonts w:ascii="Times New Roman" w:hAnsi="Times New Roman"/>
          <w:szCs w:val="24"/>
        </w:rPr>
        <w:footnoteReference w:id="173"/>
      </w:r>
      <w:r w:rsidRPr="000410F3">
        <w:rPr>
          <w:rFonts w:ascii="Times New Roman" w:hAnsi="Times New Roman"/>
          <w:szCs w:val="24"/>
        </w:rPr>
        <w:t xml:space="preserve"> </w:t>
      </w:r>
    </w:p>
    <w:p w14:paraId="4F94FA8B"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The results may be underinclusive in some respects. Two groups of cases are excluded.  First, I only included cases in which the Board, acting as a three or five-member entity, itself actually engaged in statutory interpretation.</w:t>
      </w:r>
      <w:r w:rsidRPr="000410F3">
        <w:rPr>
          <w:rStyle w:val="FootnoteReference"/>
          <w:rFonts w:ascii="Times New Roman" w:hAnsi="Times New Roman"/>
          <w:szCs w:val="24"/>
        </w:rPr>
        <w:footnoteReference w:id="174"/>
      </w:r>
      <w:r w:rsidRPr="000410F3">
        <w:rPr>
          <w:rFonts w:ascii="Times New Roman" w:hAnsi="Times New Roman"/>
          <w:szCs w:val="24"/>
        </w:rPr>
        <w:t xml:space="preserve"> There are some cases where the Board merely blesses the opinion of the ALJ by issuing a short order upholding the opinion. The ALJ may have set forth a statutory interpretation, but because there is no Board opinion it is impossible to know whether the Board simply affirmed the ALJ because they just agreed with the result or whether they in fact favored the statutory methodologies employed by the ALJ. Indeed in some cases, the Board even notes in a footnote that while they uphold the Board, they do not necessarily agree with the ALJ’s approach. In addition, I did not include summary judgment cases unless it was clear in the text that the Board interpreted a statute as a matter of first impression. The Board generally has a standard form when it issues grants of summary judgment, and it is not clear from the way the opinion is written how the Board is interpreting a given statute. However, it is highly unlikely that the Board would interpret a statute as a matter of first impression without making clear its interpretation in a full-fledged opinion; in nearly all cases, it seemed like the Board merely applied pre-existing statutory interpretations. Thus, the fact that I did not include either summary orders or summary judgment opinions did not cloud my analysis. </w:t>
      </w:r>
    </w:p>
    <w:p w14:paraId="215C85F5"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Second, I also did not include cases in which the Board “implicitly” interpreted the statute. For instance, the Board has a well-developed precedent to guide how to determine whether an employee was unlawfully terminated — the so-called </w:t>
      </w:r>
      <w:r w:rsidRPr="000410F3">
        <w:rPr>
          <w:rFonts w:ascii="Times New Roman" w:hAnsi="Times New Roman"/>
          <w:i/>
          <w:szCs w:val="24"/>
        </w:rPr>
        <w:t>Wright Line</w:t>
      </w:r>
      <w:r w:rsidRPr="000410F3">
        <w:rPr>
          <w:rStyle w:val="FootnoteReference"/>
          <w:rFonts w:ascii="Times New Roman" w:hAnsi="Times New Roman"/>
          <w:i/>
          <w:szCs w:val="24"/>
        </w:rPr>
        <w:footnoteReference w:id="175"/>
      </w:r>
      <w:r w:rsidRPr="000410F3">
        <w:rPr>
          <w:rFonts w:ascii="Times New Roman" w:hAnsi="Times New Roman"/>
          <w:szCs w:val="24"/>
        </w:rPr>
        <w:t xml:space="preserve"> analysis where the Board analyzes a three-factor test of employer conduct and motivation to discern whether the conduct was unlawful. The Board hears literally hundreds of </w:t>
      </w:r>
      <w:r w:rsidRPr="000410F3">
        <w:rPr>
          <w:rFonts w:ascii="Times New Roman" w:hAnsi="Times New Roman"/>
          <w:i/>
          <w:szCs w:val="24"/>
        </w:rPr>
        <w:t>Wright Line</w:t>
      </w:r>
      <w:r w:rsidRPr="000410F3">
        <w:rPr>
          <w:rFonts w:ascii="Times New Roman" w:hAnsi="Times New Roman"/>
          <w:szCs w:val="24"/>
        </w:rPr>
        <w:t xml:space="preserve"> cases where the Board applies the precedent to determine whether a violation occurred. Similarly, in hundreds of cases, the Board reviews whether or not </w:t>
      </w:r>
      <w:r w:rsidRPr="000410F3">
        <w:rPr>
          <w:rFonts w:ascii="Times New Roman" w:hAnsi="Times New Roman"/>
          <w:szCs w:val="24"/>
        </w:rPr>
        <w:lastRenderedPageBreak/>
        <w:t xml:space="preserve">someone is an “employee” under the Act’s provisions. In my database, I include the major Board case where the Board as a matter of impression devises the </w:t>
      </w:r>
      <w:r w:rsidRPr="000410F3">
        <w:rPr>
          <w:rFonts w:ascii="Times New Roman" w:hAnsi="Times New Roman"/>
          <w:i/>
          <w:szCs w:val="24"/>
        </w:rPr>
        <w:t>Wright Line</w:t>
      </w:r>
      <w:r w:rsidRPr="000410F3">
        <w:rPr>
          <w:rFonts w:ascii="Times New Roman" w:hAnsi="Times New Roman"/>
          <w:szCs w:val="24"/>
        </w:rPr>
        <w:t xml:space="preserve"> test or determines the test to ascertain whether or not someone is an “employee” but I do not include the hundreds of cases applying facts to discern whether or not an employer satisfied its burden under </w:t>
      </w:r>
      <w:r w:rsidRPr="000410F3">
        <w:rPr>
          <w:rFonts w:ascii="Times New Roman" w:hAnsi="Times New Roman"/>
          <w:i/>
          <w:szCs w:val="24"/>
        </w:rPr>
        <w:t>Wright Line</w:t>
      </w:r>
      <w:r w:rsidRPr="000410F3">
        <w:rPr>
          <w:rFonts w:ascii="Times New Roman" w:hAnsi="Times New Roman"/>
          <w:szCs w:val="24"/>
        </w:rPr>
        <w:t xml:space="preserve"> or someone is an “employee” as those cases concern fact-specific analysis of a test developed in another prior Board decision. In those cases, the Board cannot safely be said to be engaging in statutory interpretation, because the Board is simply applying facts to law. Indeed, there is no dispute concerning whether the challenged practice is in violation of law; rather the inquiry is whether there is sufficient evidence to sustain a violation. I also did not include cases where the NLRB interprets a different statute.</w:t>
      </w:r>
      <w:r w:rsidRPr="000410F3">
        <w:rPr>
          <w:rStyle w:val="FootnoteReference"/>
          <w:rFonts w:ascii="Times New Roman" w:hAnsi="Times New Roman"/>
          <w:szCs w:val="24"/>
        </w:rPr>
        <w:footnoteReference w:id="176"/>
      </w:r>
      <w:r w:rsidRPr="000410F3">
        <w:rPr>
          <w:rFonts w:ascii="Times New Roman" w:hAnsi="Times New Roman"/>
          <w:szCs w:val="24"/>
        </w:rPr>
        <w:t xml:space="preserve"> </w:t>
      </w:r>
    </w:p>
    <w:p w14:paraId="758BCB36"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Some cases do not really make clear their interpretive strategy. The Board sets forth a fact scenario, makes a determination, but does not specify their reasoning except to rely on caselaw. To the extent one believes that these “caselaw only” decisions represent implicit policy determinations, the database would necessarily underestimate the extent to which the Board uses pure policymaking to guide statutory interpretations. However, one needs to draw the line somewhere, and there are a few reasons why I excluded such cases. None of the cases involved any discussion of the text itself (other than a reference to what the text actually said), legislative history, policy or practical considerations. Moreover, unlike the vast majority of the cases I included in my database, hardly any of these cases involved a dissent or concurrence, which, given the propensity of Board members to frequently dissent, especially in important cases, the cases in question most likely concerned an easy to analyze factual situation clearly fitting within established precedent. Finally, these cases were decided by three-judge panels. Although not strictly a rule (and there are three-panel Board decisions I included in the database), the Board generally does not decide important cases using three-judge panels; most “important” cases are decided by the full Board and as such full Board cases represent a disproportionate amount of the statutory interpretations done by the Board. In any event, to the extent </w:t>
      </w:r>
      <w:r w:rsidRPr="000410F3">
        <w:rPr>
          <w:rFonts w:ascii="Times New Roman" w:hAnsi="Times New Roman"/>
          <w:szCs w:val="24"/>
        </w:rPr>
        <w:lastRenderedPageBreak/>
        <w:t>the study is underinclusive it is underinclusive in the sense that it may exclude some cases where the NLRB’s sole method of interpreting is to piece together some sort of statutory interpretation from its own or Supreme Court caselaw laced together with a policy prescription.</w:t>
      </w:r>
      <w:r w:rsidRPr="000410F3">
        <w:rPr>
          <w:rStyle w:val="FootnoteReference"/>
          <w:rFonts w:ascii="Times New Roman" w:hAnsi="Times New Roman"/>
          <w:szCs w:val="24"/>
        </w:rPr>
        <w:footnoteReference w:id="177"/>
      </w:r>
    </w:p>
    <w:p w14:paraId="0EFFD433" w14:textId="6D24FD37" w:rsidR="0086288C" w:rsidRPr="000410F3" w:rsidRDefault="0086288C" w:rsidP="0086288C">
      <w:pPr>
        <w:ind w:firstLine="720"/>
        <w:rPr>
          <w:rFonts w:ascii="Times New Roman" w:hAnsi="Times New Roman"/>
          <w:szCs w:val="24"/>
        </w:rPr>
      </w:pPr>
      <w:r w:rsidRPr="000410F3">
        <w:rPr>
          <w:rFonts w:ascii="Times New Roman" w:hAnsi="Times New Roman"/>
          <w:szCs w:val="24"/>
        </w:rPr>
        <w:t>The analysis rests on the assumption that the Board is transparent and that the opinions actually reflect the statutory methodology used by the Board. In many cases, the Board may choose not to set forth in writing what statutory methodology it employed, or it may set forth parts of its methodology and hide other parts. There is no way to know for sure whether the opinion itself accurately represents an accurate or complete transcription of how the Board interprets statutes. The same concern, however, can be said of any empirical analysis of statutory interpretation or even analysis of judicial voting generally. We nev</w:t>
      </w:r>
      <w:r w:rsidR="004F1594">
        <w:rPr>
          <w:rFonts w:ascii="Times New Roman" w:hAnsi="Times New Roman"/>
          <w:szCs w:val="24"/>
        </w:rPr>
        <w:t xml:space="preserve">er know for sure </w:t>
      </w:r>
      <w:r w:rsidRPr="000410F3">
        <w:rPr>
          <w:rFonts w:ascii="Times New Roman" w:hAnsi="Times New Roman"/>
          <w:szCs w:val="24"/>
        </w:rPr>
        <w:t>if a liberal vote represents the judge’s ideological preferences. Judges may choose to dissent in one case but not others. These concerns are endemic to any study of judicial politics, but they by no means lead to the conclusion that we should not study these issues empirically. Rather, so long as we set forth the limitations, we can still gain useful information about judicial voting and judicial interpretation with the information we have available to us.</w:t>
      </w:r>
    </w:p>
    <w:p w14:paraId="077C6C7E" w14:textId="6FBFB9AA" w:rsidR="0086288C" w:rsidRDefault="0086288C" w:rsidP="0086288C">
      <w:pPr>
        <w:ind w:firstLine="720"/>
        <w:rPr>
          <w:rFonts w:ascii="Times New Roman" w:hAnsi="Times New Roman"/>
          <w:szCs w:val="24"/>
        </w:rPr>
      </w:pPr>
      <w:r w:rsidRPr="000410F3">
        <w:rPr>
          <w:rFonts w:ascii="Times New Roman" w:hAnsi="Times New Roman"/>
          <w:szCs w:val="24"/>
        </w:rPr>
        <w:t>Having set forth the limitations, I next analyze the different interpretive methodologies employed by the Board. I first made a general finding of whether the decision was more textual or purposive. Then I coded for specific types of statutory tools: plain meaning rule; the Latin canons; dictionary definition; legislative history (as well as source of legislative histo</w:t>
      </w:r>
      <w:r w:rsidR="004F1594">
        <w:rPr>
          <w:rFonts w:ascii="Times New Roman" w:hAnsi="Times New Roman"/>
          <w:szCs w:val="24"/>
        </w:rPr>
        <w:t>ry); substantive/textual canons; use of precedent;</w:t>
      </w:r>
      <w:r w:rsidRPr="000410F3">
        <w:rPr>
          <w:rFonts w:ascii="Times New Roman" w:hAnsi="Times New Roman"/>
          <w:szCs w:val="24"/>
        </w:rPr>
        <w:t xml:space="preserve"> mentions of policy and references to practical implications. These interpretive rules are similar to those used in other empirical studies of statutory interpretation.</w:t>
      </w:r>
      <w:r w:rsidRPr="000410F3">
        <w:rPr>
          <w:rStyle w:val="FootnoteReference"/>
          <w:rFonts w:ascii="Times New Roman" w:hAnsi="Times New Roman"/>
          <w:szCs w:val="24"/>
        </w:rPr>
        <w:footnoteReference w:id="178"/>
      </w:r>
      <w:r w:rsidRPr="000410F3">
        <w:rPr>
          <w:rFonts w:ascii="Times New Roman" w:hAnsi="Times New Roman"/>
          <w:szCs w:val="24"/>
        </w:rPr>
        <w:t xml:space="preserve"> In some cases, Board, circuit court or Supreme Court precedent dictated how the Board decided to interpret the statute. In coding policy, I looked to statements </w:t>
      </w:r>
      <w:r w:rsidRPr="000410F3">
        <w:rPr>
          <w:rFonts w:ascii="Times New Roman" w:hAnsi="Times New Roman"/>
          <w:szCs w:val="24"/>
        </w:rPr>
        <w:lastRenderedPageBreak/>
        <w:t>about how the Board balanced competing policy needs or whether a given statutory interpretation would effectuate the stated goal of the NLRA to reduce inequality in bargaining or to inhibit strikes. Practical consequences concerned such things as the workability of the proposed ruling, the effect such a ruling would have on labor relations, the burdens imposed on the worker or the employer under the proposed ruling or the overall effects that may occur in labor law generally should the Board’s rule stand. Like other scholars, I included absurdity under policy or practical consequences.</w:t>
      </w:r>
      <w:r w:rsidRPr="000410F3">
        <w:rPr>
          <w:rStyle w:val="FootnoteReference"/>
          <w:rFonts w:ascii="Times New Roman" w:hAnsi="Times New Roman"/>
          <w:szCs w:val="24"/>
        </w:rPr>
        <w:footnoteReference w:id="179"/>
      </w:r>
      <w:r w:rsidRPr="000410F3">
        <w:rPr>
          <w:rFonts w:ascii="Times New Roman" w:hAnsi="Times New Roman"/>
          <w:szCs w:val="24"/>
        </w:rPr>
        <w:t xml:space="preserve"> I only coded an interpretive rule if it was relied on by the Board; if the opinion only mentions a rule in passing or if it rejected a particular tool as being of probative value, I did not code for it. Likewise, if the decision ranked-ordered interpretive tools, I made note of it. In my analysis, I also coded for the use of “dueling” canons by which the majority and dissent both employed the same interpretive canon to advance their viewpoint. Board members may “duel” with each other in a textual matter by 1) focusing on different words; 2) focusing on the text of different statutes; or 3) focusing on the same word but ascribe a different meaning to the text.</w:t>
      </w:r>
      <w:r w:rsidRPr="000410F3">
        <w:rPr>
          <w:rStyle w:val="FootnoteReference"/>
          <w:rFonts w:ascii="Times New Roman" w:hAnsi="Times New Roman"/>
          <w:szCs w:val="24"/>
        </w:rPr>
        <w:footnoteReference w:id="180"/>
      </w:r>
      <w:r w:rsidRPr="000410F3">
        <w:rPr>
          <w:rFonts w:ascii="Times New Roman" w:hAnsi="Times New Roman"/>
          <w:szCs w:val="24"/>
        </w:rPr>
        <w:t xml:space="preserve"> Purposivists can also “duel” with each other by 1) focusing on different, competing purposes; 2) focusing on the same purpose but draw different conclusions about that purpose; or 3) focusing on a broad, general statutory purpose while another one focuses on narrowly drawn specific purposes.</w:t>
      </w:r>
      <w:r w:rsidRPr="000410F3">
        <w:rPr>
          <w:rStyle w:val="FootnoteReference"/>
          <w:rFonts w:ascii="Times New Roman" w:hAnsi="Times New Roman"/>
          <w:szCs w:val="24"/>
        </w:rPr>
        <w:footnoteReference w:id="181"/>
      </w:r>
      <w:r w:rsidRPr="000410F3">
        <w:rPr>
          <w:rFonts w:ascii="Times New Roman" w:hAnsi="Times New Roman"/>
          <w:szCs w:val="24"/>
        </w:rPr>
        <w:t xml:space="preserve"> If a case had multiple dissents, I combined the dissents into one for purposes of this analysis as there were no mixed partisan dissents, that is, there were no cases in which both a Democrat and Republican Board member both dissented on a statutory interpretation issue.</w:t>
      </w:r>
      <w:r w:rsidRPr="000410F3">
        <w:rPr>
          <w:rStyle w:val="FootnoteReference"/>
          <w:rFonts w:ascii="Times New Roman" w:hAnsi="Times New Roman"/>
          <w:szCs w:val="24"/>
        </w:rPr>
        <w:footnoteReference w:id="182"/>
      </w:r>
      <w:r w:rsidRPr="000410F3">
        <w:rPr>
          <w:rFonts w:ascii="Times New Roman" w:hAnsi="Times New Roman"/>
          <w:szCs w:val="24"/>
        </w:rPr>
        <w:t xml:space="preserve"> Any dissents came from memb</w:t>
      </w:r>
      <w:r w:rsidR="00BF63DC">
        <w:rPr>
          <w:rFonts w:ascii="Times New Roman" w:hAnsi="Times New Roman"/>
          <w:szCs w:val="24"/>
        </w:rPr>
        <w:t>ers of the same political party</w:t>
      </w:r>
    </w:p>
    <w:p w14:paraId="5CD9EB73" w14:textId="77777777" w:rsidR="00BF63DC" w:rsidRPr="000410F3" w:rsidRDefault="00BF63DC" w:rsidP="0086288C">
      <w:pPr>
        <w:ind w:firstLine="720"/>
        <w:rPr>
          <w:rFonts w:ascii="Times New Roman" w:hAnsi="Times New Roman"/>
          <w:szCs w:val="24"/>
        </w:rPr>
      </w:pPr>
    </w:p>
    <w:p w14:paraId="4B5AC795" w14:textId="39B0ED71" w:rsidR="0086288C" w:rsidRDefault="0086288C" w:rsidP="001A4D77">
      <w:pPr>
        <w:pStyle w:val="ListParagraph"/>
        <w:numPr>
          <w:ilvl w:val="0"/>
          <w:numId w:val="4"/>
        </w:numPr>
        <w:spacing w:after="0" w:line="240" w:lineRule="auto"/>
        <w:rPr>
          <w:rFonts w:ascii="Times New Roman" w:hAnsi="Times New Roman"/>
          <w:b/>
          <w:sz w:val="24"/>
          <w:szCs w:val="24"/>
        </w:rPr>
      </w:pPr>
      <w:r w:rsidRPr="00850B14">
        <w:rPr>
          <w:rFonts w:ascii="Times New Roman" w:hAnsi="Times New Roman"/>
          <w:b/>
          <w:sz w:val="24"/>
          <w:szCs w:val="24"/>
        </w:rPr>
        <w:t>Overview of Results of Statutory Interpretation at the NLRB</w:t>
      </w:r>
      <w:r w:rsidR="00A04719">
        <w:rPr>
          <w:rFonts w:ascii="Times New Roman" w:hAnsi="Times New Roman"/>
          <w:b/>
          <w:sz w:val="24"/>
          <w:szCs w:val="24"/>
        </w:rPr>
        <w:t xml:space="preserve"> in Majority Opinions</w:t>
      </w:r>
    </w:p>
    <w:p w14:paraId="0D1028D2" w14:textId="77777777" w:rsidR="00BF63DC" w:rsidRPr="00850B14" w:rsidRDefault="00BF63DC" w:rsidP="00BF63DC">
      <w:pPr>
        <w:pStyle w:val="ListParagraph"/>
        <w:spacing w:after="0" w:line="240" w:lineRule="auto"/>
        <w:rPr>
          <w:rFonts w:ascii="Times New Roman" w:hAnsi="Times New Roman"/>
          <w:b/>
          <w:sz w:val="24"/>
          <w:szCs w:val="24"/>
        </w:rPr>
      </w:pPr>
    </w:p>
    <w:p w14:paraId="74A7869A" w14:textId="49B5D891" w:rsidR="0086288C" w:rsidRDefault="0086288C" w:rsidP="0086288C">
      <w:pPr>
        <w:ind w:firstLine="720"/>
        <w:rPr>
          <w:rFonts w:ascii="Times New Roman" w:hAnsi="Times New Roman"/>
          <w:szCs w:val="24"/>
        </w:rPr>
      </w:pPr>
      <w:r w:rsidRPr="000410F3">
        <w:rPr>
          <w:rFonts w:ascii="Times New Roman" w:hAnsi="Times New Roman"/>
          <w:szCs w:val="24"/>
        </w:rPr>
        <w:t xml:space="preserve">The Board engaged in a mix of interpretative techniques in its </w:t>
      </w:r>
      <w:r w:rsidRPr="000410F3">
        <w:rPr>
          <w:rFonts w:ascii="Times New Roman" w:hAnsi="Times New Roman"/>
          <w:szCs w:val="24"/>
        </w:rPr>
        <w:lastRenderedPageBreak/>
        <w:t>decisions in the near 25-year peri</w:t>
      </w:r>
      <w:r w:rsidR="00A04719">
        <w:rPr>
          <w:rFonts w:ascii="Times New Roman" w:hAnsi="Times New Roman"/>
          <w:szCs w:val="24"/>
        </w:rPr>
        <w:t>od under study. In Part II.C.1</w:t>
      </w:r>
      <w:r w:rsidRPr="000410F3">
        <w:rPr>
          <w:rFonts w:ascii="Times New Roman" w:hAnsi="Times New Roman"/>
          <w:szCs w:val="24"/>
        </w:rPr>
        <w:t>, I detail the general trends, pointing out differences in interpretive methodology based on partisan composition of the panel, presidential administration, case type and whether the Board found a violation of law. I then turn to a detailed empirical and doctrinal discussion of the Board’s use of each inte</w:t>
      </w:r>
      <w:r w:rsidR="00A04719">
        <w:rPr>
          <w:rFonts w:ascii="Times New Roman" w:hAnsi="Times New Roman"/>
          <w:szCs w:val="24"/>
        </w:rPr>
        <w:t>rpretive method. In Part II.C.2</w:t>
      </w:r>
      <w:r w:rsidRPr="000410F3">
        <w:rPr>
          <w:rFonts w:ascii="Times New Roman" w:hAnsi="Times New Roman"/>
          <w:szCs w:val="24"/>
        </w:rPr>
        <w:t>, I discuss the use of textualism by the Board, detailing in particular how the Board uses textual, language and substantive canons of interpretation b</w:t>
      </w:r>
      <w:r w:rsidR="00A04719">
        <w:rPr>
          <w:rFonts w:ascii="Times New Roman" w:hAnsi="Times New Roman"/>
          <w:szCs w:val="24"/>
        </w:rPr>
        <w:t>efore reviewing in Part II.C.3</w:t>
      </w:r>
      <w:r w:rsidRPr="000410F3">
        <w:rPr>
          <w:rFonts w:ascii="Times New Roman" w:hAnsi="Times New Roman"/>
          <w:szCs w:val="24"/>
        </w:rPr>
        <w:t>, the Board’s use of l</w:t>
      </w:r>
      <w:r w:rsidR="00A04719">
        <w:rPr>
          <w:rFonts w:ascii="Times New Roman" w:hAnsi="Times New Roman"/>
          <w:szCs w:val="24"/>
        </w:rPr>
        <w:t>egislative history. Part II.C.4</w:t>
      </w:r>
      <w:r w:rsidRPr="000410F3">
        <w:rPr>
          <w:rFonts w:ascii="Times New Roman" w:hAnsi="Times New Roman"/>
          <w:szCs w:val="24"/>
        </w:rPr>
        <w:t xml:space="preserve"> details the </w:t>
      </w:r>
      <w:r w:rsidR="00A04719">
        <w:rPr>
          <w:rFonts w:ascii="Times New Roman" w:hAnsi="Times New Roman"/>
          <w:szCs w:val="24"/>
        </w:rPr>
        <w:t>use of precedent and Part II.C.5</w:t>
      </w:r>
      <w:r w:rsidRPr="000410F3">
        <w:rPr>
          <w:rFonts w:ascii="Times New Roman" w:hAnsi="Times New Roman"/>
          <w:szCs w:val="24"/>
        </w:rPr>
        <w:t xml:space="preserve"> discusses the Board’s use of policy and practical considerations in its decision-making. Finally, in Part II.C.vi, I summarize my findings.</w:t>
      </w:r>
    </w:p>
    <w:p w14:paraId="3FFABABC" w14:textId="77777777" w:rsidR="00BF63DC" w:rsidRPr="000410F3" w:rsidRDefault="00BF63DC" w:rsidP="0086288C">
      <w:pPr>
        <w:ind w:firstLine="720"/>
        <w:rPr>
          <w:rFonts w:ascii="Times New Roman" w:hAnsi="Times New Roman"/>
          <w:szCs w:val="24"/>
        </w:rPr>
      </w:pPr>
    </w:p>
    <w:p w14:paraId="59E3BC3A" w14:textId="49CB2293" w:rsidR="0086288C" w:rsidRPr="00A04719" w:rsidRDefault="0086288C" w:rsidP="00A04719">
      <w:pPr>
        <w:pStyle w:val="ListParagraph"/>
        <w:numPr>
          <w:ilvl w:val="0"/>
          <w:numId w:val="23"/>
        </w:numPr>
        <w:rPr>
          <w:rFonts w:ascii="Times New Roman" w:hAnsi="Times New Roman"/>
          <w:b/>
          <w:szCs w:val="24"/>
        </w:rPr>
      </w:pPr>
      <w:r w:rsidRPr="00A04719">
        <w:rPr>
          <w:rFonts w:ascii="Times New Roman" w:hAnsi="Times New Roman"/>
          <w:b/>
          <w:szCs w:val="24"/>
        </w:rPr>
        <w:t>General Trends in Statutory Interpretation of Majority Opinions</w:t>
      </w:r>
    </w:p>
    <w:p w14:paraId="10DA8BDA" w14:textId="77777777" w:rsidR="00BF63DC" w:rsidRPr="00850B14" w:rsidRDefault="00BF63DC" w:rsidP="00BF63DC">
      <w:pPr>
        <w:pStyle w:val="ListParagraph"/>
        <w:spacing w:after="0" w:line="240" w:lineRule="auto"/>
        <w:ind w:left="1440"/>
        <w:rPr>
          <w:rFonts w:ascii="Times New Roman" w:hAnsi="Times New Roman"/>
          <w:b/>
          <w:sz w:val="24"/>
          <w:szCs w:val="24"/>
        </w:rPr>
      </w:pPr>
    </w:p>
    <w:p w14:paraId="10B8E7B2" w14:textId="7C255D38" w:rsidR="0086288C" w:rsidRDefault="0086288C" w:rsidP="0086288C">
      <w:pPr>
        <w:ind w:firstLine="720"/>
        <w:rPr>
          <w:rFonts w:ascii="Times New Roman" w:hAnsi="Times New Roman"/>
          <w:szCs w:val="24"/>
        </w:rPr>
      </w:pPr>
      <w:r w:rsidRPr="000410F3">
        <w:rPr>
          <w:rFonts w:ascii="Times New Roman" w:hAnsi="Times New Roman"/>
          <w:szCs w:val="24"/>
        </w:rPr>
        <w:t xml:space="preserve">Table 1 lists descriptive statistics of the 121 cases that interpreted statutes in majority opinions as a matter of first impression. Not surprisingly, the full four or five member Board heard 74% of the cases in the database. Each case often employed multiple types of methods, as, for instance, a Board decision could employ text, legislative history, precedent, policy and practical all in one decision. Figure 1 details the percent value for each methodology, by case type. </w:t>
      </w:r>
      <w:r>
        <w:rPr>
          <w:rFonts w:ascii="Times New Roman" w:hAnsi="Times New Roman"/>
          <w:szCs w:val="24"/>
        </w:rPr>
        <w:t>“General t</w:t>
      </w:r>
      <w:r w:rsidRPr="000410F3">
        <w:rPr>
          <w:rFonts w:ascii="Times New Roman" w:hAnsi="Times New Roman"/>
          <w:szCs w:val="24"/>
        </w:rPr>
        <w:t>ext” refers to cases in which the Board analyzes the text in part but the use of text is equal to or secondary to other interpretive methods. “</w:t>
      </w:r>
      <w:r>
        <w:rPr>
          <w:rFonts w:ascii="Times New Roman" w:hAnsi="Times New Roman"/>
          <w:szCs w:val="24"/>
        </w:rPr>
        <w:t>Primary t</w:t>
      </w:r>
      <w:r w:rsidR="004F1594">
        <w:rPr>
          <w:rFonts w:ascii="Times New Roman" w:hAnsi="Times New Roman"/>
          <w:szCs w:val="24"/>
        </w:rPr>
        <w:t>ext”</w:t>
      </w:r>
      <w:r w:rsidRPr="000410F3">
        <w:rPr>
          <w:rFonts w:ascii="Times New Roman" w:hAnsi="Times New Roman"/>
          <w:szCs w:val="24"/>
        </w:rPr>
        <w:t xml:space="preserve"> references cases in which the Board either primarily rests its conclusions on the text, by, for instance, arguing that the text has a plain meaning that controls the outcome of the case.</w:t>
      </w:r>
    </w:p>
    <w:p w14:paraId="2B33DD99" w14:textId="77777777" w:rsidR="00BF63DC" w:rsidRPr="000410F3" w:rsidRDefault="00BF63DC" w:rsidP="0086288C">
      <w:pPr>
        <w:ind w:firstLine="720"/>
        <w:rPr>
          <w:rFonts w:ascii="Times New Roman" w:hAnsi="Times New Roman"/>
          <w:szCs w:val="24"/>
        </w:rPr>
      </w:pPr>
    </w:p>
    <w:p w14:paraId="209D5D5A" w14:textId="77777777" w:rsidR="0086288C" w:rsidRPr="002442CD" w:rsidRDefault="0086288C" w:rsidP="0086288C">
      <w:pPr>
        <w:rPr>
          <w:rFonts w:ascii="Times New Roman" w:hAnsi="Times New Roman"/>
          <w:b/>
          <w:sz w:val="20"/>
        </w:rPr>
      </w:pPr>
      <w:r w:rsidRPr="002442CD">
        <w:rPr>
          <w:rFonts w:ascii="Times New Roman" w:hAnsi="Times New Roman"/>
          <w:b/>
          <w:sz w:val="20"/>
        </w:rPr>
        <w:t>Table 1: Methods of Statutory Interpretation, by Case Type (Percent)</w:t>
      </w:r>
    </w:p>
    <w:tbl>
      <w:tblPr>
        <w:tblStyle w:val="TableGrid"/>
        <w:tblW w:w="0" w:type="auto"/>
        <w:tblLook w:val="04A0" w:firstRow="1" w:lastRow="0" w:firstColumn="1" w:lastColumn="0" w:noHBand="0" w:noVBand="1"/>
      </w:tblPr>
      <w:tblGrid>
        <w:gridCol w:w="1092"/>
        <w:gridCol w:w="857"/>
        <w:gridCol w:w="881"/>
        <w:gridCol w:w="968"/>
        <w:gridCol w:w="1032"/>
        <w:gridCol w:w="774"/>
        <w:gridCol w:w="818"/>
        <w:gridCol w:w="912"/>
      </w:tblGrid>
      <w:tr w:rsidR="00BF63DC" w:rsidRPr="002442CD" w14:paraId="41876E54" w14:textId="77777777" w:rsidTr="001F1D99">
        <w:trPr>
          <w:trHeight w:val="1133"/>
        </w:trPr>
        <w:tc>
          <w:tcPr>
            <w:tcW w:w="1298" w:type="dxa"/>
          </w:tcPr>
          <w:p w14:paraId="5012F653" w14:textId="77777777" w:rsidR="0086288C" w:rsidRPr="002442CD" w:rsidRDefault="0086288C" w:rsidP="0086288C">
            <w:pPr>
              <w:rPr>
                <w:rFonts w:ascii="Times New Roman" w:hAnsi="Times New Roman"/>
                <w:b/>
                <w:sz w:val="20"/>
                <w:szCs w:val="20"/>
              </w:rPr>
            </w:pPr>
          </w:p>
        </w:tc>
        <w:tc>
          <w:tcPr>
            <w:tcW w:w="1169" w:type="dxa"/>
          </w:tcPr>
          <w:p w14:paraId="0280A393"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General Text</w:t>
            </w:r>
          </w:p>
        </w:tc>
        <w:tc>
          <w:tcPr>
            <w:tcW w:w="1182" w:type="dxa"/>
          </w:tcPr>
          <w:p w14:paraId="1C0FF494"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Primary</w:t>
            </w:r>
          </w:p>
          <w:p w14:paraId="2B2691C2"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Text</w:t>
            </w:r>
          </w:p>
        </w:tc>
        <w:tc>
          <w:tcPr>
            <w:tcW w:w="1230" w:type="dxa"/>
          </w:tcPr>
          <w:p w14:paraId="3A157C98" w14:textId="124C0C39"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Latin</w:t>
            </w:r>
            <w:r w:rsidR="00BF63DC" w:rsidRPr="00BF63DC">
              <w:rPr>
                <w:rFonts w:ascii="Times New Roman" w:hAnsi="Times New Roman"/>
                <w:b/>
                <w:sz w:val="16"/>
                <w:szCs w:val="16"/>
              </w:rPr>
              <w:t xml:space="preserve"> </w:t>
            </w:r>
            <w:r w:rsidRPr="00BF63DC">
              <w:rPr>
                <w:rFonts w:ascii="Times New Roman" w:hAnsi="Times New Roman"/>
                <w:b/>
                <w:sz w:val="16"/>
                <w:szCs w:val="16"/>
              </w:rPr>
              <w:t>And</w:t>
            </w:r>
          </w:p>
          <w:p w14:paraId="6559941B"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Language Canons</w:t>
            </w:r>
          </w:p>
        </w:tc>
        <w:tc>
          <w:tcPr>
            <w:tcW w:w="1260" w:type="dxa"/>
          </w:tcPr>
          <w:p w14:paraId="3893CC31"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Legislative History</w:t>
            </w:r>
          </w:p>
        </w:tc>
        <w:tc>
          <w:tcPr>
            <w:tcW w:w="906" w:type="dxa"/>
          </w:tcPr>
          <w:p w14:paraId="190D3B5C" w14:textId="2E2524BB"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Preced</w:t>
            </w:r>
            <w:r w:rsidR="00BF63DC">
              <w:rPr>
                <w:rFonts w:ascii="Times New Roman" w:hAnsi="Times New Roman"/>
                <w:b/>
                <w:sz w:val="16"/>
                <w:szCs w:val="16"/>
              </w:rPr>
              <w:t>.</w:t>
            </w:r>
          </w:p>
        </w:tc>
        <w:tc>
          <w:tcPr>
            <w:tcW w:w="1105" w:type="dxa"/>
          </w:tcPr>
          <w:p w14:paraId="2BAAFDCF"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Policy</w:t>
            </w:r>
          </w:p>
        </w:tc>
        <w:tc>
          <w:tcPr>
            <w:tcW w:w="1200" w:type="dxa"/>
          </w:tcPr>
          <w:p w14:paraId="59D7A951"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Practical</w:t>
            </w:r>
          </w:p>
        </w:tc>
      </w:tr>
      <w:tr w:rsidR="00BF63DC" w:rsidRPr="002442CD" w14:paraId="2CB9486C" w14:textId="77777777" w:rsidTr="001F1D99">
        <w:tc>
          <w:tcPr>
            <w:tcW w:w="1298" w:type="dxa"/>
          </w:tcPr>
          <w:p w14:paraId="03A0678F"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All Cases</w:t>
            </w:r>
          </w:p>
        </w:tc>
        <w:tc>
          <w:tcPr>
            <w:tcW w:w="1169" w:type="dxa"/>
          </w:tcPr>
          <w:p w14:paraId="3BB180A9" w14:textId="77777777" w:rsidR="0086288C" w:rsidRPr="00BF63DC" w:rsidRDefault="0086288C" w:rsidP="00BF63DC">
            <w:pPr>
              <w:ind w:firstLine="0"/>
              <w:rPr>
                <w:rFonts w:ascii="Times New Roman" w:hAnsi="Times New Roman"/>
                <w:sz w:val="16"/>
                <w:szCs w:val="16"/>
              </w:rPr>
            </w:pPr>
            <w:r w:rsidRPr="00BF63DC">
              <w:rPr>
                <w:rFonts w:ascii="Times New Roman" w:hAnsi="Times New Roman"/>
                <w:sz w:val="16"/>
                <w:szCs w:val="16"/>
              </w:rPr>
              <w:t>63</w:t>
            </w:r>
          </w:p>
        </w:tc>
        <w:tc>
          <w:tcPr>
            <w:tcW w:w="1182" w:type="dxa"/>
          </w:tcPr>
          <w:p w14:paraId="23A1B79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w:t>
            </w:r>
          </w:p>
        </w:tc>
        <w:tc>
          <w:tcPr>
            <w:tcW w:w="1230" w:type="dxa"/>
          </w:tcPr>
          <w:p w14:paraId="0E0C56A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20</w:t>
            </w:r>
          </w:p>
        </w:tc>
        <w:tc>
          <w:tcPr>
            <w:tcW w:w="1260" w:type="dxa"/>
          </w:tcPr>
          <w:p w14:paraId="0A63F1E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39</w:t>
            </w:r>
          </w:p>
        </w:tc>
        <w:tc>
          <w:tcPr>
            <w:tcW w:w="906" w:type="dxa"/>
          </w:tcPr>
          <w:p w14:paraId="3743B9C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90</w:t>
            </w:r>
          </w:p>
        </w:tc>
        <w:tc>
          <w:tcPr>
            <w:tcW w:w="1105" w:type="dxa"/>
          </w:tcPr>
          <w:p w14:paraId="3C39F99B"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86</w:t>
            </w:r>
          </w:p>
        </w:tc>
        <w:tc>
          <w:tcPr>
            <w:tcW w:w="1200" w:type="dxa"/>
          </w:tcPr>
          <w:p w14:paraId="172976A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56</w:t>
            </w:r>
          </w:p>
        </w:tc>
      </w:tr>
      <w:tr w:rsidR="00BF63DC" w:rsidRPr="002442CD" w14:paraId="7E2726CB" w14:textId="77777777" w:rsidTr="001F1D99">
        <w:trPr>
          <w:trHeight w:val="575"/>
        </w:trPr>
        <w:tc>
          <w:tcPr>
            <w:tcW w:w="1298" w:type="dxa"/>
          </w:tcPr>
          <w:p w14:paraId="5B1C1EB7"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CA (against employer)</w:t>
            </w:r>
          </w:p>
        </w:tc>
        <w:tc>
          <w:tcPr>
            <w:tcW w:w="1169" w:type="dxa"/>
          </w:tcPr>
          <w:p w14:paraId="60D33742" w14:textId="77777777" w:rsidR="0086288C" w:rsidRPr="00BF63DC" w:rsidRDefault="0086288C" w:rsidP="00BF63DC">
            <w:pPr>
              <w:ind w:firstLine="0"/>
              <w:rPr>
                <w:rFonts w:ascii="Times New Roman" w:hAnsi="Times New Roman"/>
                <w:sz w:val="16"/>
                <w:szCs w:val="16"/>
              </w:rPr>
            </w:pPr>
            <w:r w:rsidRPr="00BF63DC">
              <w:rPr>
                <w:rFonts w:ascii="Times New Roman" w:hAnsi="Times New Roman"/>
                <w:sz w:val="16"/>
                <w:szCs w:val="16"/>
              </w:rPr>
              <w:t>60</w:t>
            </w:r>
          </w:p>
        </w:tc>
        <w:tc>
          <w:tcPr>
            <w:tcW w:w="1182" w:type="dxa"/>
          </w:tcPr>
          <w:p w14:paraId="21FBC49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w:t>
            </w:r>
          </w:p>
        </w:tc>
        <w:tc>
          <w:tcPr>
            <w:tcW w:w="1230" w:type="dxa"/>
          </w:tcPr>
          <w:p w14:paraId="52B1474B"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20</w:t>
            </w:r>
          </w:p>
        </w:tc>
        <w:tc>
          <w:tcPr>
            <w:tcW w:w="1260" w:type="dxa"/>
          </w:tcPr>
          <w:p w14:paraId="7608E6C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31*</w:t>
            </w:r>
            <w:r w:rsidRPr="00BF63DC">
              <w:rPr>
                <w:rStyle w:val="FootnoteReference"/>
                <w:rFonts w:ascii="Times New Roman" w:hAnsi="Times New Roman"/>
                <w:sz w:val="16"/>
                <w:szCs w:val="16"/>
              </w:rPr>
              <w:footnoteReference w:id="183"/>
            </w:r>
          </w:p>
        </w:tc>
        <w:tc>
          <w:tcPr>
            <w:tcW w:w="906" w:type="dxa"/>
          </w:tcPr>
          <w:p w14:paraId="4E8B4F84"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91</w:t>
            </w:r>
          </w:p>
        </w:tc>
        <w:tc>
          <w:tcPr>
            <w:tcW w:w="1105" w:type="dxa"/>
          </w:tcPr>
          <w:p w14:paraId="51765D5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90</w:t>
            </w:r>
          </w:p>
        </w:tc>
        <w:tc>
          <w:tcPr>
            <w:tcW w:w="1200" w:type="dxa"/>
          </w:tcPr>
          <w:p w14:paraId="44E772A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57</w:t>
            </w:r>
          </w:p>
        </w:tc>
      </w:tr>
      <w:tr w:rsidR="00BF63DC" w:rsidRPr="002442CD" w14:paraId="5D3A0DBD" w14:textId="77777777" w:rsidTr="001F1D99">
        <w:trPr>
          <w:trHeight w:val="63"/>
        </w:trPr>
        <w:tc>
          <w:tcPr>
            <w:tcW w:w="1298" w:type="dxa"/>
          </w:tcPr>
          <w:p w14:paraId="3F0832AE"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CB/CC/CD/</w:t>
            </w:r>
          </w:p>
          <w:p w14:paraId="388D1DA5"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CE (against unions)</w:t>
            </w:r>
          </w:p>
        </w:tc>
        <w:tc>
          <w:tcPr>
            <w:tcW w:w="1169" w:type="dxa"/>
          </w:tcPr>
          <w:p w14:paraId="18B71404" w14:textId="77777777" w:rsidR="0086288C" w:rsidRPr="00BF63DC" w:rsidRDefault="0086288C" w:rsidP="00BF63DC">
            <w:pPr>
              <w:ind w:firstLine="0"/>
              <w:rPr>
                <w:rFonts w:ascii="Times New Roman" w:hAnsi="Times New Roman"/>
                <w:sz w:val="16"/>
                <w:szCs w:val="16"/>
              </w:rPr>
            </w:pPr>
            <w:r w:rsidRPr="00BF63DC">
              <w:rPr>
                <w:rFonts w:ascii="Times New Roman" w:hAnsi="Times New Roman"/>
                <w:sz w:val="16"/>
                <w:szCs w:val="16"/>
              </w:rPr>
              <w:t>71</w:t>
            </w:r>
          </w:p>
        </w:tc>
        <w:tc>
          <w:tcPr>
            <w:tcW w:w="1182" w:type="dxa"/>
          </w:tcPr>
          <w:p w14:paraId="4287A576" w14:textId="77777777" w:rsidR="0086288C" w:rsidRPr="00BF63DC" w:rsidRDefault="0086288C" w:rsidP="00BF63DC">
            <w:pPr>
              <w:ind w:firstLine="0"/>
              <w:rPr>
                <w:rFonts w:ascii="Times New Roman" w:hAnsi="Times New Roman"/>
                <w:sz w:val="16"/>
                <w:szCs w:val="16"/>
              </w:rPr>
            </w:pPr>
            <w:r w:rsidRPr="00BF63DC">
              <w:rPr>
                <w:rFonts w:ascii="Times New Roman" w:hAnsi="Times New Roman"/>
                <w:sz w:val="16"/>
                <w:szCs w:val="16"/>
              </w:rPr>
              <w:t>10</w:t>
            </w:r>
          </w:p>
        </w:tc>
        <w:tc>
          <w:tcPr>
            <w:tcW w:w="1230" w:type="dxa"/>
          </w:tcPr>
          <w:p w14:paraId="68E368B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19</w:t>
            </w:r>
          </w:p>
        </w:tc>
        <w:tc>
          <w:tcPr>
            <w:tcW w:w="1260" w:type="dxa"/>
          </w:tcPr>
          <w:p w14:paraId="773463C8"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57*</w:t>
            </w:r>
          </w:p>
        </w:tc>
        <w:tc>
          <w:tcPr>
            <w:tcW w:w="906" w:type="dxa"/>
          </w:tcPr>
          <w:p w14:paraId="2FE4D7C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95</w:t>
            </w:r>
          </w:p>
        </w:tc>
        <w:tc>
          <w:tcPr>
            <w:tcW w:w="1105" w:type="dxa"/>
          </w:tcPr>
          <w:p w14:paraId="7937E64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81</w:t>
            </w:r>
          </w:p>
        </w:tc>
        <w:tc>
          <w:tcPr>
            <w:tcW w:w="1200" w:type="dxa"/>
          </w:tcPr>
          <w:p w14:paraId="7089457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42</w:t>
            </w:r>
          </w:p>
        </w:tc>
      </w:tr>
      <w:tr w:rsidR="00BF63DC" w:rsidRPr="002442CD" w14:paraId="7FDA5171" w14:textId="77777777" w:rsidTr="001F1D99">
        <w:tc>
          <w:tcPr>
            <w:tcW w:w="1298" w:type="dxa"/>
          </w:tcPr>
          <w:p w14:paraId="172DF816"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Election/</w:t>
            </w:r>
          </w:p>
          <w:p w14:paraId="5993111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Bargaining Unit </w:t>
            </w:r>
          </w:p>
        </w:tc>
        <w:tc>
          <w:tcPr>
            <w:tcW w:w="1169" w:type="dxa"/>
          </w:tcPr>
          <w:p w14:paraId="7A03D341" w14:textId="77777777" w:rsidR="0086288C" w:rsidRPr="00BF63DC" w:rsidRDefault="0086288C" w:rsidP="00BF63DC">
            <w:pPr>
              <w:ind w:firstLine="0"/>
              <w:rPr>
                <w:rFonts w:ascii="Times New Roman" w:hAnsi="Times New Roman"/>
                <w:sz w:val="16"/>
                <w:szCs w:val="16"/>
              </w:rPr>
            </w:pPr>
            <w:r w:rsidRPr="00BF63DC">
              <w:rPr>
                <w:rFonts w:ascii="Times New Roman" w:hAnsi="Times New Roman"/>
                <w:sz w:val="16"/>
                <w:szCs w:val="16"/>
              </w:rPr>
              <w:t>62</w:t>
            </w:r>
          </w:p>
        </w:tc>
        <w:tc>
          <w:tcPr>
            <w:tcW w:w="1182" w:type="dxa"/>
          </w:tcPr>
          <w:p w14:paraId="7FCC696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w:t>
            </w:r>
          </w:p>
        </w:tc>
        <w:tc>
          <w:tcPr>
            <w:tcW w:w="1230" w:type="dxa"/>
          </w:tcPr>
          <w:p w14:paraId="5FF3CFB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22</w:t>
            </w:r>
          </w:p>
        </w:tc>
        <w:tc>
          <w:tcPr>
            <w:tcW w:w="1260" w:type="dxa"/>
          </w:tcPr>
          <w:p w14:paraId="27743D6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43*</w:t>
            </w:r>
          </w:p>
        </w:tc>
        <w:tc>
          <w:tcPr>
            <w:tcW w:w="906" w:type="dxa"/>
          </w:tcPr>
          <w:p w14:paraId="316377EC"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86</w:t>
            </w:r>
          </w:p>
        </w:tc>
        <w:tc>
          <w:tcPr>
            <w:tcW w:w="1105" w:type="dxa"/>
          </w:tcPr>
          <w:p w14:paraId="4FFC6FB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81</w:t>
            </w:r>
          </w:p>
        </w:tc>
        <w:tc>
          <w:tcPr>
            <w:tcW w:w="1200" w:type="dxa"/>
          </w:tcPr>
          <w:p w14:paraId="225707F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62</w:t>
            </w:r>
          </w:p>
        </w:tc>
      </w:tr>
    </w:tbl>
    <w:p w14:paraId="448BEE61" w14:textId="77777777" w:rsidR="00A04719" w:rsidRDefault="00A04719" w:rsidP="00BF63DC">
      <w:pPr>
        <w:ind w:firstLine="0"/>
        <w:rPr>
          <w:rFonts w:ascii="Times New Roman" w:hAnsi="Times New Roman"/>
          <w:sz w:val="20"/>
        </w:rPr>
      </w:pPr>
    </w:p>
    <w:p w14:paraId="678705D6" w14:textId="77777777" w:rsidR="0086288C" w:rsidRPr="002442CD" w:rsidRDefault="0086288C" w:rsidP="00BF63DC">
      <w:pPr>
        <w:ind w:firstLine="0"/>
        <w:rPr>
          <w:rFonts w:ascii="Times New Roman" w:hAnsi="Times New Roman"/>
          <w:b/>
          <w:sz w:val="20"/>
        </w:rPr>
      </w:pPr>
      <w:r w:rsidRPr="002442CD">
        <w:rPr>
          <w:rFonts w:ascii="Times New Roman" w:hAnsi="Times New Roman"/>
          <w:b/>
          <w:sz w:val="20"/>
        </w:rPr>
        <w:lastRenderedPageBreak/>
        <w:t>Figure 1</w:t>
      </w:r>
    </w:p>
    <w:p w14:paraId="41F7CC77" w14:textId="3F3AE67C" w:rsidR="0086288C" w:rsidRPr="000410F3" w:rsidRDefault="0086288C" w:rsidP="0086288C">
      <w:pPr>
        <w:ind w:firstLine="720"/>
        <w:rPr>
          <w:rFonts w:ascii="Times New Roman" w:hAnsi="Times New Roman"/>
          <w:szCs w:val="24"/>
        </w:rPr>
      </w:pPr>
      <w:r w:rsidRPr="0086288C">
        <w:rPr>
          <w:rFonts w:ascii="Times New Roman" w:hAnsi="Times New Roman"/>
          <w:noProof/>
          <w:szCs w:val="24"/>
        </w:rPr>
        <w:drawing>
          <wp:inline distT="0" distB="0" distL="0" distR="0" wp14:anchorId="0010FF0C" wp14:editId="23C098AF">
            <wp:extent cx="3657600" cy="2679192"/>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28269040" w14:textId="77777777" w:rsidR="00A04719" w:rsidRDefault="00A04719" w:rsidP="0086288C">
      <w:pPr>
        <w:ind w:firstLine="720"/>
        <w:rPr>
          <w:rFonts w:ascii="Times New Roman" w:hAnsi="Times New Roman"/>
          <w:szCs w:val="24"/>
        </w:rPr>
      </w:pPr>
    </w:p>
    <w:p w14:paraId="5A6BD662"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In majority opinions, Board members cited to the text or engaged in some type of textual analysis about two-thirds of the time. However, the Board found the text to be the most important determinative factor in only 8% of cases. Even when advancing a “primarily textualist” interpretation, the Board did not rely solely on the text. In 60% of the “primary text” cases, the Board buttressed its textual argument by relying on legislative history. Moreover, in 90% of these same cases, the Board complemented its textual analysis by referring to policy considerations while in about 80% of the cases, the Board referenced practical implications of its rulings. The Board seems to engage in a textualist interpretation more in cases alleging abuses against unions than in cases alleging employer abuse or cases dealing with elections or bargaining unit determinations but the differences are not statistically significant. The Board used Latin/language canons in slightly less than a fifth of their cases. They used these canons more in election or bargaining unit cases, though again the differences between case types are not statistically significant. This result is not surprising because in many election or bargaining unit cases, the Board must determine who qualifies as an “employee” under the Act. The Board frequently uses language constructs to gauge whether or not someone is or is not an “employee.”</w:t>
      </w:r>
    </w:p>
    <w:p w14:paraId="760C4FAE"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The Board used non-textualist methods, at least in part, in about 95% of its decisions. In 39% of its decisions, the Board majority referred in part to legislative history. Indeed, the Board most frequently cited to legislative history in cases containing allegations of union abuses to a statistically significant degree at 90% confidence. The Taft-Hartley Act extended the Wagner Act’s prohibitions to unions, so legislative history on these </w:t>
      </w:r>
      <w:r w:rsidRPr="000410F3">
        <w:rPr>
          <w:rFonts w:ascii="Times New Roman" w:hAnsi="Times New Roman"/>
          <w:szCs w:val="24"/>
        </w:rPr>
        <w:lastRenderedPageBreak/>
        <w:t>provisions in particular is rich so this difference is not entirely unexpected. In cases alleging abuses by unions, as detailed more fully below, the Board sometimes used legislative history as the primary method of interpretation to serve as a limiting influence on the meaning of a given statutory term.</w:t>
      </w:r>
    </w:p>
    <w:p w14:paraId="5159BD7F" w14:textId="112E40A4"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 In addition, the Board also frequently r</w:t>
      </w:r>
      <w:r w:rsidR="004F1594">
        <w:rPr>
          <w:rFonts w:ascii="Times New Roman" w:hAnsi="Times New Roman"/>
          <w:szCs w:val="24"/>
        </w:rPr>
        <w:t>eferenced precedent, seeing</w:t>
      </w:r>
      <w:r w:rsidRPr="000410F3">
        <w:rPr>
          <w:rFonts w:ascii="Times New Roman" w:hAnsi="Times New Roman"/>
          <w:szCs w:val="24"/>
        </w:rPr>
        <w:t xml:space="preserve"> other caselaw as determinative or influential in the outcome in 90% of cases. Most frequently, the Board referenced other Board cases. A surprising number of interpretations, however, were influenced by either circuit court or Supreme Court precedent; indeed, in some cases, the court of appeals decision was determinative of the statutory construction. In 10% of cases, the Board basically mirrored the statutory construction given by an appeals court. Given the Board’s stated policy of nonacqueiscence, this finding is surprising. Moreover, the Board cited at least one Supreme Court decision as influencing its construction in almost 75% of cases.  </w:t>
      </w:r>
    </w:p>
    <w:p w14:paraId="7AC79191" w14:textId="36728D46" w:rsidR="0086288C" w:rsidRPr="000410F3" w:rsidRDefault="0086288C" w:rsidP="0086288C">
      <w:pPr>
        <w:ind w:firstLine="720"/>
        <w:rPr>
          <w:rFonts w:ascii="Times New Roman" w:hAnsi="Times New Roman"/>
          <w:szCs w:val="24"/>
        </w:rPr>
      </w:pPr>
      <w:r w:rsidRPr="000410F3">
        <w:rPr>
          <w:rFonts w:ascii="Times New Roman" w:hAnsi="Times New Roman"/>
          <w:szCs w:val="24"/>
        </w:rPr>
        <w:t>In addition to precedent, the Board frequently cited policy considerations. In nine out of ten cases, the Board voiced some sort of policy implication explicitly or implicitly, at least in part. Given that the Board is, at its heart, a policymaking body, it is of no surprise that policy considerations often animate choice where Congress left a discernible “gap” in the law. Finally, practical considerations also played some role in decision-making, especially in election representation and bargaining unit cases (56%). As detailed more fully below, these cases often concern broader issues than unfair labor practice cases</w:t>
      </w:r>
      <w:r w:rsidR="004F1594">
        <w:rPr>
          <w:rFonts w:ascii="Times New Roman" w:hAnsi="Times New Roman"/>
          <w:szCs w:val="24"/>
        </w:rPr>
        <w:t xml:space="preserve"> do</w:t>
      </w:r>
      <w:r w:rsidRPr="000410F3">
        <w:rPr>
          <w:rFonts w:ascii="Times New Roman" w:hAnsi="Times New Roman"/>
          <w:szCs w:val="24"/>
        </w:rPr>
        <w:t xml:space="preserve">. As an example, many of these cases dealt with who qualifies for protection under the NLRA, a conclusion that would have far-reaching implications about the reach of the Board’s jurisdiction into labor policymaking. As such, it is not surprising that in those cases in particular, the Board would often resort to consideration of practical implications, with about 62% of all cases referring to practical considerations at least in part. </w:t>
      </w:r>
    </w:p>
    <w:p w14:paraId="55285F1C" w14:textId="6DBC41CA" w:rsidR="0086288C" w:rsidRDefault="0086288C" w:rsidP="0086288C">
      <w:pPr>
        <w:ind w:firstLine="720"/>
        <w:rPr>
          <w:rFonts w:ascii="Times New Roman" w:hAnsi="Times New Roman"/>
          <w:szCs w:val="24"/>
        </w:rPr>
      </w:pPr>
      <w:r w:rsidRPr="000410F3">
        <w:rPr>
          <w:rFonts w:ascii="Times New Roman" w:hAnsi="Times New Roman"/>
          <w:szCs w:val="24"/>
        </w:rPr>
        <w:t>Additional tables and figures look at the data broken down by party of the panel and/or the presidential administration. Table 2 looks at the methodologies broken down by the majority party of the panel hearing the case.</w:t>
      </w:r>
      <w:r w:rsidRPr="000410F3">
        <w:rPr>
          <w:rStyle w:val="FootnoteReference"/>
          <w:rFonts w:ascii="Times New Roman" w:hAnsi="Times New Roman"/>
          <w:szCs w:val="24"/>
        </w:rPr>
        <w:footnoteReference w:id="184"/>
      </w:r>
      <w:r w:rsidRPr="000410F3">
        <w:rPr>
          <w:rFonts w:ascii="Times New Roman" w:hAnsi="Times New Roman"/>
          <w:szCs w:val="24"/>
        </w:rPr>
        <w:t xml:space="preserve"> During the entire period under study, 61% of the panels had Democratic-majorities and 40% had a Republican-majority. While Republican panels used legislative history, the Latin/language canons and precedent more than Democrats, the results were not statistically significant. Indeed, most striking is the fact that there are so few differences among based solely on party. Table 3 breaks down the data by the presidential administration. Although there seems to be a jump in the use of textualism starting </w:t>
      </w:r>
      <w:r>
        <w:rPr>
          <w:rFonts w:ascii="Times New Roman" w:hAnsi="Times New Roman"/>
          <w:szCs w:val="24"/>
        </w:rPr>
        <w:t xml:space="preserve">in </w:t>
      </w:r>
      <w:r w:rsidRPr="000410F3">
        <w:rPr>
          <w:rFonts w:ascii="Times New Roman" w:hAnsi="Times New Roman"/>
          <w:szCs w:val="24"/>
        </w:rPr>
        <w:t xml:space="preserve">the Bush II administration, the results are not statistically </w:t>
      </w:r>
      <w:r w:rsidRPr="000410F3">
        <w:rPr>
          <w:rFonts w:ascii="Times New Roman" w:hAnsi="Times New Roman"/>
          <w:szCs w:val="24"/>
        </w:rPr>
        <w:lastRenderedPageBreak/>
        <w:t>significant to a high degree of confidence. Table 4 and Figure 2 merges the data and looks at the data broken by both party and presidential administration. Of note is the fact that we see Democratic panels being more textualist over time, using such thing</w:t>
      </w:r>
      <w:r w:rsidR="004F1594">
        <w:rPr>
          <w:rFonts w:ascii="Times New Roman" w:hAnsi="Times New Roman"/>
          <w:szCs w:val="24"/>
        </w:rPr>
        <w:t>s as language or Latin canons. T</w:t>
      </w:r>
      <w:r w:rsidRPr="000410F3">
        <w:rPr>
          <w:rFonts w:ascii="Times New Roman" w:hAnsi="Times New Roman"/>
          <w:szCs w:val="24"/>
        </w:rPr>
        <w:t>his is an interesting finding considering the popular wisdom associating certain methodologies with ideological predispositions with Democrats being viewed as more purposive in approach.</w:t>
      </w:r>
      <w:r w:rsidRPr="000410F3">
        <w:rPr>
          <w:rStyle w:val="FootnoteReference"/>
          <w:rFonts w:ascii="Times New Roman" w:hAnsi="Times New Roman"/>
          <w:szCs w:val="24"/>
        </w:rPr>
        <w:footnoteReference w:id="185"/>
      </w:r>
      <w:r w:rsidRPr="000410F3">
        <w:rPr>
          <w:rFonts w:ascii="Times New Roman" w:hAnsi="Times New Roman"/>
          <w:szCs w:val="24"/>
        </w:rPr>
        <w:t xml:space="preserve"> We see a statistically significant increase in the use of both precedent and practical reasoning starting with the Bush administration. Both Democratic and Republican panels generally were more textualist during the Bush administration, with Republican panels being especially hospitable to using Latin or language canons or adopting a primarily textual approach, perhaps due to the fact they fac</w:t>
      </w:r>
      <w:r>
        <w:rPr>
          <w:rFonts w:ascii="Times New Roman" w:hAnsi="Times New Roman"/>
          <w:szCs w:val="24"/>
        </w:rPr>
        <w:t xml:space="preserve">ed a friendly administration. </w:t>
      </w:r>
      <w:r w:rsidRPr="000410F3">
        <w:rPr>
          <w:rFonts w:ascii="Times New Roman" w:hAnsi="Times New Roman"/>
          <w:szCs w:val="24"/>
        </w:rPr>
        <w:t>We also see a gradual increase in the use of precedent, policy and practical reasoning over time. Of note further is the fact that parties in power tend to use policy and practical reasoning to ground their statutory interpretations. These results of course must be taken with a grain of salt since the sample size is small but they nonetheless pose some interesting questions for future research about the amount of “control” that the presidential administration may pose for influencing interpretive methodology.</w:t>
      </w:r>
    </w:p>
    <w:p w14:paraId="6373FAEF" w14:textId="77777777" w:rsidR="00BF63DC" w:rsidRDefault="00BF63DC" w:rsidP="0086288C">
      <w:pPr>
        <w:rPr>
          <w:rFonts w:ascii="Times New Roman" w:hAnsi="Times New Roman"/>
          <w:szCs w:val="24"/>
        </w:rPr>
      </w:pPr>
    </w:p>
    <w:p w14:paraId="08D5A3B2" w14:textId="77777777" w:rsidR="0086288C" w:rsidRPr="00D46E4B" w:rsidRDefault="0086288C" w:rsidP="0086288C">
      <w:pPr>
        <w:rPr>
          <w:rFonts w:ascii="Times New Roman" w:hAnsi="Times New Roman"/>
          <w:b/>
          <w:sz w:val="20"/>
        </w:rPr>
      </w:pPr>
      <w:r w:rsidRPr="00D46E4B">
        <w:rPr>
          <w:rFonts w:ascii="Times New Roman" w:hAnsi="Times New Roman"/>
          <w:b/>
          <w:sz w:val="20"/>
        </w:rPr>
        <w:t>Table 2: Methods of Statutory Interpretation, by Majority Party (Percent)</w:t>
      </w:r>
    </w:p>
    <w:tbl>
      <w:tblPr>
        <w:tblStyle w:val="TableGrid"/>
        <w:tblW w:w="0" w:type="auto"/>
        <w:tblLook w:val="04A0" w:firstRow="1" w:lastRow="0" w:firstColumn="1" w:lastColumn="0" w:noHBand="0" w:noVBand="1"/>
      </w:tblPr>
      <w:tblGrid>
        <w:gridCol w:w="1059"/>
        <w:gridCol w:w="841"/>
        <w:gridCol w:w="866"/>
        <w:gridCol w:w="954"/>
        <w:gridCol w:w="1010"/>
        <w:gridCol w:w="903"/>
        <w:gridCol w:w="804"/>
        <w:gridCol w:w="897"/>
      </w:tblGrid>
      <w:tr w:rsidR="00BF63DC" w:rsidRPr="000410F3" w14:paraId="3BCB6E8F" w14:textId="77777777" w:rsidTr="001F1D99">
        <w:trPr>
          <w:trHeight w:val="728"/>
        </w:trPr>
        <w:tc>
          <w:tcPr>
            <w:tcW w:w="1285" w:type="dxa"/>
          </w:tcPr>
          <w:p w14:paraId="06F59412" w14:textId="77777777" w:rsidR="0086288C" w:rsidRPr="00BF63DC" w:rsidRDefault="0086288C" w:rsidP="0086288C">
            <w:pPr>
              <w:rPr>
                <w:rFonts w:ascii="Times New Roman" w:hAnsi="Times New Roman"/>
                <w:sz w:val="16"/>
                <w:szCs w:val="16"/>
              </w:rPr>
            </w:pPr>
          </w:p>
        </w:tc>
        <w:tc>
          <w:tcPr>
            <w:tcW w:w="1170" w:type="dxa"/>
          </w:tcPr>
          <w:p w14:paraId="163E370E" w14:textId="760999DE" w:rsidR="0086288C" w:rsidRPr="00BF63DC" w:rsidRDefault="00BF63DC" w:rsidP="00BF63DC">
            <w:pPr>
              <w:ind w:firstLine="0"/>
              <w:rPr>
                <w:rFonts w:ascii="Times New Roman" w:hAnsi="Times New Roman"/>
                <w:b/>
                <w:sz w:val="16"/>
                <w:szCs w:val="16"/>
              </w:rPr>
            </w:pPr>
            <w:r>
              <w:rPr>
                <w:rFonts w:ascii="Times New Roman" w:hAnsi="Times New Roman"/>
                <w:b/>
                <w:sz w:val="16"/>
                <w:szCs w:val="16"/>
              </w:rPr>
              <w:t xml:space="preserve">General </w:t>
            </w:r>
            <w:r w:rsidR="0086288C" w:rsidRPr="00BF63DC">
              <w:rPr>
                <w:rFonts w:ascii="Times New Roman" w:hAnsi="Times New Roman"/>
                <w:b/>
                <w:sz w:val="16"/>
                <w:szCs w:val="16"/>
              </w:rPr>
              <w:t>Text</w:t>
            </w:r>
          </w:p>
        </w:tc>
        <w:tc>
          <w:tcPr>
            <w:tcW w:w="1184" w:type="dxa"/>
          </w:tcPr>
          <w:p w14:paraId="6BD2D69F"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Primary</w:t>
            </w:r>
          </w:p>
          <w:p w14:paraId="128076FE"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Text</w:t>
            </w:r>
          </w:p>
        </w:tc>
        <w:tc>
          <w:tcPr>
            <w:tcW w:w="1231" w:type="dxa"/>
          </w:tcPr>
          <w:p w14:paraId="6561B108"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Latin and Language Canons</w:t>
            </w:r>
          </w:p>
        </w:tc>
        <w:tc>
          <w:tcPr>
            <w:tcW w:w="1261" w:type="dxa"/>
          </w:tcPr>
          <w:p w14:paraId="6FD17A0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Legislative History</w:t>
            </w:r>
          </w:p>
        </w:tc>
        <w:tc>
          <w:tcPr>
            <w:tcW w:w="910" w:type="dxa"/>
          </w:tcPr>
          <w:p w14:paraId="5243AE51"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Precedent</w:t>
            </w:r>
          </w:p>
        </w:tc>
        <w:tc>
          <w:tcPr>
            <w:tcW w:w="1108" w:type="dxa"/>
          </w:tcPr>
          <w:p w14:paraId="09834DCB"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Policy</w:t>
            </w:r>
          </w:p>
        </w:tc>
        <w:tc>
          <w:tcPr>
            <w:tcW w:w="1201" w:type="dxa"/>
          </w:tcPr>
          <w:p w14:paraId="0D4C1B9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Practical</w:t>
            </w:r>
          </w:p>
        </w:tc>
      </w:tr>
      <w:tr w:rsidR="00BF63DC" w:rsidRPr="000410F3" w14:paraId="7EFC6461" w14:textId="77777777" w:rsidTr="001F1D99">
        <w:tc>
          <w:tcPr>
            <w:tcW w:w="1285" w:type="dxa"/>
          </w:tcPr>
          <w:p w14:paraId="065D43B6"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Democratic </w:t>
            </w:r>
          </w:p>
        </w:tc>
        <w:tc>
          <w:tcPr>
            <w:tcW w:w="1170" w:type="dxa"/>
          </w:tcPr>
          <w:p w14:paraId="42FB55D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65</w:t>
            </w:r>
          </w:p>
        </w:tc>
        <w:tc>
          <w:tcPr>
            <w:tcW w:w="1184" w:type="dxa"/>
          </w:tcPr>
          <w:p w14:paraId="3F18DFD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7</w:t>
            </w:r>
          </w:p>
        </w:tc>
        <w:tc>
          <w:tcPr>
            <w:tcW w:w="1231" w:type="dxa"/>
          </w:tcPr>
          <w:p w14:paraId="3850009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15</w:t>
            </w:r>
          </w:p>
        </w:tc>
        <w:tc>
          <w:tcPr>
            <w:tcW w:w="1261" w:type="dxa"/>
          </w:tcPr>
          <w:p w14:paraId="70327CC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36</w:t>
            </w:r>
          </w:p>
        </w:tc>
        <w:tc>
          <w:tcPr>
            <w:tcW w:w="910" w:type="dxa"/>
          </w:tcPr>
          <w:p w14:paraId="5BE9269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88</w:t>
            </w:r>
          </w:p>
        </w:tc>
        <w:tc>
          <w:tcPr>
            <w:tcW w:w="1108" w:type="dxa"/>
          </w:tcPr>
          <w:p w14:paraId="1A7B7D4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86</w:t>
            </w:r>
          </w:p>
        </w:tc>
        <w:tc>
          <w:tcPr>
            <w:tcW w:w="1201" w:type="dxa"/>
          </w:tcPr>
          <w:p w14:paraId="0E80D1C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58</w:t>
            </w:r>
          </w:p>
        </w:tc>
      </w:tr>
      <w:tr w:rsidR="00BF63DC" w:rsidRPr="000410F3" w14:paraId="24045570" w14:textId="77777777" w:rsidTr="001F1D99">
        <w:trPr>
          <w:trHeight w:val="206"/>
        </w:trPr>
        <w:tc>
          <w:tcPr>
            <w:tcW w:w="1285" w:type="dxa"/>
          </w:tcPr>
          <w:p w14:paraId="33A3DA12"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Republican </w:t>
            </w:r>
          </w:p>
        </w:tc>
        <w:tc>
          <w:tcPr>
            <w:tcW w:w="1170" w:type="dxa"/>
          </w:tcPr>
          <w:p w14:paraId="2FF1AFB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61</w:t>
            </w:r>
          </w:p>
        </w:tc>
        <w:tc>
          <w:tcPr>
            <w:tcW w:w="1184" w:type="dxa"/>
          </w:tcPr>
          <w:p w14:paraId="65EDFA4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11</w:t>
            </w:r>
          </w:p>
        </w:tc>
        <w:tc>
          <w:tcPr>
            <w:tcW w:w="1231" w:type="dxa"/>
          </w:tcPr>
          <w:p w14:paraId="75A6917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20</w:t>
            </w:r>
          </w:p>
        </w:tc>
        <w:tc>
          <w:tcPr>
            <w:tcW w:w="1261" w:type="dxa"/>
          </w:tcPr>
          <w:p w14:paraId="122753C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45</w:t>
            </w:r>
          </w:p>
        </w:tc>
        <w:tc>
          <w:tcPr>
            <w:tcW w:w="910" w:type="dxa"/>
          </w:tcPr>
          <w:p w14:paraId="09C4DE9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96</w:t>
            </w:r>
          </w:p>
        </w:tc>
        <w:tc>
          <w:tcPr>
            <w:tcW w:w="1108" w:type="dxa"/>
          </w:tcPr>
          <w:p w14:paraId="609B3724"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87</w:t>
            </w:r>
          </w:p>
        </w:tc>
        <w:tc>
          <w:tcPr>
            <w:tcW w:w="1201" w:type="dxa"/>
          </w:tcPr>
          <w:p w14:paraId="3D9F517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54</w:t>
            </w:r>
          </w:p>
        </w:tc>
      </w:tr>
    </w:tbl>
    <w:p w14:paraId="554E670E" w14:textId="77777777" w:rsidR="0086288C" w:rsidRPr="000410F3" w:rsidRDefault="0086288C" w:rsidP="0086288C">
      <w:pPr>
        <w:rPr>
          <w:rFonts w:ascii="Times New Roman" w:hAnsi="Times New Roman"/>
          <w:szCs w:val="24"/>
        </w:rPr>
      </w:pPr>
    </w:p>
    <w:p w14:paraId="3BD454DC" w14:textId="77777777" w:rsidR="0086288C" w:rsidRPr="002442CD" w:rsidRDefault="0086288C" w:rsidP="0086288C">
      <w:pPr>
        <w:rPr>
          <w:rFonts w:ascii="Times New Roman" w:hAnsi="Times New Roman"/>
          <w:sz w:val="20"/>
        </w:rPr>
      </w:pPr>
      <w:r w:rsidRPr="002442CD">
        <w:rPr>
          <w:rFonts w:ascii="Times New Roman" w:hAnsi="Times New Roman"/>
          <w:b/>
          <w:sz w:val="20"/>
        </w:rPr>
        <w:t>Table 3: Methods of Statutory Interpretation, by Administration (Percent)</w:t>
      </w:r>
    </w:p>
    <w:tbl>
      <w:tblPr>
        <w:tblStyle w:val="TableGrid"/>
        <w:tblW w:w="0" w:type="auto"/>
        <w:tblLook w:val="04A0" w:firstRow="1" w:lastRow="0" w:firstColumn="1" w:lastColumn="0" w:noHBand="0" w:noVBand="1"/>
      </w:tblPr>
      <w:tblGrid>
        <w:gridCol w:w="834"/>
        <w:gridCol w:w="868"/>
        <w:gridCol w:w="962"/>
        <w:gridCol w:w="976"/>
        <w:gridCol w:w="1029"/>
        <w:gridCol w:w="913"/>
        <w:gridCol w:w="831"/>
        <w:gridCol w:w="921"/>
      </w:tblGrid>
      <w:tr w:rsidR="0086288C" w:rsidRPr="002442CD" w14:paraId="54FFD18C" w14:textId="77777777" w:rsidTr="001F1D99">
        <w:tc>
          <w:tcPr>
            <w:tcW w:w="1156" w:type="dxa"/>
          </w:tcPr>
          <w:p w14:paraId="5BC84E6B" w14:textId="77777777" w:rsidR="0086288C" w:rsidRPr="00BF63DC" w:rsidRDefault="0086288C" w:rsidP="0086288C">
            <w:pPr>
              <w:rPr>
                <w:rFonts w:ascii="Times New Roman" w:hAnsi="Times New Roman"/>
                <w:sz w:val="16"/>
                <w:szCs w:val="16"/>
              </w:rPr>
            </w:pPr>
          </w:p>
        </w:tc>
        <w:tc>
          <w:tcPr>
            <w:tcW w:w="1187" w:type="dxa"/>
          </w:tcPr>
          <w:p w14:paraId="2E753830"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General Text</w:t>
            </w:r>
          </w:p>
        </w:tc>
        <w:tc>
          <w:tcPr>
            <w:tcW w:w="1199" w:type="dxa"/>
          </w:tcPr>
          <w:p w14:paraId="61F950B1"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Primary</w:t>
            </w:r>
          </w:p>
          <w:p w14:paraId="34998C8A" w14:textId="77777777" w:rsidR="0086288C" w:rsidRPr="00BF63DC" w:rsidRDefault="0086288C" w:rsidP="0086288C">
            <w:pPr>
              <w:rPr>
                <w:rFonts w:ascii="Times New Roman" w:hAnsi="Times New Roman"/>
                <w:b/>
                <w:sz w:val="16"/>
                <w:szCs w:val="16"/>
              </w:rPr>
            </w:pPr>
            <w:r w:rsidRPr="00BF63DC">
              <w:rPr>
                <w:rFonts w:ascii="Times New Roman" w:hAnsi="Times New Roman"/>
                <w:b/>
                <w:sz w:val="16"/>
                <w:szCs w:val="16"/>
              </w:rPr>
              <w:t>Text</w:t>
            </w:r>
          </w:p>
        </w:tc>
        <w:tc>
          <w:tcPr>
            <w:tcW w:w="1241" w:type="dxa"/>
          </w:tcPr>
          <w:p w14:paraId="01B155BD"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Latin and Language Canons</w:t>
            </w:r>
          </w:p>
        </w:tc>
        <w:tc>
          <w:tcPr>
            <w:tcW w:w="1268" w:type="dxa"/>
          </w:tcPr>
          <w:p w14:paraId="0B32F1B4"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Legislative History</w:t>
            </w:r>
          </w:p>
        </w:tc>
        <w:tc>
          <w:tcPr>
            <w:tcW w:w="953" w:type="dxa"/>
          </w:tcPr>
          <w:p w14:paraId="3C6F4928"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Precedent</w:t>
            </w:r>
          </w:p>
        </w:tc>
        <w:tc>
          <w:tcPr>
            <w:tcW w:w="1131" w:type="dxa"/>
          </w:tcPr>
          <w:p w14:paraId="145647EF"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Policy</w:t>
            </w:r>
          </w:p>
        </w:tc>
        <w:tc>
          <w:tcPr>
            <w:tcW w:w="1215" w:type="dxa"/>
          </w:tcPr>
          <w:p w14:paraId="4D12602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Practical</w:t>
            </w:r>
          </w:p>
        </w:tc>
      </w:tr>
      <w:tr w:rsidR="0086288C" w:rsidRPr="002442CD" w14:paraId="6A59E2F4" w14:textId="77777777" w:rsidTr="001F1D99">
        <w:tc>
          <w:tcPr>
            <w:tcW w:w="1156" w:type="dxa"/>
          </w:tcPr>
          <w:p w14:paraId="7516BABA"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Clinton </w:t>
            </w:r>
          </w:p>
        </w:tc>
        <w:tc>
          <w:tcPr>
            <w:tcW w:w="1187" w:type="dxa"/>
          </w:tcPr>
          <w:p w14:paraId="04066DBB"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57</w:t>
            </w:r>
          </w:p>
        </w:tc>
        <w:tc>
          <w:tcPr>
            <w:tcW w:w="1199" w:type="dxa"/>
          </w:tcPr>
          <w:p w14:paraId="05AC51A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7</w:t>
            </w:r>
          </w:p>
        </w:tc>
        <w:tc>
          <w:tcPr>
            <w:tcW w:w="1241" w:type="dxa"/>
          </w:tcPr>
          <w:p w14:paraId="3EC5991C"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10*</w:t>
            </w:r>
          </w:p>
        </w:tc>
        <w:tc>
          <w:tcPr>
            <w:tcW w:w="1268" w:type="dxa"/>
          </w:tcPr>
          <w:p w14:paraId="3D8FA369"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38</w:t>
            </w:r>
          </w:p>
        </w:tc>
        <w:tc>
          <w:tcPr>
            <w:tcW w:w="953" w:type="dxa"/>
          </w:tcPr>
          <w:p w14:paraId="4A7CBD9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85*</w:t>
            </w:r>
          </w:p>
        </w:tc>
        <w:tc>
          <w:tcPr>
            <w:tcW w:w="1131" w:type="dxa"/>
          </w:tcPr>
          <w:p w14:paraId="2E836BBB"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85</w:t>
            </w:r>
          </w:p>
        </w:tc>
        <w:tc>
          <w:tcPr>
            <w:tcW w:w="1215" w:type="dxa"/>
          </w:tcPr>
          <w:p w14:paraId="02C8BF2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47*</w:t>
            </w:r>
          </w:p>
        </w:tc>
      </w:tr>
      <w:tr w:rsidR="0086288C" w:rsidRPr="002442CD" w14:paraId="28B8E8AD" w14:textId="77777777" w:rsidTr="001F1D99">
        <w:tc>
          <w:tcPr>
            <w:tcW w:w="1156" w:type="dxa"/>
          </w:tcPr>
          <w:p w14:paraId="156495CB"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Bush II </w:t>
            </w:r>
          </w:p>
        </w:tc>
        <w:tc>
          <w:tcPr>
            <w:tcW w:w="1187" w:type="dxa"/>
          </w:tcPr>
          <w:p w14:paraId="4ED34D7C"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68</w:t>
            </w:r>
          </w:p>
        </w:tc>
        <w:tc>
          <w:tcPr>
            <w:tcW w:w="1199" w:type="dxa"/>
          </w:tcPr>
          <w:p w14:paraId="1B50657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14</w:t>
            </w:r>
          </w:p>
        </w:tc>
        <w:tc>
          <w:tcPr>
            <w:tcW w:w="1241" w:type="dxa"/>
          </w:tcPr>
          <w:p w14:paraId="7652454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26*</w:t>
            </w:r>
          </w:p>
        </w:tc>
        <w:tc>
          <w:tcPr>
            <w:tcW w:w="1268" w:type="dxa"/>
          </w:tcPr>
          <w:p w14:paraId="4D38789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38</w:t>
            </w:r>
          </w:p>
        </w:tc>
        <w:tc>
          <w:tcPr>
            <w:tcW w:w="953" w:type="dxa"/>
          </w:tcPr>
          <w:p w14:paraId="0A7794A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97*</w:t>
            </w:r>
          </w:p>
        </w:tc>
        <w:tc>
          <w:tcPr>
            <w:tcW w:w="1131" w:type="dxa"/>
          </w:tcPr>
          <w:p w14:paraId="288D681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88</w:t>
            </w:r>
          </w:p>
        </w:tc>
        <w:tc>
          <w:tcPr>
            <w:tcW w:w="1215" w:type="dxa"/>
          </w:tcPr>
          <w:p w14:paraId="53DEE30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68*</w:t>
            </w:r>
          </w:p>
        </w:tc>
      </w:tr>
      <w:tr w:rsidR="0086288C" w:rsidRPr="002442CD" w14:paraId="4B69F551" w14:textId="77777777" w:rsidTr="001F1D99">
        <w:tc>
          <w:tcPr>
            <w:tcW w:w="1156" w:type="dxa"/>
          </w:tcPr>
          <w:p w14:paraId="58C2F9DB"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Obama </w:t>
            </w:r>
          </w:p>
        </w:tc>
        <w:tc>
          <w:tcPr>
            <w:tcW w:w="1187" w:type="dxa"/>
          </w:tcPr>
          <w:p w14:paraId="4AF82B9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67</w:t>
            </w:r>
          </w:p>
        </w:tc>
        <w:tc>
          <w:tcPr>
            <w:tcW w:w="1199" w:type="dxa"/>
          </w:tcPr>
          <w:p w14:paraId="2DAC077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w:t>
            </w:r>
          </w:p>
        </w:tc>
        <w:tc>
          <w:tcPr>
            <w:tcW w:w="1241" w:type="dxa"/>
          </w:tcPr>
          <w:p w14:paraId="3BA6ECAB"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17*</w:t>
            </w:r>
          </w:p>
        </w:tc>
        <w:tc>
          <w:tcPr>
            <w:tcW w:w="1268" w:type="dxa"/>
          </w:tcPr>
          <w:p w14:paraId="0DD23BC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42</w:t>
            </w:r>
          </w:p>
        </w:tc>
        <w:tc>
          <w:tcPr>
            <w:tcW w:w="953" w:type="dxa"/>
          </w:tcPr>
          <w:p w14:paraId="554D25F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95*</w:t>
            </w:r>
          </w:p>
        </w:tc>
        <w:tc>
          <w:tcPr>
            <w:tcW w:w="1131" w:type="dxa"/>
          </w:tcPr>
          <w:p w14:paraId="0BB5CC7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88</w:t>
            </w:r>
          </w:p>
        </w:tc>
        <w:tc>
          <w:tcPr>
            <w:tcW w:w="1215" w:type="dxa"/>
          </w:tcPr>
          <w:p w14:paraId="5872E938"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67*</w:t>
            </w:r>
          </w:p>
        </w:tc>
      </w:tr>
    </w:tbl>
    <w:p w14:paraId="3AF4F473" w14:textId="77777777" w:rsidR="0086288C" w:rsidRPr="002442CD" w:rsidRDefault="0086288C" w:rsidP="0086288C">
      <w:pPr>
        <w:rPr>
          <w:rFonts w:ascii="Times New Roman" w:hAnsi="Times New Roman"/>
          <w:sz w:val="20"/>
        </w:rPr>
      </w:pPr>
    </w:p>
    <w:p w14:paraId="6A78C236" w14:textId="77777777" w:rsidR="00A04719" w:rsidRDefault="00A04719" w:rsidP="0086288C">
      <w:pPr>
        <w:rPr>
          <w:rFonts w:ascii="Times New Roman" w:hAnsi="Times New Roman"/>
          <w:b/>
          <w:sz w:val="20"/>
        </w:rPr>
      </w:pPr>
    </w:p>
    <w:p w14:paraId="0E4087B1" w14:textId="77777777" w:rsidR="00CD3F94" w:rsidRDefault="00CD3F94" w:rsidP="0086288C">
      <w:pPr>
        <w:rPr>
          <w:rFonts w:ascii="Times New Roman" w:hAnsi="Times New Roman"/>
          <w:b/>
          <w:sz w:val="20"/>
        </w:rPr>
      </w:pPr>
    </w:p>
    <w:p w14:paraId="5CA251D0" w14:textId="77777777" w:rsidR="00CD3F94" w:rsidRDefault="00CD3F94" w:rsidP="0086288C">
      <w:pPr>
        <w:rPr>
          <w:rFonts w:ascii="Times New Roman" w:hAnsi="Times New Roman"/>
          <w:b/>
          <w:sz w:val="20"/>
        </w:rPr>
      </w:pPr>
    </w:p>
    <w:p w14:paraId="5A298176" w14:textId="77777777" w:rsidR="00CD3F94" w:rsidRDefault="00CD3F94" w:rsidP="0086288C">
      <w:pPr>
        <w:rPr>
          <w:rFonts w:ascii="Times New Roman" w:hAnsi="Times New Roman"/>
          <w:b/>
          <w:sz w:val="20"/>
        </w:rPr>
      </w:pPr>
    </w:p>
    <w:p w14:paraId="05587119" w14:textId="77777777" w:rsidR="00CD3F94" w:rsidRDefault="00CD3F94" w:rsidP="0086288C">
      <w:pPr>
        <w:rPr>
          <w:rFonts w:ascii="Times New Roman" w:hAnsi="Times New Roman"/>
          <w:b/>
          <w:sz w:val="20"/>
        </w:rPr>
      </w:pPr>
    </w:p>
    <w:p w14:paraId="2CF78EC5" w14:textId="77777777" w:rsidR="00CD3F94" w:rsidRDefault="00CD3F94" w:rsidP="0086288C">
      <w:pPr>
        <w:rPr>
          <w:rFonts w:ascii="Times New Roman" w:hAnsi="Times New Roman"/>
          <w:b/>
          <w:sz w:val="20"/>
        </w:rPr>
      </w:pPr>
    </w:p>
    <w:p w14:paraId="302CE85F" w14:textId="77777777" w:rsidR="00CD3F94" w:rsidRDefault="00CD3F94" w:rsidP="0086288C">
      <w:pPr>
        <w:rPr>
          <w:rFonts w:ascii="Times New Roman" w:hAnsi="Times New Roman"/>
          <w:b/>
          <w:sz w:val="20"/>
        </w:rPr>
      </w:pPr>
    </w:p>
    <w:p w14:paraId="6252B951" w14:textId="77777777" w:rsidR="0086288C" w:rsidRPr="002442CD" w:rsidRDefault="0086288C" w:rsidP="00291A11">
      <w:pPr>
        <w:ind w:firstLine="0"/>
        <w:rPr>
          <w:rFonts w:ascii="Times New Roman" w:hAnsi="Times New Roman"/>
          <w:b/>
          <w:sz w:val="20"/>
        </w:rPr>
      </w:pPr>
      <w:r w:rsidRPr="002442CD">
        <w:rPr>
          <w:rFonts w:ascii="Times New Roman" w:hAnsi="Times New Roman"/>
          <w:b/>
          <w:sz w:val="20"/>
        </w:rPr>
        <w:lastRenderedPageBreak/>
        <w:t>Table 4: Methods of Statutory Interpretation, by Majority Party of Panel and Administration (Percent)</w:t>
      </w:r>
    </w:p>
    <w:tbl>
      <w:tblPr>
        <w:tblStyle w:val="TableGrid"/>
        <w:tblW w:w="0" w:type="auto"/>
        <w:tblInd w:w="113" w:type="dxa"/>
        <w:tblLook w:val="04A0" w:firstRow="1" w:lastRow="0" w:firstColumn="1" w:lastColumn="0" w:noHBand="0" w:noVBand="1"/>
      </w:tblPr>
      <w:tblGrid>
        <w:gridCol w:w="1155"/>
        <w:gridCol w:w="836"/>
        <w:gridCol w:w="837"/>
        <w:gridCol w:w="912"/>
        <w:gridCol w:w="973"/>
        <w:gridCol w:w="901"/>
        <w:gridCol w:w="756"/>
        <w:gridCol w:w="851"/>
      </w:tblGrid>
      <w:tr w:rsidR="00BF63DC" w:rsidRPr="002442CD" w14:paraId="41C5029E" w14:textId="77777777" w:rsidTr="001F1D99">
        <w:tc>
          <w:tcPr>
            <w:tcW w:w="1441" w:type="dxa"/>
          </w:tcPr>
          <w:p w14:paraId="1A9C3497" w14:textId="77777777" w:rsidR="0086288C" w:rsidRPr="00BF63DC" w:rsidRDefault="0086288C" w:rsidP="0086288C">
            <w:pPr>
              <w:rPr>
                <w:rFonts w:ascii="Times New Roman" w:hAnsi="Times New Roman"/>
                <w:sz w:val="16"/>
                <w:szCs w:val="16"/>
              </w:rPr>
            </w:pPr>
          </w:p>
        </w:tc>
        <w:tc>
          <w:tcPr>
            <w:tcW w:w="1129" w:type="dxa"/>
          </w:tcPr>
          <w:p w14:paraId="759A485D"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General Text</w:t>
            </w:r>
          </w:p>
        </w:tc>
        <w:tc>
          <w:tcPr>
            <w:tcW w:w="1144" w:type="dxa"/>
          </w:tcPr>
          <w:p w14:paraId="3AD70AE0"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Primary</w:t>
            </w:r>
          </w:p>
          <w:p w14:paraId="66C90D36"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Text</w:t>
            </w:r>
          </w:p>
        </w:tc>
        <w:tc>
          <w:tcPr>
            <w:tcW w:w="1208" w:type="dxa"/>
          </w:tcPr>
          <w:p w14:paraId="4A0CC8A7"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Latin and Language Canons</w:t>
            </w:r>
          </w:p>
        </w:tc>
        <w:tc>
          <w:tcPr>
            <w:tcW w:w="1250" w:type="dxa"/>
          </w:tcPr>
          <w:p w14:paraId="677A880E"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Legislative History</w:t>
            </w:r>
          </w:p>
        </w:tc>
        <w:tc>
          <w:tcPr>
            <w:tcW w:w="847" w:type="dxa"/>
          </w:tcPr>
          <w:p w14:paraId="62C275AC"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Precedent</w:t>
            </w:r>
          </w:p>
        </w:tc>
        <w:tc>
          <w:tcPr>
            <w:tcW w:w="1050" w:type="dxa"/>
          </w:tcPr>
          <w:p w14:paraId="5929399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Policy</w:t>
            </w:r>
          </w:p>
        </w:tc>
        <w:tc>
          <w:tcPr>
            <w:tcW w:w="1168" w:type="dxa"/>
          </w:tcPr>
          <w:p w14:paraId="1D9394ED"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Practical</w:t>
            </w:r>
          </w:p>
        </w:tc>
      </w:tr>
      <w:tr w:rsidR="00BF63DC" w:rsidRPr="002442CD" w14:paraId="3B5FE553" w14:textId="77777777" w:rsidTr="001F1D99">
        <w:tc>
          <w:tcPr>
            <w:tcW w:w="1441" w:type="dxa"/>
          </w:tcPr>
          <w:p w14:paraId="3E023BEB"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Dem./Clinton </w:t>
            </w:r>
          </w:p>
        </w:tc>
        <w:tc>
          <w:tcPr>
            <w:tcW w:w="1129" w:type="dxa"/>
          </w:tcPr>
          <w:p w14:paraId="76C17C0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58</w:t>
            </w:r>
          </w:p>
        </w:tc>
        <w:tc>
          <w:tcPr>
            <w:tcW w:w="1144" w:type="dxa"/>
          </w:tcPr>
          <w:p w14:paraId="77BF708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w:t>
            </w:r>
          </w:p>
        </w:tc>
        <w:tc>
          <w:tcPr>
            <w:tcW w:w="1208" w:type="dxa"/>
          </w:tcPr>
          <w:p w14:paraId="064CEB8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11</w:t>
            </w:r>
          </w:p>
        </w:tc>
        <w:tc>
          <w:tcPr>
            <w:tcW w:w="1250" w:type="dxa"/>
          </w:tcPr>
          <w:p w14:paraId="4FF5211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34</w:t>
            </w:r>
          </w:p>
        </w:tc>
        <w:tc>
          <w:tcPr>
            <w:tcW w:w="847" w:type="dxa"/>
          </w:tcPr>
          <w:p w14:paraId="0A044BC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78</w:t>
            </w:r>
          </w:p>
        </w:tc>
        <w:tc>
          <w:tcPr>
            <w:tcW w:w="1050" w:type="dxa"/>
          </w:tcPr>
          <w:p w14:paraId="61DBB688"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89</w:t>
            </w:r>
          </w:p>
        </w:tc>
        <w:tc>
          <w:tcPr>
            <w:tcW w:w="1168" w:type="dxa"/>
          </w:tcPr>
          <w:p w14:paraId="44F663C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53</w:t>
            </w:r>
          </w:p>
        </w:tc>
      </w:tr>
      <w:tr w:rsidR="00BF63DC" w:rsidRPr="002442CD" w14:paraId="085B2270" w14:textId="77777777" w:rsidTr="00A04719">
        <w:trPr>
          <w:trHeight w:val="197"/>
        </w:trPr>
        <w:tc>
          <w:tcPr>
            <w:tcW w:w="1441" w:type="dxa"/>
          </w:tcPr>
          <w:p w14:paraId="68ED74EC"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Rep./Clinton</w:t>
            </w:r>
          </w:p>
        </w:tc>
        <w:tc>
          <w:tcPr>
            <w:tcW w:w="1129" w:type="dxa"/>
          </w:tcPr>
          <w:p w14:paraId="78AB5E6B"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56</w:t>
            </w:r>
          </w:p>
        </w:tc>
        <w:tc>
          <w:tcPr>
            <w:tcW w:w="1144" w:type="dxa"/>
          </w:tcPr>
          <w:p w14:paraId="61522328"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w:t>
            </w:r>
          </w:p>
        </w:tc>
        <w:tc>
          <w:tcPr>
            <w:tcW w:w="1208" w:type="dxa"/>
          </w:tcPr>
          <w:p w14:paraId="271BB224"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w:t>
            </w:r>
          </w:p>
        </w:tc>
        <w:tc>
          <w:tcPr>
            <w:tcW w:w="1250" w:type="dxa"/>
          </w:tcPr>
          <w:p w14:paraId="6C8DC52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43</w:t>
            </w:r>
          </w:p>
        </w:tc>
        <w:tc>
          <w:tcPr>
            <w:tcW w:w="847" w:type="dxa"/>
          </w:tcPr>
          <w:p w14:paraId="15D22EBC"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96</w:t>
            </w:r>
          </w:p>
        </w:tc>
        <w:tc>
          <w:tcPr>
            <w:tcW w:w="1050" w:type="dxa"/>
          </w:tcPr>
          <w:p w14:paraId="3B579E9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78</w:t>
            </w:r>
          </w:p>
        </w:tc>
        <w:tc>
          <w:tcPr>
            <w:tcW w:w="1168" w:type="dxa"/>
          </w:tcPr>
          <w:p w14:paraId="2B6CCF58"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39*</w:t>
            </w:r>
          </w:p>
        </w:tc>
      </w:tr>
      <w:tr w:rsidR="00BF63DC" w:rsidRPr="002442CD" w14:paraId="6493B092" w14:textId="77777777" w:rsidTr="001F1D99">
        <w:tc>
          <w:tcPr>
            <w:tcW w:w="1441" w:type="dxa"/>
          </w:tcPr>
          <w:p w14:paraId="2B44D065"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Dem. /Bush II</w:t>
            </w:r>
          </w:p>
        </w:tc>
        <w:tc>
          <w:tcPr>
            <w:tcW w:w="1129" w:type="dxa"/>
          </w:tcPr>
          <w:p w14:paraId="09FB84E4"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82*</w:t>
            </w:r>
          </w:p>
        </w:tc>
        <w:tc>
          <w:tcPr>
            <w:tcW w:w="1144" w:type="dxa"/>
          </w:tcPr>
          <w:p w14:paraId="1125DC4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w:t>
            </w:r>
          </w:p>
        </w:tc>
        <w:tc>
          <w:tcPr>
            <w:tcW w:w="1208" w:type="dxa"/>
          </w:tcPr>
          <w:p w14:paraId="74801AC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18</w:t>
            </w:r>
          </w:p>
        </w:tc>
        <w:tc>
          <w:tcPr>
            <w:tcW w:w="1250" w:type="dxa"/>
          </w:tcPr>
          <w:p w14:paraId="7191459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18*</w:t>
            </w:r>
          </w:p>
        </w:tc>
        <w:tc>
          <w:tcPr>
            <w:tcW w:w="847" w:type="dxa"/>
          </w:tcPr>
          <w:p w14:paraId="6D26F23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100</w:t>
            </w:r>
          </w:p>
        </w:tc>
        <w:tc>
          <w:tcPr>
            <w:tcW w:w="1050" w:type="dxa"/>
          </w:tcPr>
          <w:p w14:paraId="0A28064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72</w:t>
            </w:r>
          </w:p>
        </w:tc>
        <w:tc>
          <w:tcPr>
            <w:tcW w:w="1168" w:type="dxa"/>
          </w:tcPr>
          <w:p w14:paraId="3C85658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55</w:t>
            </w:r>
          </w:p>
        </w:tc>
      </w:tr>
      <w:tr w:rsidR="00BF63DC" w:rsidRPr="002442CD" w14:paraId="2A80B555" w14:textId="77777777" w:rsidTr="001F1D99">
        <w:trPr>
          <w:trHeight w:val="251"/>
        </w:trPr>
        <w:tc>
          <w:tcPr>
            <w:tcW w:w="1441" w:type="dxa"/>
          </w:tcPr>
          <w:p w14:paraId="10E9BF6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Rep./Bush II</w:t>
            </w:r>
          </w:p>
        </w:tc>
        <w:tc>
          <w:tcPr>
            <w:tcW w:w="1129" w:type="dxa"/>
          </w:tcPr>
          <w:p w14:paraId="7260E7F9"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67*</w:t>
            </w:r>
          </w:p>
        </w:tc>
        <w:tc>
          <w:tcPr>
            <w:tcW w:w="1144" w:type="dxa"/>
          </w:tcPr>
          <w:p w14:paraId="0AB02A94"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19*</w:t>
            </w:r>
          </w:p>
        </w:tc>
        <w:tc>
          <w:tcPr>
            <w:tcW w:w="1208" w:type="dxa"/>
          </w:tcPr>
          <w:p w14:paraId="235E31A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33*</w:t>
            </w:r>
          </w:p>
        </w:tc>
        <w:tc>
          <w:tcPr>
            <w:tcW w:w="1250" w:type="dxa"/>
          </w:tcPr>
          <w:p w14:paraId="6FA2BA5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43</w:t>
            </w:r>
          </w:p>
        </w:tc>
        <w:tc>
          <w:tcPr>
            <w:tcW w:w="847" w:type="dxa"/>
          </w:tcPr>
          <w:p w14:paraId="50D4698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95</w:t>
            </w:r>
          </w:p>
        </w:tc>
        <w:tc>
          <w:tcPr>
            <w:tcW w:w="1050" w:type="dxa"/>
          </w:tcPr>
          <w:p w14:paraId="7FE282D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95</w:t>
            </w:r>
          </w:p>
        </w:tc>
        <w:tc>
          <w:tcPr>
            <w:tcW w:w="1168" w:type="dxa"/>
          </w:tcPr>
          <w:p w14:paraId="2FC16D09"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71</w:t>
            </w:r>
          </w:p>
        </w:tc>
      </w:tr>
      <w:tr w:rsidR="00BF63DC" w:rsidRPr="002442CD" w14:paraId="6FFC6E4D" w14:textId="77777777" w:rsidTr="001F1D99">
        <w:tc>
          <w:tcPr>
            <w:tcW w:w="1441" w:type="dxa"/>
          </w:tcPr>
          <w:p w14:paraId="26B9472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Dem./Obama</w:t>
            </w:r>
          </w:p>
        </w:tc>
        <w:tc>
          <w:tcPr>
            <w:tcW w:w="1129" w:type="dxa"/>
          </w:tcPr>
          <w:p w14:paraId="2CEBBC19"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69</w:t>
            </w:r>
          </w:p>
        </w:tc>
        <w:tc>
          <w:tcPr>
            <w:tcW w:w="1144" w:type="dxa"/>
          </w:tcPr>
          <w:p w14:paraId="6A9BDA8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w:t>
            </w:r>
          </w:p>
        </w:tc>
        <w:tc>
          <w:tcPr>
            <w:tcW w:w="1208" w:type="dxa"/>
          </w:tcPr>
          <w:p w14:paraId="781A756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18</w:t>
            </w:r>
          </w:p>
        </w:tc>
        <w:tc>
          <w:tcPr>
            <w:tcW w:w="1250" w:type="dxa"/>
          </w:tcPr>
          <w:p w14:paraId="2A16075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42</w:t>
            </w:r>
          </w:p>
        </w:tc>
        <w:tc>
          <w:tcPr>
            <w:tcW w:w="847" w:type="dxa"/>
          </w:tcPr>
          <w:p w14:paraId="2A25882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100</w:t>
            </w:r>
          </w:p>
        </w:tc>
        <w:tc>
          <w:tcPr>
            <w:tcW w:w="1050" w:type="dxa"/>
          </w:tcPr>
          <w:p w14:paraId="7CE5F6D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90</w:t>
            </w:r>
          </w:p>
        </w:tc>
        <w:tc>
          <w:tcPr>
            <w:tcW w:w="1168" w:type="dxa"/>
          </w:tcPr>
          <w:p w14:paraId="1D3AB34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68</w:t>
            </w:r>
          </w:p>
        </w:tc>
      </w:tr>
      <w:tr w:rsidR="00BF63DC" w:rsidRPr="002442CD" w14:paraId="4AD831CF" w14:textId="77777777" w:rsidTr="001F1D99">
        <w:tc>
          <w:tcPr>
            <w:tcW w:w="1441" w:type="dxa"/>
          </w:tcPr>
          <w:p w14:paraId="42207310"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Rep./Obama</w:t>
            </w:r>
          </w:p>
        </w:tc>
        <w:tc>
          <w:tcPr>
            <w:tcW w:w="1129" w:type="dxa"/>
          </w:tcPr>
          <w:p w14:paraId="71EB06A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144" w:type="dxa"/>
          </w:tcPr>
          <w:p w14:paraId="606B065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208" w:type="dxa"/>
          </w:tcPr>
          <w:p w14:paraId="04DF112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250" w:type="dxa"/>
          </w:tcPr>
          <w:p w14:paraId="7CA1949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847" w:type="dxa"/>
          </w:tcPr>
          <w:p w14:paraId="5DCEC1D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100</w:t>
            </w:r>
          </w:p>
        </w:tc>
        <w:tc>
          <w:tcPr>
            <w:tcW w:w="1050" w:type="dxa"/>
          </w:tcPr>
          <w:p w14:paraId="5FEE621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168" w:type="dxa"/>
          </w:tcPr>
          <w:p w14:paraId="5735ED29"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r>
    </w:tbl>
    <w:p w14:paraId="79D93F23" w14:textId="77777777" w:rsidR="00A04719" w:rsidRDefault="00A04719" w:rsidP="00A04719">
      <w:pPr>
        <w:ind w:firstLine="0"/>
        <w:rPr>
          <w:rFonts w:ascii="Times New Roman" w:hAnsi="Times New Roman"/>
          <w:sz w:val="20"/>
        </w:rPr>
      </w:pPr>
    </w:p>
    <w:p w14:paraId="24711798" w14:textId="77777777" w:rsidR="0086288C" w:rsidRPr="00377AB4" w:rsidRDefault="0086288C" w:rsidP="00A04719">
      <w:pPr>
        <w:ind w:firstLine="0"/>
        <w:rPr>
          <w:rFonts w:ascii="Times New Roman" w:hAnsi="Times New Roman"/>
          <w:b/>
          <w:sz w:val="20"/>
        </w:rPr>
      </w:pPr>
      <w:r w:rsidRPr="00377AB4">
        <w:rPr>
          <w:rFonts w:ascii="Times New Roman" w:hAnsi="Times New Roman"/>
          <w:b/>
          <w:sz w:val="20"/>
        </w:rPr>
        <w:t>Figure 2</w:t>
      </w:r>
    </w:p>
    <w:p w14:paraId="21A2F192" w14:textId="0654CC25" w:rsidR="0086288C" w:rsidRPr="000410F3" w:rsidRDefault="0086288C" w:rsidP="0086288C">
      <w:pPr>
        <w:ind w:firstLine="720"/>
        <w:rPr>
          <w:rFonts w:ascii="Times New Roman" w:hAnsi="Times New Roman"/>
          <w:szCs w:val="24"/>
        </w:rPr>
      </w:pPr>
      <w:r w:rsidRPr="0086288C">
        <w:rPr>
          <w:rFonts w:ascii="Times New Roman" w:hAnsi="Times New Roman"/>
          <w:noProof/>
          <w:szCs w:val="24"/>
        </w:rPr>
        <w:drawing>
          <wp:inline distT="0" distB="0" distL="0" distR="0" wp14:anchorId="27151EA4" wp14:editId="56C1A826">
            <wp:extent cx="3657600" cy="2679192"/>
            <wp:effectExtent l="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35B84768" w14:textId="77777777" w:rsidR="00BD0E06" w:rsidRDefault="0086288C" w:rsidP="0086288C">
      <w:pPr>
        <w:ind w:firstLine="720"/>
        <w:rPr>
          <w:rFonts w:ascii="Times New Roman" w:hAnsi="Times New Roman"/>
          <w:szCs w:val="24"/>
        </w:rPr>
      </w:pPr>
      <w:r w:rsidRPr="000410F3">
        <w:rPr>
          <w:rFonts w:ascii="Times New Roman" w:hAnsi="Times New Roman"/>
          <w:szCs w:val="24"/>
        </w:rPr>
        <w:t xml:space="preserve">Table 5 and Figure 3 turn to detailing what was the single </w:t>
      </w:r>
      <w:r w:rsidRPr="000410F3">
        <w:rPr>
          <w:rFonts w:ascii="Times New Roman" w:hAnsi="Times New Roman"/>
          <w:i/>
          <w:szCs w:val="24"/>
        </w:rPr>
        <w:t>primary</w:t>
      </w:r>
      <w:r w:rsidRPr="000410F3">
        <w:rPr>
          <w:rFonts w:ascii="Times New Roman" w:hAnsi="Times New Roman"/>
          <w:szCs w:val="24"/>
        </w:rPr>
        <w:t xml:space="preserve"> method of interpretation in a given case. I assigned each </w:t>
      </w:r>
      <w:r w:rsidR="004F1594">
        <w:rPr>
          <w:rFonts w:ascii="Times New Roman" w:hAnsi="Times New Roman"/>
          <w:szCs w:val="24"/>
        </w:rPr>
        <w:t>case to one of five groups: 1) primarily textual; 2) text p</w:t>
      </w:r>
      <w:r w:rsidRPr="000410F3">
        <w:rPr>
          <w:rFonts w:ascii="Times New Roman" w:hAnsi="Times New Roman"/>
          <w:szCs w:val="24"/>
        </w:rPr>
        <w:t>lus (cases which may or may not also include considerations of policy or practical considerations but which rely first and foremost on the text and/or text</w:t>
      </w:r>
      <w:r w:rsidR="004F1594">
        <w:rPr>
          <w:rFonts w:ascii="Times New Roman" w:hAnsi="Times New Roman"/>
          <w:szCs w:val="24"/>
        </w:rPr>
        <w:t xml:space="preserve"> plus legislative history); 3) legislative history</w:t>
      </w:r>
      <w:r w:rsidRPr="000410F3">
        <w:rPr>
          <w:rFonts w:ascii="Times New Roman" w:hAnsi="Times New Roman"/>
          <w:szCs w:val="24"/>
        </w:rPr>
        <w:t xml:space="preserve"> (cases in which the Board reverts to using legislative history as the primary method to fill a gap in the law to construe a sta</w:t>
      </w:r>
      <w:r w:rsidR="004F1594">
        <w:rPr>
          <w:rFonts w:ascii="Times New Roman" w:hAnsi="Times New Roman"/>
          <w:szCs w:val="24"/>
        </w:rPr>
        <w:t>tute); 4) p</w:t>
      </w:r>
      <w:r w:rsidRPr="000410F3">
        <w:rPr>
          <w:rFonts w:ascii="Times New Roman" w:hAnsi="Times New Roman"/>
          <w:szCs w:val="24"/>
        </w:rPr>
        <w:t>recedent primary cases (cases in which the Board uses some combination of Board, circuit court or Supreme Court precedent as the anchor for their s</w:t>
      </w:r>
      <w:r w:rsidR="004F1594">
        <w:rPr>
          <w:rFonts w:ascii="Times New Roman" w:hAnsi="Times New Roman"/>
          <w:szCs w:val="24"/>
        </w:rPr>
        <w:t>tatutory construction); and 4) policy/b</w:t>
      </w:r>
      <w:r w:rsidRPr="000410F3">
        <w:rPr>
          <w:rFonts w:ascii="Times New Roman" w:hAnsi="Times New Roman"/>
          <w:szCs w:val="24"/>
        </w:rPr>
        <w:t xml:space="preserve">alance cases (cases in which the Board acknowledges that there is a gap in the law and the Board makes a policy-based decision either by balancing competing priorities or by considering various policy rationales and/or practical consequences to inform statutory meaning. I characterized a case as primarily textual as opposed to the second category of textual/legislative history/policy if the Board found the text to be dispositive of the issue in question. In most of these cases, the Board still referred to legislative history, policy and/or practical considerations, but the </w:t>
      </w:r>
      <w:r w:rsidRPr="000410F3">
        <w:rPr>
          <w:rFonts w:ascii="Times New Roman" w:hAnsi="Times New Roman"/>
          <w:szCs w:val="24"/>
        </w:rPr>
        <w:lastRenderedPageBreak/>
        <w:t xml:space="preserve">references to these methods was supplementary rather than necessitated as part of the statutory interpretation. </w:t>
      </w:r>
    </w:p>
    <w:p w14:paraId="30E0A3CA" w14:textId="77777777" w:rsidR="007D5F72" w:rsidRDefault="007D5F72" w:rsidP="007D5F72">
      <w:pPr>
        <w:rPr>
          <w:rFonts w:ascii="Times New Roman" w:hAnsi="Times New Roman"/>
          <w:szCs w:val="24"/>
        </w:rPr>
      </w:pPr>
    </w:p>
    <w:p w14:paraId="351C455F" w14:textId="1F27C6E0" w:rsidR="007D5F72" w:rsidRPr="003D187A" w:rsidRDefault="007D5F72" w:rsidP="007D5F72">
      <w:pPr>
        <w:ind w:firstLine="0"/>
        <w:rPr>
          <w:rFonts w:ascii="Times New Roman" w:hAnsi="Times New Roman"/>
          <w:szCs w:val="24"/>
        </w:rPr>
      </w:pPr>
      <w:r w:rsidRPr="00912501">
        <w:rPr>
          <w:rFonts w:ascii="Times New Roman" w:hAnsi="Times New Roman"/>
          <w:b/>
          <w:sz w:val="20"/>
          <w:szCs w:val="24"/>
        </w:rPr>
        <w:t>Table 5: Primary Method of Statutory Interpretation</w:t>
      </w:r>
      <w:r>
        <w:rPr>
          <w:rFonts w:ascii="Times New Roman" w:hAnsi="Times New Roman"/>
          <w:b/>
          <w:sz w:val="20"/>
          <w:szCs w:val="24"/>
        </w:rPr>
        <w:t xml:space="preserve">, by Party of Majority Panel </w:t>
      </w:r>
      <w:r w:rsidRPr="00912501">
        <w:rPr>
          <w:rFonts w:ascii="Times New Roman" w:hAnsi="Times New Roman"/>
          <w:b/>
          <w:sz w:val="20"/>
          <w:szCs w:val="24"/>
        </w:rPr>
        <w:t>(Percent)</w:t>
      </w:r>
    </w:p>
    <w:tbl>
      <w:tblPr>
        <w:tblStyle w:val="TableGrid"/>
        <w:tblW w:w="0" w:type="auto"/>
        <w:tblLook w:val="04A0" w:firstRow="1" w:lastRow="0" w:firstColumn="1" w:lastColumn="0" w:noHBand="0" w:noVBand="1"/>
      </w:tblPr>
      <w:tblGrid>
        <w:gridCol w:w="1725"/>
        <w:gridCol w:w="1612"/>
        <w:gridCol w:w="2029"/>
        <w:gridCol w:w="1968"/>
      </w:tblGrid>
      <w:tr w:rsidR="007D5F72" w:rsidRPr="00912501" w14:paraId="77DAF6AE" w14:textId="77777777" w:rsidTr="005E4E53">
        <w:tc>
          <w:tcPr>
            <w:tcW w:w="2337" w:type="dxa"/>
          </w:tcPr>
          <w:p w14:paraId="189E2BED" w14:textId="77777777" w:rsidR="007D5F72" w:rsidRPr="00912501" w:rsidRDefault="007D5F72" w:rsidP="005E4E53">
            <w:pPr>
              <w:rPr>
                <w:rFonts w:ascii="Times New Roman" w:hAnsi="Times New Roman"/>
                <w:sz w:val="20"/>
              </w:rPr>
            </w:pPr>
          </w:p>
        </w:tc>
        <w:tc>
          <w:tcPr>
            <w:tcW w:w="2337" w:type="dxa"/>
          </w:tcPr>
          <w:p w14:paraId="0707D17B" w14:textId="77777777" w:rsidR="007D5F72" w:rsidRPr="00912501" w:rsidRDefault="007D5F72" w:rsidP="005E4E53">
            <w:pPr>
              <w:rPr>
                <w:rFonts w:ascii="Times New Roman" w:hAnsi="Times New Roman"/>
                <w:b/>
                <w:sz w:val="20"/>
              </w:rPr>
            </w:pPr>
            <w:r w:rsidRPr="00912501">
              <w:rPr>
                <w:rFonts w:ascii="Times New Roman" w:hAnsi="Times New Roman"/>
                <w:b/>
                <w:sz w:val="20"/>
              </w:rPr>
              <w:t>Primarily Text</w:t>
            </w:r>
          </w:p>
        </w:tc>
        <w:tc>
          <w:tcPr>
            <w:tcW w:w="2338" w:type="dxa"/>
          </w:tcPr>
          <w:p w14:paraId="51FC1FDE" w14:textId="77777777" w:rsidR="007D5F72" w:rsidRPr="00912501" w:rsidRDefault="007D5F72" w:rsidP="005E4E53">
            <w:pPr>
              <w:rPr>
                <w:rFonts w:ascii="Times New Roman" w:hAnsi="Times New Roman"/>
                <w:b/>
                <w:sz w:val="20"/>
              </w:rPr>
            </w:pPr>
            <w:r w:rsidRPr="00912501">
              <w:rPr>
                <w:rFonts w:ascii="Times New Roman" w:hAnsi="Times New Roman"/>
                <w:b/>
                <w:sz w:val="20"/>
              </w:rPr>
              <w:t>Text/Legislative History +</w:t>
            </w:r>
          </w:p>
        </w:tc>
        <w:tc>
          <w:tcPr>
            <w:tcW w:w="2338" w:type="dxa"/>
          </w:tcPr>
          <w:p w14:paraId="505F6CBA" w14:textId="77777777" w:rsidR="007D5F72" w:rsidRPr="00912501" w:rsidRDefault="007D5F72" w:rsidP="005E4E53">
            <w:pPr>
              <w:rPr>
                <w:rFonts w:ascii="Times New Roman" w:hAnsi="Times New Roman"/>
                <w:b/>
                <w:sz w:val="20"/>
              </w:rPr>
            </w:pPr>
            <w:r w:rsidRPr="00912501">
              <w:rPr>
                <w:rFonts w:ascii="Times New Roman" w:hAnsi="Times New Roman"/>
                <w:b/>
                <w:sz w:val="20"/>
              </w:rPr>
              <w:t>Policy/Caselaw</w:t>
            </w:r>
          </w:p>
        </w:tc>
      </w:tr>
      <w:tr w:rsidR="007D5F72" w:rsidRPr="00912501" w14:paraId="67BF04D2" w14:textId="77777777" w:rsidTr="005E4E53">
        <w:tc>
          <w:tcPr>
            <w:tcW w:w="2337" w:type="dxa"/>
          </w:tcPr>
          <w:p w14:paraId="26366C9F" w14:textId="77777777" w:rsidR="007D5F72" w:rsidRPr="00912501" w:rsidRDefault="007D5F72" w:rsidP="005E4E53">
            <w:pPr>
              <w:rPr>
                <w:rFonts w:ascii="Times New Roman" w:hAnsi="Times New Roman"/>
                <w:b/>
                <w:sz w:val="20"/>
              </w:rPr>
            </w:pPr>
            <w:r w:rsidRPr="00912501">
              <w:rPr>
                <w:rFonts w:ascii="Times New Roman" w:hAnsi="Times New Roman"/>
                <w:b/>
                <w:sz w:val="20"/>
              </w:rPr>
              <w:t>All Cases</w:t>
            </w:r>
          </w:p>
        </w:tc>
        <w:tc>
          <w:tcPr>
            <w:tcW w:w="2337" w:type="dxa"/>
          </w:tcPr>
          <w:p w14:paraId="10F1C989" w14:textId="77777777" w:rsidR="007D5F72" w:rsidRPr="00912501" w:rsidRDefault="007D5F72" w:rsidP="005E4E53">
            <w:pPr>
              <w:rPr>
                <w:rFonts w:ascii="Times New Roman" w:hAnsi="Times New Roman"/>
                <w:sz w:val="20"/>
              </w:rPr>
            </w:pPr>
            <w:r w:rsidRPr="00912501">
              <w:rPr>
                <w:rFonts w:ascii="Times New Roman" w:hAnsi="Times New Roman"/>
                <w:sz w:val="20"/>
              </w:rPr>
              <w:t>20</w:t>
            </w:r>
          </w:p>
        </w:tc>
        <w:tc>
          <w:tcPr>
            <w:tcW w:w="2338" w:type="dxa"/>
          </w:tcPr>
          <w:p w14:paraId="26CD41F8" w14:textId="77777777" w:rsidR="007D5F72" w:rsidRPr="00912501" w:rsidRDefault="007D5F72" w:rsidP="005E4E53">
            <w:pPr>
              <w:rPr>
                <w:rFonts w:ascii="Times New Roman" w:hAnsi="Times New Roman"/>
                <w:sz w:val="20"/>
              </w:rPr>
            </w:pPr>
            <w:r w:rsidRPr="00912501">
              <w:rPr>
                <w:rFonts w:ascii="Times New Roman" w:hAnsi="Times New Roman"/>
                <w:sz w:val="20"/>
              </w:rPr>
              <w:t>26</w:t>
            </w:r>
          </w:p>
        </w:tc>
        <w:tc>
          <w:tcPr>
            <w:tcW w:w="2338" w:type="dxa"/>
          </w:tcPr>
          <w:p w14:paraId="2B689F96" w14:textId="77777777" w:rsidR="007D5F72" w:rsidRPr="00912501" w:rsidRDefault="007D5F72" w:rsidP="005E4E53">
            <w:pPr>
              <w:rPr>
                <w:rFonts w:ascii="Times New Roman" w:hAnsi="Times New Roman"/>
                <w:sz w:val="20"/>
              </w:rPr>
            </w:pPr>
            <w:r w:rsidRPr="00912501">
              <w:rPr>
                <w:rFonts w:ascii="Times New Roman" w:hAnsi="Times New Roman"/>
                <w:sz w:val="20"/>
              </w:rPr>
              <w:t>54</w:t>
            </w:r>
          </w:p>
        </w:tc>
      </w:tr>
      <w:tr w:rsidR="007D5F72" w:rsidRPr="00912501" w14:paraId="54826CCE" w14:textId="77777777" w:rsidTr="005E4E53">
        <w:tc>
          <w:tcPr>
            <w:tcW w:w="2337" w:type="dxa"/>
          </w:tcPr>
          <w:p w14:paraId="2628E97F" w14:textId="77777777" w:rsidR="007D5F72" w:rsidRPr="00912501" w:rsidRDefault="007D5F72" w:rsidP="005E4E53">
            <w:pPr>
              <w:rPr>
                <w:rFonts w:ascii="Times New Roman" w:hAnsi="Times New Roman"/>
                <w:b/>
                <w:sz w:val="20"/>
              </w:rPr>
            </w:pPr>
            <w:r>
              <w:rPr>
                <w:rFonts w:ascii="Times New Roman" w:hAnsi="Times New Roman"/>
                <w:b/>
                <w:sz w:val="20"/>
              </w:rPr>
              <w:t>Democrat</w:t>
            </w:r>
          </w:p>
        </w:tc>
        <w:tc>
          <w:tcPr>
            <w:tcW w:w="2337" w:type="dxa"/>
          </w:tcPr>
          <w:p w14:paraId="0A92749F" w14:textId="77777777" w:rsidR="007D5F72" w:rsidRPr="00912501" w:rsidRDefault="007D5F72" w:rsidP="005E4E53">
            <w:pPr>
              <w:rPr>
                <w:rFonts w:ascii="Times New Roman" w:hAnsi="Times New Roman"/>
                <w:sz w:val="20"/>
              </w:rPr>
            </w:pPr>
            <w:r w:rsidRPr="00912501">
              <w:rPr>
                <w:rFonts w:ascii="Times New Roman" w:hAnsi="Times New Roman"/>
                <w:sz w:val="20"/>
              </w:rPr>
              <w:t>20</w:t>
            </w:r>
          </w:p>
        </w:tc>
        <w:tc>
          <w:tcPr>
            <w:tcW w:w="2338" w:type="dxa"/>
          </w:tcPr>
          <w:p w14:paraId="2F90B62E" w14:textId="77777777" w:rsidR="007D5F72" w:rsidRPr="00912501" w:rsidRDefault="007D5F72" w:rsidP="005E4E53">
            <w:pPr>
              <w:rPr>
                <w:rFonts w:ascii="Times New Roman" w:hAnsi="Times New Roman"/>
                <w:sz w:val="20"/>
              </w:rPr>
            </w:pPr>
            <w:r w:rsidRPr="00912501">
              <w:rPr>
                <w:rFonts w:ascii="Times New Roman" w:hAnsi="Times New Roman"/>
                <w:sz w:val="20"/>
              </w:rPr>
              <w:t>25</w:t>
            </w:r>
          </w:p>
        </w:tc>
        <w:tc>
          <w:tcPr>
            <w:tcW w:w="2338" w:type="dxa"/>
          </w:tcPr>
          <w:p w14:paraId="5DA9C1F3" w14:textId="77777777" w:rsidR="007D5F72" w:rsidRPr="00912501" w:rsidRDefault="007D5F72" w:rsidP="005E4E53">
            <w:pPr>
              <w:rPr>
                <w:rFonts w:ascii="Times New Roman" w:hAnsi="Times New Roman"/>
                <w:sz w:val="20"/>
              </w:rPr>
            </w:pPr>
            <w:r w:rsidRPr="00912501">
              <w:rPr>
                <w:rFonts w:ascii="Times New Roman" w:hAnsi="Times New Roman"/>
                <w:sz w:val="20"/>
              </w:rPr>
              <w:t>54</w:t>
            </w:r>
          </w:p>
        </w:tc>
      </w:tr>
      <w:tr w:rsidR="007D5F72" w:rsidRPr="00912501" w14:paraId="1816AB30" w14:textId="77777777" w:rsidTr="005E4E53">
        <w:tc>
          <w:tcPr>
            <w:tcW w:w="2337" w:type="dxa"/>
          </w:tcPr>
          <w:p w14:paraId="2A94F966" w14:textId="77777777" w:rsidR="007D5F72" w:rsidRPr="00912501" w:rsidRDefault="007D5F72" w:rsidP="005E4E53">
            <w:pPr>
              <w:rPr>
                <w:rFonts w:ascii="Times New Roman" w:hAnsi="Times New Roman"/>
                <w:b/>
                <w:sz w:val="20"/>
              </w:rPr>
            </w:pPr>
            <w:r>
              <w:rPr>
                <w:rFonts w:ascii="Times New Roman" w:hAnsi="Times New Roman"/>
                <w:b/>
                <w:sz w:val="20"/>
              </w:rPr>
              <w:t>Republican</w:t>
            </w:r>
          </w:p>
        </w:tc>
        <w:tc>
          <w:tcPr>
            <w:tcW w:w="2337" w:type="dxa"/>
          </w:tcPr>
          <w:p w14:paraId="30307A60" w14:textId="77777777" w:rsidR="007D5F72" w:rsidRPr="00912501" w:rsidRDefault="007D5F72" w:rsidP="005E4E53">
            <w:pPr>
              <w:rPr>
                <w:rFonts w:ascii="Times New Roman" w:hAnsi="Times New Roman"/>
                <w:sz w:val="20"/>
              </w:rPr>
            </w:pPr>
            <w:r w:rsidRPr="00912501">
              <w:rPr>
                <w:rFonts w:ascii="Times New Roman" w:hAnsi="Times New Roman"/>
                <w:sz w:val="20"/>
              </w:rPr>
              <w:t>18</w:t>
            </w:r>
          </w:p>
        </w:tc>
        <w:tc>
          <w:tcPr>
            <w:tcW w:w="2338" w:type="dxa"/>
          </w:tcPr>
          <w:p w14:paraId="4ED370D1" w14:textId="77777777" w:rsidR="007D5F72" w:rsidRPr="00912501" w:rsidRDefault="007D5F72" w:rsidP="005E4E53">
            <w:pPr>
              <w:rPr>
                <w:rFonts w:ascii="Times New Roman" w:hAnsi="Times New Roman"/>
                <w:sz w:val="20"/>
              </w:rPr>
            </w:pPr>
            <w:r w:rsidRPr="00912501">
              <w:rPr>
                <w:rFonts w:ascii="Times New Roman" w:hAnsi="Times New Roman"/>
                <w:sz w:val="20"/>
              </w:rPr>
              <w:t>30</w:t>
            </w:r>
          </w:p>
        </w:tc>
        <w:tc>
          <w:tcPr>
            <w:tcW w:w="2338" w:type="dxa"/>
          </w:tcPr>
          <w:p w14:paraId="209BE7C1" w14:textId="77777777" w:rsidR="007D5F72" w:rsidRPr="00912501" w:rsidRDefault="007D5F72" w:rsidP="005E4E53">
            <w:pPr>
              <w:rPr>
                <w:rFonts w:ascii="Times New Roman" w:hAnsi="Times New Roman"/>
                <w:sz w:val="20"/>
              </w:rPr>
            </w:pPr>
            <w:r w:rsidRPr="00912501">
              <w:rPr>
                <w:rFonts w:ascii="Times New Roman" w:hAnsi="Times New Roman"/>
                <w:sz w:val="20"/>
              </w:rPr>
              <w:t>51</w:t>
            </w:r>
          </w:p>
        </w:tc>
      </w:tr>
    </w:tbl>
    <w:p w14:paraId="34F84FDB" w14:textId="77777777" w:rsidR="007D5F72" w:rsidRDefault="007D5F72" w:rsidP="007D5F72">
      <w:pPr>
        <w:ind w:firstLine="0"/>
        <w:rPr>
          <w:rFonts w:ascii="Times New Roman" w:hAnsi="Times New Roman"/>
          <w:szCs w:val="24"/>
        </w:rPr>
      </w:pPr>
    </w:p>
    <w:p w14:paraId="31A1C3C1" w14:textId="0C78A6A1" w:rsidR="003D1E8D" w:rsidRPr="003D1E8D" w:rsidRDefault="003D1E8D" w:rsidP="003D1E8D">
      <w:pPr>
        <w:ind w:firstLine="0"/>
        <w:rPr>
          <w:rFonts w:ascii="Times New Roman" w:hAnsi="Times New Roman"/>
          <w:b/>
          <w:sz w:val="20"/>
        </w:rPr>
      </w:pPr>
      <w:r w:rsidRPr="003D1E8D">
        <w:rPr>
          <w:rFonts w:ascii="Times New Roman" w:hAnsi="Times New Roman"/>
          <w:b/>
          <w:sz w:val="20"/>
        </w:rPr>
        <w:t>Figure 3</w:t>
      </w:r>
    </w:p>
    <w:p w14:paraId="25DF8EDE" w14:textId="77777777" w:rsidR="003D1E8D" w:rsidRDefault="003D1E8D" w:rsidP="003D1E8D">
      <w:pPr>
        <w:ind w:firstLine="0"/>
        <w:rPr>
          <w:rFonts w:ascii="Times New Roman" w:hAnsi="Times New Roman"/>
          <w:szCs w:val="24"/>
        </w:rPr>
      </w:pPr>
    </w:p>
    <w:p w14:paraId="0B9D2903" w14:textId="273B063F" w:rsidR="003D1E8D" w:rsidRDefault="003D1E8D" w:rsidP="003D1E8D">
      <w:pPr>
        <w:ind w:firstLine="0"/>
        <w:rPr>
          <w:rFonts w:ascii="Times New Roman" w:hAnsi="Times New Roman"/>
          <w:szCs w:val="24"/>
        </w:rPr>
      </w:pPr>
      <w:r w:rsidRPr="0086288C">
        <w:rPr>
          <w:rFonts w:ascii="Times New Roman" w:hAnsi="Times New Roman"/>
          <w:noProof/>
          <w:szCs w:val="24"/>
        </w:rPr>
        <w:drawing>
          <wp:inline distT="0" distB="0" distL="0" distR="0" wp14:anchorId="1E6B7488" wp14:editId="1B62507D">
            <wp:extent cx="3657600" cy="2679192"/>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031A2F3B" w14:textId="65345BE0" w:rsidR="0086288C" w:rsidRDefault="0086288C" w:rsidP="0086288C">
      <w:pPr>
        <w:ind w:firstLine="720"/>
        <w:rPr>
          <w:rFonts w:ascii="Times New Roman" w:hAnsi="Times New Roman"/>
          <w:szCs w:val="24"/>
        </w:rPr>
      </w:pPr>
      <w:r w:rsidRPr="000410F3">
        <w:rPr>
          <w:rFonts w:ascii="Times New Roman" w:hAnsi="Times New Roman"/>
          <w:szCs w:val="24"/>
        </w:rPr>
        <w:t xml:space="preserve">In all, relying on precedent was the most common tool for interpretation (37%), followed by a policy-based approach (30%). When relying on precedent, the Board most frequently embarked on a precedent-based approach combined with policymaking (17%); in only 6%, the Board used a strict Board precedent approach while in 11% of cases, the Board used Supreme Court or circuit precedent as the determinative or sole factor in its analysis. In about a quarter of cases, the Board relied on a textual analysis, though the text alone proved to be definitive in the Board’s mind in only 7% of cases while a mixed method approach relying </w:t>
      </w:r>
      <w:r w:rsidR="004F1594">
        <w:rPr>
          <w:rFonts w:ascii="Times New Roman" w:hAnsi="Times New Roman"/>
          <w:szCs w:val="24"/>
        </w:rPr>
        <w:t xml:space="preserve">on </w:t>
      </w:r>
      <w:r w:rsidRPr="000410F3">
        <w:rPr>
          <w:rFonts w:ascii="Times New Roman" w:hAnsi="Times New Roman"/>
          <w:szCs w:val="24"/>
        </w:rPr>
        <w:t>the text and legislative history or po</w:t>
      </w:r>
      <w:r w:rsidR="004F1594">
        <w:rPr>
          <w:rFonts w:ascii="Times New Roman" w:hAnsi="Times New Roman"/>
          <w:szCs w:val="24"/>
        </w:rPr>
        <w:t>licy concerns animated decision-</w:t>
      </w:r>
      <w:r w:rsidRPr="000410F3">
        <w:rPr>
          <w:rFonts w:ascii="Times New Roman" w:hAnsi="Times New Roman"/>
          <w:szCs w:val="24"/>
        </w:rPr>
        <w:t>making in 19% of cases. While Republican Boards were more likely to use a primarily text based approach, we see Democratic Boards more likely to use th</w:t>
      </w:r>
      <w:r>
        <w:rPr>
          <w:rFonts w:ascii="Times New Roman" w:hAnsi="Times New Roman"/>
          <w:szCs w:val="24"/>
        </w:rPr>
        <w:t>e text p</w:t>
      </w:r>
      <w:r w:rsidRPr="000410F3">
        <w:rPr>
          <w:rFonts w:ascii="Times New Roman" w:hAnsi="Times New Roman"/>
          <w:szCs w:val="24"/>
        </w:rPr>
        <w:t xml:space="preserve">lus analysis, looking at policy and legislative history in addition to text, a result that is statistically significant at 95% confidence. Finally, we see that the Board resorted to legislative history as the definitive source for interpreting the statute in about </w:t>
      </w:r>
      <w:r w:rsidRPr="000410F3">
        <w:rPr>
          <w:rFonts w:ascii="Times New Roman" w:hAnsi="Times New Roman"/>
          <w:szCs w:val="24"/>
        </w:rPr>
        <w:lastRenderedPageBreak/>
        <w:t>6% of cases, a statistic we will return to later when we discuss legislative history in more depth. Moreover, Republican Boards used legislative history as the definitive source to a statistically significant degree more than Democratic Boards (</w:t>
      </w:r>
      <w:r w:rsidR="003D1E8D">
        <w:rPr>
          <w:rFonts w:ascii="Times New Roman" w:hAnsi="Times New Roman"/>
          <w:szCs w:val="24"/>
        </w:rPr>
        <w:t>13% v. 2%). Table 6</w:t>
      </w:r>
      <w:r w:rsidR="00CD3F94">
        <w:rPr>
          <w:rFonts w:ascii="Times New Roman" w:hAnsi="Times New Roman"/>
          <w:szCs w:val="24"/>
        </w:rPr>
        <w:t xml:space="preserve"> </w:t>
      </w:r>
      <w:r w:rsidRPr="000410F3">
        <w:rPr>
          <w:rFonts w:ascii="Times New Roman" w:hAnsi="Times New Roman"/>
          <w:szCs w:val="24"/>
        </w:rPr>
        <w:t>breaks down the data by partisan composition of the panel, showing that the breakdowns are almost identical by dominant party of the panel hearing the case</w:t>
      </w:r>
    </w:p>
    <w:p w14:paraId="75FA8900" w14:textId="77777777" w:rsidR="00BF63DC" w:rsidRPr="000410F3" w:rsidRDefault="00BF63DC" w:rsidP="00BF63DC">
      <w:pPr>
        <w:rPr>
          <w:rFonts w:ascii="Times New Roman" w:hAnsi="Times New Roman"/>
          <w:szCs w:val="24"/>
        </w:rPr>
      </w:pPr>
    </w:p>
    <w:p w14:paraId="1E929EF6" w14:textId="6590AE70" w:rsidR="0086288C" w:rsidRPr="002442CD" w:rsidRDefault="003D1E8D" w:rsidP="00BF63DC">
      <w:pPr>
        <w:ind w:firstLine="0"/>
        <w:rPr>
          <w:rFonts w:ascii="Times New Roman" w:hAnsi="Times New Roman"/>
          <w:b/>
          <w:sz w:val="20"/>
        </w:rPr>
      </w:pPr>
      <w:r>
        <w:rPr>
          <w:rFonts w:ascii="Times New Roman" w:hAnsi="Times New Roman"/>
          <w:b/>
          <w:sz w:val="20"/>
        </w:rPr>
        <w:t>Table 6</w:t>
      </w:r>
      <w:r w:rsidR="0086288C" w:rsidRPr="002442CD">
        <w:rPr>
          <w:rFonts w:ascii="Times New Roman" w:hAnsi="Times New Roman"/>
          <w:b/>
          <w:sz w:val="20"/>
        </w:rPr>
        <w:t>: Primary Method of Statutory Interpretation, by Party of Majority Panel (Percent)</w:t>
      </w:r>
    </w:p>
    <w:tbl>
      <w:tblPr>
        <w:tblStyle w:val="TableGrid"/>
        <w:tblW w:w="0" w:type="auto"/>
        <w:tblLook w:val="04A0" w:firstRow="1" w:lastRow="0" w:firstColumn="1" w:lastColumn="0" w:noHBand="0" w:noVBand="1"/>
      </w:tblPr>
      <w:tblGrid>
        <w:gridCol w:w="1338"/>
        <w:gridCol w:w="1238"/>
        <w:gridCol w:w="1394"/>
        <w:gridCol w:w="1056"/>
        <w:gridCol w:w="1017"/>
        <w:gridCol w:w="1291"/>
      </w:tblGrid>
      <w:tr w:rsidR="0086288C" w:rsidRPr="00BF63DC" w14:paraId="5E3DB8A9" w14:textId="77777777" w:rsidTr="001F1D99">
        <w:tc>
          <w:tcPr>
            <w:tcW w:w="1691" w:type="dxa"/>
          </w:tcPr>
          <w:p w14:paraId="79E90381" w14:textId="77777777" w:rsidR="0086288C" w:rsidRPr="00BF63DC" w:rsidRDefault="0086288C" w:rsidP="0086288C">
            <w:pPr>
              <w:rPr>
                <w:rFonts w:ascii="Times New Roman" w:hAnsi="Times New Roman"/>
                <w:sz w:val="16"/>
                <w:szCs w:val="16"/>
              </w:rPr>
            </w:pPr>
          </w:p>
        </w:tc>
        <w:tc>
          <w:tcPr>
            <w:tcW w:w="1607" w:type="dxa"/>
          </w:tcPr>
          <w:p w14:paraId="7B386F4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Primarily Text</w:t>
            </w:r>
          </w:p>
        </w:tc>
        <w:tc>
          <w:tcPr>
            <w:tcW w:w="1910" w:type="dxa"/>
          </w:tcPr>
          <w:p w14:paraId="3F123470"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Text/LH+</w:t>
            </w:r>
          </w:p>
        </w:tc>
        <w:tc>
          <w:tcPr>
            <w:tcW w:w="1138" w:type="dxa"/>
          </w:tcPr>
          <w:p w14:paraId="38727C56"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LH</w:t>
            </w:r>
          </w:p>
        </w:tc>
        <w:tc>
          <w:tcPr>
            <w:tcW w:w="1138" w:type="dxa"/>
          </w:tcPr>
          <w:p w14:paraId="1B18CC4E" w14:textId="2C9CAE28" w:rsidR="0086288C" w:rsidRPr="00BF63DC" w:rsidRDefault="00BF63DC" w:rsidP="00BF63DC">
            <w:pPr>
              <w:ind w:firstLine="0"/>
              <w:rPr>
                <w:rFonts w:ascii="Times New Roman" w:hAnsi="Times New Roman"/>
                <w:b/>
                <w:sz w:val="16"/>
                <w:szCs w:val="16"/>
              </w:rPr>
            </w:pPr>
            <w:r>
              <w:rPr>
                <w:rFonts w:ascii="Times New Roman" w:hAnsi="Times New Roman"/>
                <w:b/>
                <w:sz w:val="16"/>
                <w:szCs w:val="16"/>
              </w:rPr>
              <w:t>P</w:t>
            </w:r>
            <w:r w:rsidR="0086288C" w:rsidRPr="00BF63DC">
              <w:rPr>
                <w:rFonts w:ascii="Times New Roman" w:hAnsi="Times New Roman"/>
                <w:b/>
                <w:sz w:val="16"/>
                <w:szCs w:val="16"/>
              </w:rPr>
              <w:t>recedent</w:t>
            </w:r>
          </w:p>
        </w:tc>
        <w:tc>
          <w:tcPr>
            <w:tcW w:w="1866" w:type="dxa"/>
          </w:tcPr>
          <w:p w14:paraId="216296BE"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Policy</w:t>
            </w:r>
          </w:p>
        </w:tc>
      </w:tr>
      <w:tr w:rsidR="0086288C" w:rsidRPr="00BF63DC" w14:paraId="4663E3CD" w14:textId="77777777" w:rsidTr="001F1D99">
        <w:tc>
          <w:tcPr>
            <w:tcW w:w="1691" w:type="dxa"/>
          </w:tcPr>
          <w:p w14:paraId="00E209BC"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All Cases</w:t>
            </w:r>
          </w:p>
        </w:tc>
        <w:tc>
          <w:tcPr>
            <w:tcW w:w="1607" w:type="dxa"/>
          </w:tcPr>
          <w:p w14:paraId="7A9C18B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w:t>
            </w:r>
          </w:p>
        </w:tc>
        <w:tc>
          <w:tcPr>
            <w:tcW w:w="1910" w:type="dxa"/>
          </w:tcPr>
          <w:p w14:paraId="516CC66C"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19</w:t>
            </w:r>
          </w:p>
        </w:tc>
        <w:tc>
          <w:tcPr>
            <w:tcW w:w="1138" w:type="dxa"/>
          </w:tcPr>
          <w:p w14:paraId="55050D8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7</w:t>
            </w:r>
          </w:p>
        </w:tc>
        <w:tc>
          <w:tcPr>
            <w:tcW w:w="1138" w:type="dxa"/>
          </w:tcPr>
          <w:p w14:paraId="3DE5BEC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38</w:t>
            </w:r>
          </w:p>
        </w:tc>
        <w:tc>
          <w:tcPr>
            <w:tcW w:w="1866" w:type="dxa"/>
          </w:tcPr>
          <w:p w14:paraId="31D4A8F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29</w:t>
            </w:r>
          </w:p>
        </w:tc>
      </w:tr>
      <w:tr w:rsidR="0086288C" w:rsidRPr="00BF63DC" w14:paraId="2343E77F" w14:textId="77777777" w:rsidTr="001F1D99">
        <w:tc>
          <w:tcPr>
            <w:tcW w:w="1691" w:type="dxa"/>
          </w:tcPr>
          <w:p w14:paraId="01270CEA"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Democrat</w:t>
            </w:r>
          </w:p>
        </w:tc>
        <w:tc>
          <w:tcPr>
            <w:tcW w:w="1607" w:type="dxa"/>
          </w:tcPr>
          <w:p w14:paraId="52270D8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w:t>
            </w:r>
          </w:p>
        </w:tc>
        <w:tc>
          <w:tcPr>
            <w:tcW w:w="1910" w:type="dxa"/>
          </w:tcPr>
          <w:p w14:paraId="3F3EC77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25**</w:t>
            </w:r>
          </w:p>
        </w:tc>
        <w:tc>
          <w:tcPr>
            <w:tcW w:w="1138" w:type="dxa"/>
          </w:tcPr>
          <w:p w14:paraId="6675FF5C"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w:t>
            </w:r>
          </w:p>
        </w:tc>
        <w:tc>
          <w:tcPr>
            <w:tcW w:w="1138" w:type="dxa"/>
          </w:tcPr>
          <w:p w14:paraId="57D246E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38</w:t>
            </w:r>
          </w:p>
        </w:tc>
        <w:tc>
          <w:tcPr>
            <w:tcW w:w="1866" w:type="dxa"/>
          </w:tcPr>
          <w:p w14:paraId="38F828D9"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28</w:t>
            </w:r>
          </w:p>
        </w:tc>
      </w:tr>
      <w:tr w:rsidR="0086288C" w:rsidRPr="00BF63DC" w14:paraId="4E5D9BAB" w14:textId="77777777" w:rsidTr="001F1D99">
        <w:tc>
          <w:tcPr>
            <w:tcW w:w="1691" w:type="dxa"/>
          </w:tcPr>
          <w:p w14:paraId="7F14C4BB"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Republican</w:t>
            </w:r>
          </w:p>
        </w:tc>
        <w:tc>
          <w:tcPr>
            <w:tcW w:w="1607" w:type="dxa"/>
          </w:tcPr>
          <w:p w14:paraId="5ACC32B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11</w:t>
            </w:r>
          </w:p>
        </w:tc>
        <w:tc>
          <w:tcPr>
            <w:tcW w:w="1910" w:type="dxa"/>
          </w:tcPr>
          <w:p w14:paraId="66C28F3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 xml:space="preserve">10** </w:t>
            </w:r>
          </w:p>
        </w:tc>
        <w:tc>
          <w:tcPr>
            <w:tcW w:w="1138" w:type="dxa"/>
          </w:tcPr>
          <w:p w14:paraId="50FC162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13***</w:t>
            </w:r>
          </w:p>
        </w:tc>
        <w:tc>
          <w:tcPr>
            <w:tcW w:w="1138" w:type="dxa"/>
          </w:tcPr>
          <w:p w14:paraId="71EBB23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37</w:t>
            </w:r>
          </w:p>
        </w:tc>
        <w:tc>
          <w:tcPr>
            <w:tcW w:w="1866" w:type="dxa"/>
          </w:tcPr>
          <w:p w14:paraId="7A2090B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28</w:t>
            </w:r>
          </w:p>
        </w:tc>
      </w:tr>
    </w:tbl>
    <w:p w14:paraId="7829D672" w14:textId="77777777" w:rsidR="0086288C" w:rsidRPr="00BF63DC" w:rsidRDefault="0086288C" w:rsidP="0086288C">
      <w:pPr>
        <w:rPr>
          <w:rFonts w:ascii="Times New Roman" w:hAnsi="Times New Roman"/>
          <w:noProof/>
          <w:sz w:val="16"/>
          <w:szCs w:val="16"/>
        </w:rPr>
      </w:pPr>
    </w:p>
    <w:p w14:paraId="5DC00617" w14:textId="6B6FB086" w:rsidR="00CD3F94" w:rsidRPr="00CD3F94" w:rsidRDefault="00CD3F94" w:rsidP="00CD3F94">
      <w:pPr>
        <w:ind w:firstLine="0"/>
        <w:rPr>
          <w:rFonts w:ascii="Times New Roman" w:hAnsi="Times New Roman"/>
          <w:b/>
          <w:noProof/>
          <w:sz w:val="20"/>
        </w:rPr>
      </w:pPr>
    </w:p>
    <w:p w14:paraId="72BC1F39" w14:textId="06E85D7E" w:rsidR="0086288C" w:rsidRDefault="003D1E8D" w:rsidP="0086288C">
      <w:pPr>
        <w:ind w:firstLine="720"/>
        <w:rPr>
          <w:rFonts w:ascii="Times New Roman" w:hAnsi="Times New Roman"/>
          <w:szCs w:val="24"/>
        </w:rPr>
      </w:pPr>
      <w:r>
        <w:rPr>
          <w:rFonts w:ascii="Times New Roman" w:hAnsi="Times New Roman"/>
          <w:szCs w:val="24"/>
        </w:rPr>
        <w:t>Table 7</w:t>
      </w:r>
      <w:r w:rsidR="0086288C" w:rsidRPr="000410F3">
        <w:rPr>
          <w:rFonts w:ascii="Times New Roman" w:hAnsi="Times New Roman"/>
          <w:szCs w:val="24"/>
        </w:rPr>
        <w:t xml:space="preserve"> displays the primary methodology broken down by presidential administration. In particular, we see a marked increase in the </w:t>
      </w:r>
      <w:r w:rsidR="0086288C">
        <w:rPr>
          <w:rFonts w:ascii="Times New Roman" w:hAnsi="Times New Roman"/>
          <w:szCs w:val="24"/>
        </w:rPr>
        <w:t>text p</w:t>
      </w:r>
      <w:r w:rsidR="0086288C" w:rsidRPr="000410F3">
        <w:rPr>
          <w:rFonts w:ascii="Times New Roman" w:hAnsi="Times New Roman"/>
          <w:szCs w:val="24"/>
        </w:rPr>
        <w:t>lus methodology over time. Whereas 12% and 18% of Clinton-era and Bush II-era Board decisions employed text/legislative history plus analysis as the primary interpretive method, 42% of decisions in the Obama period used this method, a result statistically significant at 99% confidence. In turn, the Bush II Board used a primarily textual method to a statistically significant degree, with the Board deciding nearly 15% of the cases during this period on a textual reading alone, compared to no cases during the Obama era. We also see a noticeable decline in the use of precedent as the primary interpretive source; whereas the Clinton-era Board decided nearly half of its statutory decisions by cobbling together precedent, the Obama Board relied on this method in just about a fifth of its statutory cases of first impression. Obama-era decisions also frequently invoked policy/caselaw considerations as the primary interpretive method, with about 40% of decisions from 2008 to the present using a policy-based approach as the primary interpretive method, though these results do not statistically distinguish the Obama Board from the Clinton or Bush II-era Boards. Moreover, statutory interpretation cases at the Obama Board seem to employ a predictable pattern: the three liberal Board members use primarily a text plus legislative history or policy-based approach to rule in favor of the liberal side, with Board members Philip Miscimarra and Harry Johnson writing a detailed dissent</w:t>
      </w:r>
      <w:r w:rsidR="00935848">
        <w:rPr>
          <w:rFonts w:ascii="Times New Roman" w:hAnsi="Times New Roman"/>
          <w:szCs w:val="24"/>
        </w:rPr>
        <w:t xml:space="preserve"> debunking every point using a text plus approach</w:t>
      </w:r>
      <w:r w:rsidR="0086288C" w:rsidRPr="000410F3">
        <w:rPr>
          <w:rFonts w:ascii="Times New Roman" w:hAnsi="Times New Roman"/>
          <w:szCs w:val="24"/>
        </w:rPr>
        <w:t>. Moreover, more so than other Boards, the Obama Board proceeded to overrule more of the Bus</w:t>
      </w:r>
      <w:r w:rsidR="00935848">
        <w:rPr>
          <w:rFonts w:ascii="Times New Roman" w:hAnsi="Times New Roman"/>
          <w:szCs w:val="24"/>
        </w:rPr>
        <w:t xml:space="preserve">h-era NLRB decisions </w:t>
      </w:r>
      <w:r w:rsidR="0086288C" w:rsidRPr="000410F3">
        <w:rPr>
          <w:rFonts w:ascii="Times New Roman" w:hAnsi="Times New Roman"/>
          <w:szCs w:val="24"/>
        </w:rPr>
        <w:t xml:space="preserve">that had been issued less than a decade earlier. </w:t>
      </w:r>
    </w:p>
    <w:p w14:paraId="72920479" w14:textId="77777777" w:rsidR="003D1E8D" w:rsidRDefault="003D1E8D" w:rsidP="0086288C">
      <w:pPr>
        <w:ind w:firstLine="720"/>
        <w:rPr>
          <w:rFonts w:ascii="Times New Roman" w:hAnsi="Times New Roman"/>
          <w:szCs w:val="24"/>
        </w:rPr>
      </w:pPr>
    </w:p>
    <w:p w14:paraId="66C27809" w14:textId="77777777" w:rsidR="003D1E8D" w:rsidRDefault="003D1E8D" w:rsidP="0086288C">
      <w:pPr>
        <w:ind w:firstLine="720"/>
        <w:rPr>
          <w:rFonts w:ascii="Times New Roman" w:hAnsi="Times New Roman"/>
          <w:szCs w:val="24"/>
        </w:rPr>
      </w:pPr>
    </w:p>
    <w:p w14:paraId="4D83E8A1" w14:textId="77777777" w:rsidR="003D1E8D" w:rsidRDefault="003D1E8D" w:rsidP="0086288C">
      <w:pPr>
        <w:ind w:firstLine="720"/>
        <w:rPr>
          <w:rFonts w:ascii="Times New Roman" w:hAnsi="Times New Roman"/>
          <w:szCs w:val="24"/>
        </w:rPr>
      </w:pPr>
    </w:p>
    <w:p w14:paraId="3DED97A8" w14:textId="77777777" w:rsidR="00BF63DC" w:rsidRPr="000410F3" w:rsidRDefault="00BF63DC" w:rsidP="0086288C">
      <w:pPr>
        <w:ind w:firstLine="720"/>
        <w:rPr>
          <w:rFonts w:ascii="Times New Roman" w:hAnsi="Times New Roman"/>
          <w:szCs w:val="24"/>
        </w:rPr>
      </w:pPr>
    </w:p>
    <w:p w14:paraId="3606C4D8" w14:textId="4B82C37A" w:rsidR="0086288C" w:rsidRPr="002442CD" w:rsidRDefault="003D1E8D" w:rsidP="0086288C">
      <w:pPr>
        <w:rPr>
          <w:rFonts w:ascii="Times New Roman" w:hAnsi="Times New Roman"/>
          <w:b/>
          <w:sz w:val="20"/>
        </w:rPr>
      </w:pPr>
      <w:r>
        <w:rPr>
          <w:rFonts w:ascii="Times New Roman" w:hAnsi="Times New Roman"/>
          <w:b/>
          <w:sz w:val="20"/>
        </w:rPr>
        <w:lastRenderedPageBreak/>
        <w:t>Table 7</w:t>
      </w:r>
      <w:r w:rsidR="0086288C" w:rsidRPr="002442CD">
        <w:rPr>
          <w:rFonts w:ascii="Times New Roman" w:hAnsi="Times New Roman"/>
          <w:b/>
          <w:sz w:val="20"/>
        </w:rPr>
        <w:t>: Primary Statutory Methodology, by Administration (Percent)</w:t>
      </w:r>
    </w:p>
    <w:tbl>
      <w:tblPr>
        <w:tblStyle w:val="TableGrid"/>
        <w:tblW w:w="0" w:type="auto"/>
        <w:tblLook w:val="04A0" w:firstRow="1" w:lastRow="0" w:firstColumn="1" w:lastColumn="0" w:noHBand="0" w:noVBand="1"/>
      </w:tblPr>
      <w:tblGrid>
        <w:gridCol w:w="1118"/>
        <w:gridCol w:w="1248"/>
        <w:gridCol w:w="1453"/>
        <w:gridCol w:w="1035"/>
        <w:gridCol w:w="1166"/>
        <w:gridCol w:w="1314"/>
      </w:tblGrid>
      <w:tr w:rsidR="0086288C" w:rsidRPr="000410F3" w14:paraId="234ABD22" w14:textId="77777777" w:rsidTr="001F1D99">
        <w:tc>
          <w:tcPr>
            <w:tcW w:w="1480" w:type="dxa"/>
          </w:tcPr>
          <w:p w14:paraId="3CBA651D" w14:textId="77777777" w:rsidR="0086288C" w:rsidRPr="00BF63DC" w:rsidRDefault="0086288C" w:rsidP="0086288C">
            <w:pPr>
              <w:rPr>
                <w:rFonts w:ascii="Times New Roman" w:hAnsi="Times New Roman"/>
                <w:sz w:val="16"/>
                <w:szCs w:val="16"/>
              </w:rPr>
            </w:pPr>
          </w:p>
        </w:tc>
        <w:tc>
          <w:tcPr>
            <w:tcW w:w="1590" w:type="dxa"/>
          </w:tcPr>
          <w:p w14:paraId="55C5F0C9"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Primarily Text</w:t>
            </w:r>
          </w:p>
        </w:tc>
        <w:tc>
          <w:tcPr>
            <w:tcW w:w="1900" w:type="dxa"/>
          </w:tcPr>
          <w:p w14:paraId="25B33466" w14:textId="27EDD55E"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Text </w:t>
            </w:r>
            <w:r w:rsidR="00BF63DC">
              <w:rPr>
                <w:rFonts w:ascii="Times New Roman" w:hAnsi="Times New Roman"/>
                <w:b/>
                <w:sz w:val="16"/>
                <w:szCs w:val="16"/>
              </w:rPr>
              <w:t>Plus</w:t>
            </w:r>
          </w:p>
        </w:tc>
        <w:tc>
          <w:tcPr>
            <w:tcW w:w="1110" w:type="dxa"/>
          </w:tcPr>
          <w:p w14:paraId="66EDFDAD"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Legislative History Primary</w:t>
            </w:r>
          </w:p>
        </w:tc>
        <w:tc>
          <w:tcPr>
            <w:tcW w:w="1415" w:type="dxa"/>
          </w:tcPr>
          <w:p w14:paraId="5329C0C5"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Precedent</w:t>
            </w:r>
          </w:p>
        </w:tc>
        <w:tc>
          <w:tcPr>
            <w:tcW w:w="1855" w:type="dxa"/>
          </w:tcPr>
          <w:p w14:paraId="03D52721"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Policy</w:t>
            </w:r>
          </w:p>
        </w:tc>
      </w:tr>
      <w:tr w:rsidR="0086288C" w:rsidRPr="000410F3" w14:paraId="212143E7" w14:textId="77777777" w:rsidTr="001F1D99">
        <w:tc>
          <w:tcPr>
            <w:tcW w:w="1480" w:type="dxa"/>
          </w:tcPr>
          <w:p w14:paraId="05469846"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Clinton</w:t>
            </w:r>
          </w:p>
        </w:tc>
        <w:tc>
          <w:tcPr>
            <w:tcW w:w="1590" w:type="dxa"/>
          </w:tcPr>
          <w:p w14:paraId="004C5D8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7*</w:t>
            </w:r>
          </w:p>
        </w:tc>
        <w:tc>
          <w:tcPr>
            <w:tcW w:w="1900" w:type="dxa"/>
          </w:tcPr>
          <w:p w14:paraId="0CAC719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12***</w:t>
            </w:r>
          </w:p>
        </w:tc>
        <w:tc>
          <w:tcPr>
            <w:tcW w:w="1110" w:type="dxa"/>
          </w:tcPr>
          <w:p w14:paraId="4E8F53A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w:t>
            </w:r>
          </w:p>
        </w:tc>
        <w:tc>
          <w:tcPr>
            <w:tcW w:w="1415" w:type="dxa"/>
          </w:tcPr>
          <w:p w14:paraId="6B88F7A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49**</w:t>
            </w:r>
          </w:p>
        </w:tc>
        <w:tc>
          <w:tcPr>
            <w:tcW w:w="1855" w:type="dxa"/>
          </w:tcPr>
          <w:p w14:paraId="0092F72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25</w:t>
            </w:r>
          </w:p>
        </w:tc>
      </w:tr>
      <w:tr w:rsidR="0086288C" w:rsidRPr="000410F3" w14:paraId="724E571D" w14:textId="77777777" w:rsidTr="001F1D99">
        <w:tc>
          <w:tcPr>
            <w:tcW w:w="1480" w:type="dxa"/>
          </w:tcPr>
          <w:p w14:paraId="1436C47F"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Bush II</w:t>
            </w:r>
          </w:p>
        </w:tc>
        <w:tc>
          <w:tcPr>
            <w:tcW w:w="1590" w:type="dxa"/>
          </w:tcPr>
          <w:p w14:paraId="141CF75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15*</w:t>
            </w:r>
          </w:p>
        </w:tc>
        <w:tc>
          <w:tcPr>
            <w:tcW w:w="1900" w:type="dxa"/>
          </w:tcPr>
          <w:p w14:paraId="364AAE5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18***</w:t>
            </w:r>
          </w:p>
        </w:tc>
        <w:tc>
          <w:tcPr>
            <w:tcW w:w="1110" w:type="dxa"/>
          </w:tcPr>
          <w:p w14:paraId="6A0E67D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6</w:t>
            </w:r>
          </w:p>
        </w:tc>
        <w:tc>
          <w:tcPr>
            <w:tcW w:w="1415" w:type="dxa"/>
          </w:tcPr>
          <w:p w14:paraId="45B1FEB1"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29**</w:t>
            </w:r>
          </w:p>
        </w:tc>
        <w:tc>
          <w:tcPr>
            <w:tcW w:w="1855" w:type="dxa"/>
          </w:tcPr>
          <w:p w14:paraId="58849B8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32</w:t>
            </w:r>
          </w:p>
        </w:tc>
      </w:tr>
      <w:tr w:rsidR="0086288C" w:rsidRPr="000410F3" w14:paraId="6FA10D15" w14:textId="77777777" w:rsidTr="001F1D99">
        <w:tc>
          <w:tcPr>
            <w:tcW w:w="1480" w:type="dxa"/>
          </w:tcPr>
          <w:p w14:paraId="4270D6AA"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Obama </w:t>
            </w:r>
          </w:p>
        </w:tc>
        <w:tc>
          <w:tcPr>
            <w:tcW w:w="1590" w:type="dxa"/>
          </w:tcPr>
          <w:p w14:paraId="7DE81D9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900" w:type="dxa"/>
          </w:tcPr>
          <w:p w14:paraId="4CC3D790"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42***</w:t>
            </w:r>
          </w:p>
        </w:tc>
        <w:tc>
          <w:tcPr>
            <w:tcW w:w="1110" w:type="dxa"/>
          </w:tcPr>
          <w:p w14:paraId="103181A9"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415" w:type="dxa"/>
          </w:tcPr>
          <w:p w14:paraId="5647FBC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21**</w:t>
            </w:r>
          </w:p>
        </w:tc>
        <w:tc>
          <w:tcPr>
            <w:tcW w:w="1855" w:type="dxa"/>
          </w:tcPr>
          <w:p w14:paraId="2292AA6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38</w:t>
            </w:r>
          </w:p>
        </w:tc>
      </w:tr>
    </w:tbl>
    <w:p w14:paraId="107FD7A4" w14:textId="77777777" w:rsidR="0086288C" w:rsidRPr="000410F3" w:rsidRDefault="0086288C" w:rsidP="0086288C">
      <w:pPr>
        <w:rPr>
          <w:rFonts w:ascii="Times New Roman" w:hAnsi="Times New Roman"/>
          <w:szCs w:val="24"/>
        </w:rPr>
      </w:pPr>
    </w:p>
    <w:p w14:paraId="29824051" w14:textId="31D43EB3" w:rsidR="00A04719" w:rsidRDefault="003D1E8D" w:rsidP="003D1E8D">
      <w:pPr>
        <w:ind w:firstLine="720"/>
        <w:rPr>
          <w:rFonts w:ascii="Times New Roman" w:hAnsi="Times New Roman"/>
          <w:szCs w:val="24"/>
        </w:rPr>
      </w:pPr>
      <w:r>
        <w:rPr>
          <w:rFonts w:ascii="Times New Roman" w:hAnsi="Times New Roman"/>
          <w:szCs w:val="24"/>
        </w:rPr>
        <w:t>Table 8 and Figure 5</w:t>
      </w:r>
      <w:r w:rsidR="0086288C" w:rsidRPr="000410F3">
        <w:rPr>
          <w:rFonts w:ascii="Times New Roman" w:hAnsi="Times New Roman"/>
          <w:szCs w:val="24"/>
        </w:rPr>
        <w:t xml:space="preserve"> provide further detail on the breakdowns by both party of the panel and administration. Here, again we see noticeable differences based on the administration, pa</w:t>
      </w:r>
      <w:r w:rsidR="0086288C">
        <w:rPr>
          <w:rFonts w:ascii="Times New Roman" w:hAnsi="Times New Roman"/>
          <w:szCs w:val="24"/>
        </w:rPr>
        <w:t>rticularly with respect to the text/legislative history p</w:t>
      </w:r>
      <w:r w:rsidR="0086288C" w:rsidRPr="000410F3">
        <w:rPr>
          <w:rFonts w:ascii="Times New Roman" w:hAnsi="Times New Roman"/>
          <w:szCs w:val="24"/>
        </w:rPr>
        <w:t>lus method as noted above. The results underscore that the party in charge of the presidency is most likely to make its decisions with policy considerations at the forefront, and this trend has increased over time from the Clinton to the Obama presidencies. Moreover, text-based analysis as the primary method of interpretation seems to have increased over time. Democratic-majority panels in the Obama administration in particular seem especially likely to eschew legislative history in favor of a more policy-based approach while Republican Boards during the Bush administration often resort to the nearly 75 year old legislative history t</w:t>
      </w:r>
      <w:r w:rsidR="0086288C">
        <w:rPr>
          <w:rFonts w:ascii="Times New Roman" w:hAnsi="Times New Roman"/>
          <w:szCs w:val="24"/>
        </w:rPr>
        <w:t xml:space="preserve">o impose limits on labor rights. </w:t>
      </w:r>
    </w:p>
    <w:p w14:paraId="04EA3939" w14:textId="77777777" w:rsidR="00A04719" w:rsidRDefault="00A04719" w:rsidP="0086288C">
      <w:pPr>
        <w:ind w:firstLine="720"/>
        <w:rPr>
          <w:rFonts w:ascii="Times New Roman" w:hAnsi="Times New Roman"/>
          <w:szCs w:val="24"/>
        </w:rPr>
      </w:pPr>
    </w:p>
    <w:p w14:paraId="4143ED7B" w14:textId="718D9E7A" w:rsidR="0086288C" w:rsidRPr="00377AB4" w:rsidRDefault="003D1E8D" w:rsidP="0086288C">
      <w:pPr>
        <w:rPr>
          <w:rFonts w:ascii="Times New Roman" w:hAnsi="Times New Roman"/>
          <w:sz w:val="20"/>
        </w:rPr>
      </w:pPr>
      <w:r>
        <w:rPr>
          <w:rFonts w:ascii="Times New Roman" w:hAnsi="Times New Roman"/>
          <w:b/>
          <w:sz w:val="20"/>
        </w:rPr>
        <w:t>Table 8</w:t>
      </w:r>
      <w:r w:rsidR="0086288C" w:rsidRPr="00377AB4">
        <w:rPr>
          <w:rFonts w:ascii="Times New Roman" w:hAnsi="Times New Roman"/>
          <w:b/>
          <w:sz w:val="20"/>
        </w:rPr>
        <w:t>: Primary Statutory Methodology, by Majority Party and Administration</w:t>
      </w:r>
    </w:p>
    <w:tbl>
      <w:tblPr>
        <w:tblStyle w:val="TableGrid"/>
        <w:tblW w:w="0" w:type="auto"/>
        <w:tblLook w:val="04A0" w:firstRow="1" w:lastRow="0" w:firstColumn="1" w:lastColumn="0" w:noHBand="0" w:noVBand="1"/>
      </w:tblPr>
      <w:tblGrid>
        <w:gridCol w:w="1429"/>
        <w:gridCol w:w="1203"/>
        <w:gridCol w:w="1329"/>
        <w:gridCol w:w="991"/>
        <w:gridCol w:w="1117"/>
        <w:gridCol w:w="1265"/>
      </w:tblGrid>
      <w:tr w:rsidR="0086288C" w:rsidRPr="002442CD" w14:paraId="4B40A69E" w14:textId="77777777" w:rsidTr="001F1D99">
        <w:tc>
          <w:tcPr>
            <w:tcW w:w="1738" w:type="dxa"/>
          </w:tcPr>
          <w:p w14:paraId="65FA542F" w14:textId="77777777" w:rsidR="0086288C" w:rsidRPr="00BF63DC" w:rsidRDefault="0086288C" w:rsidP="0086288C">
            <w:pPr>
              <w:rPr>
                <w:rFonts w:ascii="Times New Roman" w:hAnsi="Times New Roman"/>
                <w:sz w:val="16"/>
                <w:szCs w:val="16"/>
              </w:rPr>
            </w:pPr>
          </w:p>
        </w:tc>
        <w:tc>
          <w:tcPr>
            <w:tcW w:w="1542" w:type="dxa"/>
          </w:tcPr>
          <w:p w14:paraId="4F7C7A5F"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Primarily Text</w:t>
            </w:r>
          </w:p>
        </w:tc>
        <w:tc>
          <w:tcPr>
            <w:tcW w:w="1871" w:type="dxa"/>
          </w:tcPr>
          <w:p w14:paraId="756F6C8B" w14:textId="5CA82471"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Text </w:t>
            </w:r>
            <w:r w:rsidR="00BF63DC">
              <w:rPr>
                <w:rFonts w:ascii="Times New Roman" w:hAnsi="Times New Roman"/>
                <w:b/>
                <w:sz w:val="16"/>
                <w:szCs w:val="16"/>
              </w:rPr>
              <w:t>Plus</w:t>
            </w:r>
          </w:p>
        </w:tc>
        <w:tc>
          <w:tcPr>
            <w:tcW w:w="1030" w:type="dxa"/>
          </w:tcPr>
          <w:p w14:paraId="4EA40F20"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Legislative History Primary</w:t>
            </w:r>
          </w:p>
        </w:tc>
        <w:tc>
          <w:tcPr>
            <w:tcW w:w="1346" w:type="dxa"/>
          </w:tcPr>
          <w:p w14:paraId="06E51792"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Precedent</w:t>
            </w:r>
          </w:p>
        </w:tc>
        <w:tc>
          <w:tcPr>
            <w:tcW w:w="1823" w:type="dxa"/>
          </w:tcPr>
          <w:p w14:paraId="1DC5E075"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Policy</w:t>
            </w:r>
          </w:p>
        </w:tc>
      </w:tr>
      <w:tr w:rsidR="0086288C" w:rsidRPr="002442CD" w14:paraId="37D7C2F8" w14:textId="77777777" w:rsidTr="001F1D99">
        <w:tc>
          <w:tcPr>
            <w:tcW w:w="1738" w:type="dxa"/>
          </w:tcPr>
          <w:p w14:paraId="0A44EB7F"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Dem./Clinton </w:t>
            </w:r>
          </w:p>
        </w:tc>
        <w:tc>
          <w:tcPr>
            <w:tcW w:w="1542" w:type="dxa"/>
          </w:tcPr>
          <w:p w14:paraId="110B106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8</w:t>
            </w:r>
          </w:p>
        </w:tc>
        <w:tc>
          <w:tcPr>
            <w:tcW w:w="1871" w:type="dxa"/>
          </w:tcPr>
          <w:p w14:paraId="7081DC4B"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16*</w:t>
            </w:r>
          </w:p>
        </w:tc>
        <w:tc>
          <w:tcPr>
            <w:tcW w:w="1030" w:type="dxa"/>
          </w:tcPr>
          <w:p w14:paraId="40ED1A0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w:t>
            </w:r>
          </w:p>
        </w:tc>
        <w:tc>
          <w:tcPr>
            <w:tcW w:w="1346" w:type="dxa"/>
          </w:tcPr>
          <w:p w14:paraId="630BCD2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50**</w:t>
            </w:r>
          </w:p>
        </w:tc>
        <w:tc>
          <w:tcPr>
            <w:tcW w:w="1823" w:type="dxa"/>
          </w:tcPr>
          <w:p w14:paraId="56CAA98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24</w:t>
            </w:r>
          </w:p>
        </w:tc>
      </w:tr>
      <w:tr w:rsidR="0086288C" w:rsidRPr="002442CD" w14:paraId="0CB47896" w14:textId="77777777" w:rsidTr="001F1D99">
        <w:tc>
          <w:tcPr>
            <w:tcW w:w="1738" w:type="dxa"/>
          </w:tcPr>
          <w:p w14:paraId="6B5F6CC6"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 xml:space="preserve">Rep./Clinton </w:t>
            </w:r>
          </w:p>
        </w:tc>
        <w:tc>
          <w:tcPr>
            <w:tcW w:w="1542" w:type="dxa"/>
          </w:tcPr>
          <w:p w14:paraId="46DCC91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w:t>
            </w:r>
          </w:p>
        </w:tc>
        <w:tc>
          <w:tcPr>
            <w:tcW w:w="1871" w:type="dxa"/>
          </w:tcPr>
          <w:p w14:paraId="1F1C27A4"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w:t>
            </w:r>
          </w:p>
        </w:tc>
        <w:tc>
          <w:tcPr>
            <w:tcW w:w="1030" w:type="dxa"/>
          </w:tcPr>
          <w:p w14:paraId="16298AB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17</w:t>
            </w:r>
          </w:p>
        </w:tc>
        <w:tc>
          <w:tcPr>
            <w:tcW w:w="1346" w:type="dxa"/>
          </w:tcPr>
          <w:p w14:paraId="52BB0A3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48</w:t>
            </w:r>
          </w:p>
        </w:tc>
        <w:tc>
          <w:tcPr>
            <w:tcW w:w="1823" w:type="dxa"/>
          </w:tcPr>
          <w:p w14:paraId="6C8385E4"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26</w:t>
            </w:r>
          </w:p>
        </w:tc>
      </w:tr>
      <w:tr w:rsidR="0086288C" w:rsidRPr="002442CD" w14:paraId="55CCAE01" w14:textId="77777777" w:rsidTr="001F1D99">
        <w:tc>
          <w:tcPr>
            <w:tcW w:w="1738" w:type="dxa"/>
          </w:tcPr>
          <w:p w14:paraId="0282D69B"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Dem./Bush II</w:t>
            </w:r>
          </w:p>
        </w:tc>
        <w:tc>
          <w:tcPr>
            <w:tcW w:w="1542" w:type="dxa"/>
          </w:tcPr>
          <w:p w14:paraId="706FB00D"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w:t>
            </w:r>
          </w:p>
        </w:tc>
        <w:tc>
          <w:tcPr>
            <w:tcW w:w="1871" w:type="dxa"/>
          </w:tcPr>
          <w:p w14:paraId="07C1E85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18*</w:t>
            </w:r>
          </w:p>
        </w:tc>
        <w:tc>
          <w:tcPr>
            <w:tcW w:w="1030" w:type="dxa"/>
          </w:tcPr>
          <w:p w14:paraId="34FA7D7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9</w:t>
            </w:r>
          </w:p>
        </w:tc>
        <w:tc>
          <w:tcPr>
            <w:tcW w:w="1346" w:type="dxa"/>
          </w:tcPr>
          <w:p w14:paraId="08ABF26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45**</w:t>
            </w:r>
          </w:p>
        </w:tc>
        <w:tc>
          <w:tcPr>
            <w:tcW w:w="1823" w:type="dxa"/>
          </w:tcPr>
          <w:p w14:paraId="477E5D43"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18</w:t>
            </w:r>
          </w:p>
        </w:tc>
      </w:tr>
      <w:tr w:rsidR="0086288C" w:rsidRPr="002442CD" w14:paraId="1864D61E" w14:textId="77777777" w:rsidTr="001F1D99">
        <w:tc>
          <w:tcPr>
            <w:tcW w:w="1738" w:type="dxa"/>
          </w:tcPr>
          <w:p w14:paraId="283C2DF6"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Rep./Bush II</w:t>
            </w:r>
          </w:p>
        </w:tc>
        <w:tc>
          <w:tcPr>
            <w:tcW w:w="1542" w:type="dxa"/>
          </w:tcPr>
          <w:p w14:paraId="27BC08C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19*</w:t>
            </w:r>
          </w:p>
        </w:tc>
        <w:tc>
          <w:tcPr>
            <w:tcW w:w="1871" w:type="dxa"/>
          </w:tcPr>
          <w:p w14:paraId="73A9FFB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19*</w:t>
            </w:r>
          </w:p>
        </w:tc>
        <w:tc>
          <w:tcPr>
            <w:tcW w:w="1030" w:type="dxa"/>
          </w:tcPr>
          <w:p w14:paraId="5BC4744F"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w:t>
            </w:r>
          </w:p>
        </w:tc>
        <w:tc>
          <w:tcPr>
            <w:tcW w:w="1346" w:type="dxa"/>
          </w:tcPr>
          <w:p w14:paraId="1AAEF0B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24</w:t>
            </w:r>
          </w:p>
        </w:tc>
        <w:tc>
          <w:tcPr>
            <w:tcW w:w="1823" w:type="dxa"/>
          </w:tcPr>
          <w:p w14:paraId="4455532E"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33</w:t>
            </w:r>
          </w:p>
        </w:tc>
      </w:tr>
      <w:tr w:rsidR="0086288C" w:rsidRPr="002442CD" w14:paraId="7894160D" w14:textId="77777777" w:rsidTr="001F1D99">
        <w:trPr>
          <w:trHeight w:val="269"/>
        </w:trPr>
        <w:tc>
          <w:tcPr>
            <w:tcW w:w="1738" w:type="dxa"/>
          </w:tcPr>
          <w:p w14:paraId="6F76FE88"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Dem./Obama</w:t>
            </w:r>
          </w:p>
        </w:tc>
        <w:tc>
          <w:tcPr>
            <w:tcW w:w="1542" w:type="dxa"/>
          </w:tcPr>
          <w:p w14:paraId="430FAC1B"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871" w:type="dxa"/>
          </w:tcPr>
          <w:p w14:paraId="4B4A55A9"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40*</w:t>
            </w:r>
          </w:p>
        </w:tc>
        <w:tc>
          <w:tcPr>
            <w:tcW w:w="1030" w:type="dxa"/>
          </w:tcPr>
          <w:p w14:paraId="7DC503A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346" w:type="dxa"/>
          </w:tcPr>
          <w:p w14:paraId="0A2A97B5"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17**</w:t>
            </w:r>
          </w:p>
        </w:tc>
        <w:tc>
          <w:tcPr>
            <w:tcW w:w="1823" w:type="dxa"/>
          </w:tcPr>
          <w:p w14:paraId="1F0AB37A"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39</w:t>
            </w:r>
          </w:p>
        </w:tc>
      </w:tr>
      <w:tr w:rsidR="0086288C" w:rsidRPr="002442CD" w14:paraId="21CD746F" w14:textId="77777777" w:rsidTr="001F1D99">
        <w:tc>
          <w:tcPr>
            <w:tcW w:w="1738" w:type="dxa"/>
          </w:tcPr>
          <w:p w14:paraId="641EDC8B" w14:textId="77777777" w:rsidR="0086288C" w:rsidRPr="00BF63DC" w:rsidRDefault="0086288C" w:rsidP="00BF63DC">
            <w:pPr>
              <w:ind w:firstLine="0"/>
              <w:rPr>
                <w:rFonts w:ascii="Times New Roman" w:hAnsi="Times New Roman"/>
                <w:b/>
                <w:sz w:val="16"/>
                <w:szCs w:val="16"/>
              </w:rPr>
            </w:pPr>
            <w:r w:rsidRPr="00BF63DC">
              <w:rPr>
                <w:rFonts w:ascii="Times New Roman" w:hAnsi="Times New Roman"/>
                <w:b/>
                <w:sz w:val="16"/>
                <w:szCs w:val="16"/>
              </w:rPr>
              <w:t>Rep./Obama</w:t>
            </w:r>
          </w:p>
        </w:tc>
        <w:tc>
          <w:tcPr>
            <w:tcW w:w="1542" w:type="dxa"/>
          </w:tcPr>
          <w:p w14:paraId="0EFFA906"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871" w:type="dxa"/>
          </w:tcPr>
          <w:p w14:paraId="01040D92"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50*</w:t>
            </w:r>
          </w:p>
        </w:tc>
        <w:tc>
          <w:tcPr>
            <w:tcW w:w="1030" w:type="dxa"/>
          </w:tcPr>
          <w:p w14:paraId="13894AF8"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c>
          <w:tcPr>
            <w:tcW w:w="1346" w:type="dxa"/>
          </w:tcPr>
          <w:p w14:paraId="150DD707"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100</w:t>
            </w:r>
          </w:p>
        </w:tc>
        <w:tc>
          <w:tcPr>
            <w:tcW w:w="1823" w:type="dxa"/>
          </w:tcPr>
          <w:p w14:paraId="4EFED8BC" w14:textId="77777777" w:rsidR="0086288C" w:rsidRPr="00BF63DC" w:rsidRDefault="0086288C" w:rsidP="0086288C">
            <w:pPr>
              <w:rPr>
                <w:rFonts w:ascii="Times New Roman" w:hAnsi="Times New Roman"/>
                <w:sz w:val="16"/>
                <w:szCs w:val="16"/>
              </w:rPr>
            </w:pPr>
            <w:r w:rsidRPr="00BF63DC">
              <w:rPr>
                <w:rFonts w:ascii="Times New Roman" w:hAnsi="Times New Roman"/>
                <w:sz w:val="16"/>
                <w:szCs w:val="16"/>
              </w:rPr>
              <w:t>0</w:t>
            </w:r>
          </w:p>
        </w:tc>
      </w:tr>
    </w:tbl>
    <w:p w14:paraId="37B24E85" w14:textId="77777777" w:rsidR="00BF63DC" w:rsidRDefault="00BF63DC" w:rsidP="003D1E8D">
      <w:pPr>
        <w:ind w:firstLine="0"/>
        <w:rPr>
          <w:rFonts w:ascii="Times New Roman" w:hAnsi="Times New Roman"/>
          <w:b/>
          <w:sz w:val="20"/>
        </w:rPr>
      </w:pPr>
    </w:p>
    <w:p w14:paraId="367639B0" w14:textId="77777777" w:rsidR="003D1E8D" w:rsidRDefault="003D1E8D" w:rsidP="003D1E8D">
      <w:pPr>
        <w:ind w:firstLine="0"/>
        <w:rPr>
          <w:rFonts w:ascii="Times New Roman" w:hAnsi="Times New Roman"/>
          <w:b/>
          <w:sz w:val="20"/>
        </w:rPr>
      </w:pPr>
    </w:p>
    <w:p w14:paraId="708FD48D" w14:textId="77777777" w:rsidR="003D1E8D" w:rsidRDefault="003D1E8D" w:rsidP="003D1E8D">
      <w:pPr>
        <w:ind w:firstLine="0"/>
        <w:rPr>
          <w:rFonts w:ascii="Times New Roman" w:hAnsi="Times New Roman"/>
          <w:b/>
          <w:sz w:val="20"/>
        </w:rPr>
      </w:pPr>
    </w:p>
    <w:p w14:paraId="58DA073A" w14:textId="77777777" w:rsidR="003D1E8D" w:rsidRDefault="003D1E8D" w:rsidP="003D1E8D">
      <w:pPr>
        <w:ind w:firstLine="0"/>
        <w:rPr>
          <w:rFonts w:ascii="Times New Roman" w:hAnsi="Times New Roman"/>
          <w:b/>
          <w:sz w:val="20"/>
        </w:rPr>
      </w:pPr>
    </w:p>
    <w:p w14:paraId="3F542C63" w14:textId="77777777" w:rsidR="003D1E8D" w:rsidRDefault="003D1E8D" w:rsidP="003D1E8D">
      <w:pPr>
        <w:ind w:firstLine="0"/>
        <w:rPr>
          <w:rFonts w:ascii="Times New Roman" w:hAnsi="Times New Roman"/>
          <w:b/>
          <w:sz w:val="20"/>
        </w:rPr>
      </w:pPr>
    </w:p>
    <w:p w14:paraId="1B37B685" w14:textId="77777777" w:rsidR="003D1E8D" w:rsidRDefault="003D1E8D" w:rsidP="003D1E8D">
      <w:pPr>
        <w:ind w:firstLine="0"/>
        <w:rPr>
          <w:rFonts w:ascii="Times New Roman" w:hAnsi="Times New Roman"/>
          <w:b/>
          <w:sz w:val="20"/>
        </w:rPr>
      </w:pPr>
    </w:p>
    <w:p w14:paraId="4361DD04" w14:textId="77777777" w:rsidR="003D1E8D" w:rsidRDefault="003D1E8D" w:rsidP="003D1E8D">
      <w:pPr>
        <w:ind w:firstLine="0"/>
        <w:rPr>
          <w:rFonts w:ascii="Times New Roman" w:hAnsi="Times New Roman"/>
          <w:b/>
          <w:sz w:val="20"/>
        </w:rPr>
      </w:pPr>
    </w:p>
    <w:p w14:paraId="1C68ADFC" w14:textId="77777777" w:rsidR="003D1E8D" w:rsidRDefault="003D1E8D" w:rsidP="003D1E8D">
      <w:pPr>
        <w:ind w:firstLine="0"/>
        <w:rPr>
          <w:rFonts w:ascii="Times New Roman" w:hAnsi="Times New Roman"/>
          <w:b/>
          <w:sz w:val="20"/>
        </w:rPr>
      </w:pPr>
    </w:p>
    <w:p w14:paraId="76E7539E" w14:textId="77777777" w:rsidR="003D1E8D" w:rsidRDefault="003D1E8D" w:rsidP="003D1E8D">
      <w:pPr>
        <w:ind w:firstLine="0"/>
        <w:rPr>
          <w:rFonts w:ascii="Times New Roman" w:hAnsi="Times New Roman"/>
          <w:b/>
          <w:sz w:val="20"/>
        </w:rPr>
      </w:pPr>
    </w:p>
    <w:p w14:paraId="237FC1A5" w14:textId="77777777" w:rsidR="003D1E8D" w:rsidRDefault="003D1E8D" w:rsidP="003D1E8D">
      <w:pPr>
        <w:ind w:firstLine="0"/>
        <w:rPr>
          <w:rFonts w:ascii="Times New Roman" w:hAnsi="Times New Roman"/>
          <w:b/>
          <w:sz w:val="20"/>
        </w:rPr>
      </w:pPr>
    </w:p>
    <w:p w14:paraId="7734AA7C" w14:textId="77777777" w:rsidR="003D1E8D" w:rsidRDefault="003D1E8D" w:rsidP="003D1E8D">
      <w:pPr>
        <w:ind w:firstLine="0"/>
        <w:rPr>
          <w:rFonts w:ascii="Times New Roman" w:hAnsi="Times New Roman"/>
          <w:b/>
          <w:sz w:val="20"/>
        </w:rPr>
      </w:pPr>
    </w:p>
    <w:p w14:paraId="3A7D4531" w14:textId="77777777" w:rsidR="003D1E8D" w:rsidRDefault="003D1E8D" w:rsidP="003D1E8D">
      <w:pPr>
        <w:ind w:firstLine="0"/>
        <w:rPr>
          <w:rFonts w:ascii="Times New Roman" w:hAnsi="Times New Roman"/>
          <w:b/>
          <w:sz w:val="20"/>
        </w:rPr>
      </w:pPr>
    </w:p>
    <w:p w14:paraId="72D4433D" w14:textId="77777777" w:rsidR="003D1E8D" w:rsidRDefault="003D1E8D" w:rsidP="003D1E8D">
      <w:pPr>
        <w:ind w:firstLine="0"/>
        <w:rPr>
          <w:rFonts w:ascii="Times New Roman" w:hAnsi="Times New Roman"/>
          <w:b/>
          <w:sz w:val="20"/>
        </w:rPr>
      </w:pPr>
    </w:p>
    <w:p w14:paraId="54245E37" w14:textId="77777777" w:rsidR="003D1E8D" w:rsidRDefault="003D1E8D" w:rsidP="003D1E8D">
      <w:pPr>
        <w:ind w:firstLine="0"/>
        <w:rPr>
          <w:rFonts w:ascii="Times New Roman" w:hAnsi="Times New Roman"/>
          <w:b/>
          <w:sz w:val="20"/>
        </w:rPr>
      </w:pPr>
    </w:p>
    <w:p w14:paraId="123F42EB" w14:textId="77777777" w:rsidR="003D1E8D" w:rsidRDefault="003D1E8D" w:rsidP="003D1E8D">
      <w:pPr>
        <w:ind w:firstLine="0"/>
        <w:rPr>
          <w:rFonts w:ascii="Times New Roman" w:hAnsi="Times New Roman"/>
          <w:b/>
          <w:sz w:val="20"/>
        </w:rPr>
      </w:pPr>
    </w:p>
    <w:p w14:paraId="1FF6EA2B" w14:textId="77777777" w:rsidR="003D1E8D" w:rsidRDefault="003D1E8D" w:rsidP="003D1E8D">
      <w:pPr>
        <w:ind w:firstLine="0"/>
        <w:rPr>
          <w:rFonts w:ascii="Times New Roman" w:hAnsi="Times New Roman"/>
          <w:b/>
          <w:sz w:val="20"/>
        </w:rPr>
      </w:pPr>
    </w:p>
    <w:p w14:paraId="5E824152" w14:textId="77777777" w:rsidR="003D1E8D" w:rsidRDefault="003D1E8D" w:rsidP="003D1E8D">
      <w:pPr>
        <w:ind w:firstLine="0"/>
        <w:rPr>
          <w:rFonts w:ascii="Times New Roman" w:hAnsi="Times New Roman"/>
          <w:b/>
          <w:sz w:val="20"/>
        </w:rPr>
      </w:pPr>
    </w:p>
    <w:p w14:paraId="4610CE7D" w14:textId="77777777" w:rsidR="003D1E8D" w:rsidRDefault="003D1E8D" w:rsidP="003D1E8D">
      <w:pPr>
        <w:ind w:firstLine="0"/>
        <w:rPr>
          <w:rFonts w:ascii="Times New Roman" w:hAnsi="Times New Roman"/>
          <w:b/>
          <w:sz w:val="20"/>
        </w:rPr>
      </w:pPr>
    </w:p>
    <w:p w14:paraId="18C96C95" w14:textId="77777777" w:rsidR="0086288C" w:rsidRPr="002442CD" w:rsidRDefault="0086288C" w:rsidP="003D1E8D">
      <w:pPr>
        <w:ind w:firstLine="0"/>
        <w:rPr>
          <w:rFonts w:ascii="Times New Roman" w:hAnsi="Times New Roman"/>
          <w:b/>
          <w:sz w:val="20"/>
        </w:rPr>
      </w:pPr>
      <w:r w:rsidRPr="002442CD">
        <w:rPr>
          <w:rFonts w:ascii="Times New Roman" w:hAnsi="Times New Roman"/>
          <w:b/>
          <w:sz w:val="20"/>
        </w:rPr>
        <w:lastRenderedPageBreak/>
        <w:t>Figure 5</w:t>
      </w:r>
    </w:p>
    <w:p w14:paraId="02574316" w14:textId="169BFDAC" w:rsidR="0086288C" w:rsidRPr="000410F3" w:rsidRDefault="0086288C" w:rsidP="0086288C">
      <w:pPr>
        <w:rPr>
          <w:rFonts w:ascii="Times New Roman" w:hAnsi="Times New Roman"/>
          <w:szCs w:val="24"/>
        </w:rPr>
      </w:pPr>
      <w:r w:rsidRPr="0086288C">
        <w:rPr>
          <w:rFonts w:ascii="Times New Roman" w:hAnsi="Times New Roman"/>
          <w:noProof/>
          <w:szCs w:val="24"/>
        </w:rPr>
        <w:drawing>
          <wp:inline distT="0" distB="0" distL="0" distR="0" wp14:anchorId="2489B6F7" wp14:editId="1E1EA79E">
            <wp:extent cx="3657600" cy="2679192"/>
            <wp:effectExtent l="0" t="0" r="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68B543E2" w14:textId="14F84C83" w:rsidR="0086288C" w:rsidRPr="00A04719" w:rsidRDefault="00A04719" w:rsidP="00A04719">
      <w:pPr>
        <w:pStyle w:val="ListParagraph"/>
        <w:numPr>
          <w:ilvl w:val="0"/>
          <w:numId w:val="23"/>
        </w:numPr>
        <w:rPr>
          <w:rFonts w:ascii="Times New Roman" w:hAnsi="Times New Roman"/>
          <w:b/>
          <w:szCs w:val="24"/>
        </w:rPr>
      </w:pPr>
      <w:r>
        <w:rPr>
          <w:rFonts w:ascii="Times New Roman" w:hAnsi="Times New Roman"/>
          <w:b/>
          <w:szCs w:val="24"/>
        </w:rPr>
        <w:t>NLRB’</w:t>
      </w:r>
      <w:r w:rsidR="0086288C" w:rsidRPr="00A04719">
        <w:rPr>
          <w:rFonts w:ascii="Times New Roman" w:hAnsi="Times New Roman"/>
          <w:b/>
          <w:szCs w:val="24"/>
        </w:rPr>
        <w:t xml:space="preserve">s Use of Textualism </w:t>
      </w:r>
      <w:r>
        <w:rPr>
          <w:rFonts w:ascii="Times New Roman" w:hAnsi="Times New Roman"/>
          <w:b/>
          <w:szCs w:val="24"/>
        </w:rPr>
        <w:t>and Latin/Language Canons</w:t>
      </w:r>
    </w:p>
    <w:p w14:paraId="4E7B1683" w14:textId="77777777" w:rsidR="00BF63DC" w:rsidRPr="002442CD" w:rsidRDefault="00BF63DC" w:rsidP="00BF63DC">
      <w:pPr>
        <w:pStyle w:val="ListParagraph"/>
        <w:spacing w:after="0" w:line="240" w:lineRule="auto"/>
        <w:ind w:left="1440"/>
        <w:rPr>
          <w:rFonts w:ascii="Times New Roman" w:hAnsi="Times New Roman"/>
          <w:b/>
          <w:sz w:val="24"/>
          <w:szCs w:val="24"/>
        </w:rPr>
      </w:pPr>
    </w:p>
    <w:p w14:paraId="0CFA2B58" w14:textId="77777777" w:rsidR="0086288C" w:rsidRDefault="0086288C" w:rsidP="0086288C">
      <w:pPr>
        <w:ind w:firstLine="720"/>
        <w:rPr>
          <w:rFonts w:ascii="Times New Roman" w:hAnsi="Times New Roman"/>
          <w:szCs w:val="24"/>
        </w:rPr>
      </w:pPr>
      <w:r w:rsidRPr="000410F3">
        <w:rPr>
          <w:rFonts w:ascii="Times New Roman" w:hAnsi="Times New Roman"/>
          <w:szCs w:val="24"/>
        </w:rPr>
        <w:t xml:space="preserve">The Board engaged in different types of textual analysis. In this section I set forth and explore in a doctrinal fashion each of the three typologies in turn: 1) plain meaning textualism; 2) expansive textualism; and 3) textualism by reliance on language/Latin/textual canons (particularly the whole act rule). </w:t>
      </w:r>
    </w:p>
    <w:p w14:paraId="631B8364" w14:textId="77777777" w:rsidR="00BF63DC" w:rsidRPr="000410F3" w:rsidRDefault="00BF63DC" w:rsidP="0086288C">
      <w:pPr>
        <w:ind w:firstLine="720"/>
        <w:rPr>
          <w:rFonts w:ascii="Times New Roman" w:hAnsi="Times New Roman"/>
          <w:szCs w:val="24"/>
        </w:rPr>
      </w:pPr>
    </w:p>
    <w:p w14:paraId="745D8B35" w14:textId="77777777" w:rsidR="0086288C" w:rsidRDefault="0086288C" w:rsidP="001A4D77">
      <w:pPr>
        <w:pStyle w:val="ListParagraph"/>
        <w:numPr>
          <w:ilvl w:val="0"/>
          <w:numId w:val="11"/>
        </w:numPr>
        <w:spacing w:after="0" w:line="240" w:lineRule="auto"/>
        <w:rPr>
          <w:rFonts w:ascii="Times New Roman" w:hAnsi="Times New Roman"/>
          <w:b/>
          <w:sz w:val="24"/>
          <w:szCs w:val="24"/>
        </w:rPr>
      </w:pPr>
      <w:r w:rsidRPr="002442CD">
        <w:rPr>
          <w:rFonts w:ascii="Times New Roman" w:hAnsi="Times New Roman"/>
          <w:b/>
          <w:sz w:val="24"/>
          <w:szCs w:val="24"/>
        </w:rPr>
        <w:t>Plain Meaning Textualism</w:t>
      </w:r>
    </w:p>
    <w:p w14:paraId="318C916F" w14:textId="77777777" w:rsidR="00BF63DC" w:rsidRPr="002442CD" w:rsidRDefault="00BF63DC" w:rsidP="00BF63DC">
      <w:pPr>
        <w:pStyle w:val="ListParagraph"/>
        <w:spacing w:after="0" w:line="240" w:lineRule="auto"/>
        <w:ind w:left="1800"/>
        <w:rPr>
          <w:rFonts w:ascii="Times New Roman" w:hAnsi="Times New Roman"/>
          <w:b/>
          <w:sz w:val="24"/>
          <w:szCs w:val="24"/>
        </w:rPr>
      </w:pPr>
    </w:p>
    <w:p w14:paraId="43B271F4"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 In the “primarily textualist” cases cited above, the Board sometimes read the text as mandating a certain interpretation by the clear import of the text. This analysis is similar to a </w:t>
      </w:r>
      <w:r w:rsidRPr="000410F3">
        <w:rPr>
          <w:rFonts w:ascii="Times New Roman" w:hAnsi="Times New Roman"/>
          <w:i/>
          <w:szCs w:val="24"/>
        </w:rPr>
        <w:t>Chevron</w:t>
      </w:r>
      <w:r w:rsidRPr="000410F3">
        <w:rPr>
          <w:rFonts w:ascii="Times New Roman" w:hAnsi="Times New Roman"/>
          <w:szCs w:val="24"/>
        </w:rPr>
        <w:t xml:space="preserve"> Step 1 analysis where the Board found the text to be unambiguous. Plain meaning textualism had little influence in influencing how the Board interprets statutes on the whole as the Board found the meaning plain and dispositive in less than 8% of the cases. Further, even when the Board adopts a “plain meaning” approach with the text clearly necessitating a given result, the Board’s inquiry did not stop at the text; rather, even though the Board found the text to be clear, they went further and examined the legislative history (56%), caselaw (100%), policy (78%) or practical consideration (67%) to back up its textual analysis. </w:t>
      </w:r>
    </w:p>
    <w:p w14:paraId="2FCA87AA" w14:textId="1657DF97" w:rsidR="0086288C" w:rsidRDefault="0086288C" w:rsidP="0086288C">
      <w:pPr>
        <w:ind w:firstLine="720"/>
        <w:rPr>
          <w:rFonts w:ascii="Times New Roman" w:hAnsi="Times New Roman"/>
          <w:szCs w:val="24"/>
        </w:rPr>
      </w:pPr>
      <w:r w:rsidRPr="000410F3">
        <w:rPr>
          <w:rFonts w:ascii="Times New Roman" w:hAnsi="Times New Roman"/>
          <w:szCs w:val="24"/>
        </w:rPr>
        <w:t xml:space="preserve">The Board adopted a plain meaning textualist approach, as an example, in </w:t>
      </w:r>
      <w:r w:rsidRPr="000410F3">
        <w:rPr>
          <w:rFonts w:ascii="Times New Roman" w:hAnsi="Times New Roman"/>
          <w:i/>
          <w:szCs w:val="24"/>
        </w:rPr>
        <w:t>Alexandra Clinic, P.A., et al</w:t>
      </w:r>
      <w:r w:rsidRPr="000410F3">
        <w:rPr>
          <w:rFonts w:ascii="Times New Roman" w:hAnsi="Times New Roman"/>
          <w:szCs w:val="24"/>
        </w:rPr>
        <w:t>.</w:t>
      </w:r>
      <w:r w:rsidRPr="000410F3">
        <w:rPr>
          <w:rStyle w:val="FootnoteReference"/>
          <w:rFonts w:ascii="Times New Roman" w:hAnsi="Times New Roman"/>
          <w:szCs w:val="24"/>
        </w:rPr>
        <w:footnoteReference w:id="186"/>
      </w:r>
      <w:r w:rsidRPr="000410F3">
        <w:rPr>
          <w:rFonts w:ascii="Times New Roman" w:hAnsi="Times New Roman"/>
          <w:szCs w:val="24"/>
        </w:rPr>
        <w:t xml:space="preserve"> In the case, the Board reversed the ALJ’s finding that the employer violated sections 8(a)(1) and 8(a)(3) of </w:t>
      </w:r>
      <w:r w:rsidRPr="000410F3">
        <w:rPr>
          <w:rFonts w:ascii="Times New Roman" w:hAnsi="Times New Roman"/>
          <w:szCs w:val="24"/>
        </w:rPr>
        <w:lastRenderedPageBreak/>
        <w:t>the NLRA by terminating striking nurses.</w:t>
      </w:r>
      <w:r w:rsidRPr="000410F3">
        <w:rPr>
          <w:rStyle w:val="FootnoteReference"/>
          <w:rFonts w:ascii="Times New Roman" w:hAnsi="Times New Roman"/>
          <w:szCs w:val="24"/>
        </w:rPr>
        <w:footnoteReference w:id="187"/>
      </w:r>
      <w:r w:rsidRPr="000410F3">
        <w:rPr>
          <w:rFonts w:ascii="Times New Roman" w:hAnsi="Times New Roman"/>
          <w:szCs w:val="24"/>
        </w:rPr>
        <w:t xml:space="preserve"> The Board relied on the plain language of section 8(g) of the statute, which expressly stated that nurses must give ten days advance notice in order to strike.</w:t>
      </w:r>
      <w:r w:rsidRPr="000410F3">
        <w:rPr>
          <w:rStyle w:val="FootnoteReference"/>
          <w:rFonts w:ascii="Times New Roman" w:hAnsi="Times New Roman"/>
          <w:szCs w:val="24"/>
        </w:rPr>
        <w:footnoteReference w:id="188"/>
      </w:r>
      <w:r w:rsidRPr="000410F3">
        <w:rPr>
          <w:rFonts w:ascii="Times New Roman" w:hAnsi="Times New Roman"/>
          <w:szCs w:val="24"/>
        </w:rPr>
        <w:t xml:space="preserve"> The Board made clear that the text controlled: “[s]ince the text of the statute is the law and that text is crystal clear and unambiguous, no further discussion is necessary.”</w:t>
      </w:r>
      <w:r w:rsidRPr="000410F3">
        <w:rPr>
          <w:rStyle w:val="FootnoteReference"/>
          <w:rFonts w:ascii="Times New Roman" w:hAnsi="Times New Roman"/>
          <w:szCs w:val="24"/>
        </w:rPr>
        <w:footnoteReference w:id="189"/>
      </w:r>
      <w:r w:rsidRPr="000410F3">
        <w:rPr>
          <w:rFonts w:ascii="Times New Roman" w:hAnsi="Times New Roman"/>
          <w:szCs w:val="24"/>
        </w:rPr>
        <w:t xml:space="preserve"> In so ruling, they overruled the Board’s prior decision in </w:t>
      </w:r>
      <w:r w:rsidRPr="000410F3">
        <w:rPr>
          <w:rFonts w:ascii="Times New Roman" w:hAnsi="Times New Roman"/>
          <w:i/>
          <w:szCs w:val="24"/>
        </w:rPr>
        <w:t>Greater New Orleans</w:t>
      </w:r>
      <w:r w:rsidRPr="000410F3">
        <w:rPr>
          <w:rFonts w:ascii="Times New Roman" w:hAnsi="Times New Roman"/>
          <w:szCs w:val="24"/>
        </w:rPr>
        <w:t>,</w:t>
      </w:r>
      <w:r w:rsidRPr="000410F3">
        <w:rPr>
          <w:rStyle w:val="FootnoteReference"/>
          <w:rFonts w:ascii="Times New Roman" w:hAnsi="Times New Roman"/>
          <w:szCs w:val="24"/>
        </w:rPr>
        <w:footnoteReference w:id="190"/>
      </w:r>
      <w:r w:rsidRPr="000410F3">
        <w:rPr>
          <w:rFonts w:ascii="Times New Roman" w:hAnsi="Times New Roman"/>
          <w:szCs w:val="24"/>
        </w:rPr>
        <w:t xml:space="preserve"> which had used the legislative history to change the meaning to give strikers more flexibility in the notice requirements.</w:t>
      </w:r>
      <w:r w:rsidRPr="000410F3">
        <w:rPr>
          <w:rStyle w:val="FootnoteReference"/>
          <w:rFonts w:ascii="Times New Roman" w:hAnsi="Times New Roman"/>
          <w:szCs w:val="24"/>
        </w:rPr>
        <w:footnoteReference w:id="191"/>
      </w:r>
      <w:r w:rsidR="00935848">
        <w:rPr>
          <w:rFonts w:ascii="Times New Roman" w:hAnsi="Times New Roman"/>
          <w:szCs w:val="24"/>
        </w:rPr>
        <w:t xml:space="preserve"> The Board</w:t>
      </w:r>
      <w:r w:rsidRPr="000410F3">
        <w:rPr>
          <w:rFonts w:ascii="Times New Roman" w:hAnsi="Times New Roman"/>
          <w:szCs w:val="24"/>
        </w:rPr>
        <w:t xml:space="preserve"> referenced section 8(g)’s history by noting how in 1974 Congress amended the Act to extend collective bargaining rights to health care workers.</w:t>
      </w:r>
      <w:r w:rsidRPr="000410F3">
        <w:rPr>
          <w:rStyle w:val="FootnoteReference"/>
          <w:rFonts w:ascii="Times New Roman" w:hAnsi="Times New Roman"/>
          <w:szCs w:val="24"/>
        </w:rPr>
        <w:footnoteReference w:id="192"/>
      </w:r>
      <w:r w:rsidRPr="000410F3">
        <w:rPr>
          <w:rFonts w:ascii="Times New Roman" w:hAnsi="Times New Roman"/>
          <w:szCs w:val="24"/>
        </w:rPr>
        <w:t xml:space="preserve"> Congress had to make a trade-off; while it wanted to extend benefits, it also had to face the realities of modern healthcare and the disruption that would ensue should health care workers be allowed to strike with impunity.</w:t>
      </w:r>
      <w:r w:rsidRPr="000410F3">
        <w:rPr>
          <w:rStyle w:val="FootnoteReference"/>
          <w:rFonts w:ascii="Times New Roman" w:hAnsi="Times New Roman"/>
          <w:szCs w:val="24"/>
        </w:rPr>
        <w:footnoteReference w:id="193"/>
      </w:r>
      <w:r>
        <w:rPr>
          <w:rFonts w:ascii="Times New Roman" w:hAnsi="Times New Roman"/>
          <w:szCs w:val="24"/>
        </w:rPr>
        <w:t xml:space="preserve"> The Board, </w:t>
      </w:r>
      <w:r w:rsidRPr="000410F3">
        <w:rPr>
          <w:rFonts w:ascii="Times New Roman" w:hAnsi="Times New Roman"/>
          <w:szCs w:val="24"/>
        </w:rPr>
        <w:t>however</w:t>
      </w:r>
      <w:r>
        <w:rPr>
          <w:rFonts w:ascii="Times New Roman" w:hAnsi="Times New Roman"/>
          <w:szCs w:val="24"/>
        </w:rPr>
        <w:t>,</w:t>
      </w:r>
      <w:r w:rsidRPr="000410F3">
        <w:rPr>
          <w:rFonts w:ascii="Times New Roman" w:hAnsi="Times New Roman"/>
          <w:szCs w:val="24"/>
        </w:rPr>
        <w:t xml:space="preserve"> stated that the section’s notice requirement was “clear and absolute,” in that it was clearly mandatory rather than discretionary,</w:t>
      </w:r>
      <w:r w:rsidRPr="000410F3">
        <w:rPr>
          <w:rStyle w:val="FootnoteReference"/>
          <w:rFonts w:ascii="Times New Roman" w:hAnsi="Times New Roman"/>
          <w:szCs w:val="24"/>
        </w:rPr>
        <w:footnoteReference w:id="194"/>
      </w:r>
      <w:r w:rsidRPr="000410F3">
        <w:rPr>
          <w:rFonts w:ascii="Times New Roman" w:hAnsi="Times New Roman"/>
          <w:szCs w:val="24"/>
        </w:rPr>
        <w:t xml:space="preserve"> and that the plain text made clear that it applied regardless of the nature of the picketing as the statute clearly stated that notice was required in advance of “any strike, picketing or other concerted refusal to work at any health care institution.”</w:t>
      </w:r>
      <w:r w:rsidRPr="000410F3">
        <w:rPr>
          <w:rStyle w:val="FootnoteReference"/>
          <w:rFonts w:ascii="Times New Roman" w:hAnsi="Times New Roman"/>
          <w:szCs w:val="24"/>
        </w:rPr>
        <w:footnoteReference w:id="195"/>
      </w:r>
      <w:r w:rsidRPr="000410F3">
        <w:rPr>
          <w:rFonts w:ascii="Times New Roman" w:hAnsi="Times New Roman"/>
          <w:szCs w:val="24"/>
        </w:rPr>
        <w:t xml:space="preserve"> The Board further noted that the section contained no modifying language respecting the nature of the picketing, and that as such, the provision should be interpreted to apply to the conduct at issue in the case.</w:t>
      </w:r>
      <w:r w:rsidRPr="000410F3">
        <w:rPr>
          <w:rStyle w:val="FootnoteReference"/>
          <w:rFonts w:ascii="Times New Roman" w:hAnsi="Times New Roman"/>
          <w:szCs w:val="24"/>
        </w:rPr>
        <w:footnoteReference w:id="196"/>
      </w:r>
      <w:r w:rsidRPr="000410F3">
        <w:rPr>
          <w:rFonts w:ascii="Times New Roman" w:hAnsi="Times New Roman"/>
          <w:szCs w:val="24"/>
        </w:rPr>
        <w:t xml:space="preserve"> The Board criticized the </w:t>
      </w:r>
      <w:r w:rsidRPr="000410F3">
        <w:rPr>
          <w:rFonts w:ascii="Times New Roman" w:hAnsi="Times New Roman"/>
          <w:i/>
          <w:szCs w:val="24"/>
        </w:rPr>
        <w:t>Greater New Orleans</w:t>
      </w:r>
      <w:r w:rsidRPr="000410F3">
        <w:rPr>
          <w:rFonts w:ascii="Times New Roman" w:hAnsi="Times New Roman"/>
          <w:szCs w:val="24"/>
        </w:rPr>
        <w:t xml:space="preserve"> Board by using legislative history to “rewrite the statute” to make the notice requirement discretionary rather than mandatory.</w:t>
      </w:r>
      <w:r w:rsidRPr="000410F3">
        <w:rPr>
          <w:rStyle w:val="FootnoteReference"/>
          <w:rFonts w:ascii="Times New Roman" w:hAnsi="Times New Roman"/>
          <w:szCs w:val="24"/>
        </w:rPr>
        <w:footnoteReference w:id="197"/>
      </w:r>
      <w:r w:rsidRPr="000410F3">
        <w:rPr>
          <w:rFonts w:ascii="Times New Roman" w:hAnsi="Times New Roman"/>
          <w:szCs w:val="24"/>
        </w:rPr>
        <w:t xml:space="preserve"> Even though the Board found the text to be clear warranting “no further discussion,” as is the Board’s usual practice, the Board still went on to note that “policy considerations underlying Section 8(g) are effectuated” by applying it to the strikers workers in the case.</w:t>
      </w:r>
      <w:r w:rsidRPr="000410F3">
        <w:rPr>
          <w:rStyle w:val="FootnoteReference"/>
          <w:rFonts w:ascii="Times New Roman" w:hAnsi="Times New Roman"/>
          <w:szCs w:val="24"/>
        </w:rPr>
        <w:footnoteReference w:id="198"/>
      </w:r>
    </w:p>
    <w:p w14:paraId="78B41DB2" w14:textId="77777777" w:rsidR="00BF63DC" w:rsidRPr="000410F3" w:rsidRDefault="00BF63DC" w:rsidP="0086288C">
      <w:pPr>
        <w:ind w:firstLine="720"/>
        <w:rPr>
          <w:rFonts w:ascii="Times New Roman" w:hAnsi="Times New Roman"/>
          <w:szCs w:val="24"/>
        </w:rPr>
      </w:pPr>
    </w:p>
    <w:p w14:paraId="07C35F6D" w14:textId="77777777" w:rsidR="0086288C" w:rsidRDefault="0086288C" w:rsidP="001A4D77">
      <w:pPr>
        <w:pStyle w:val="ListParagraph"/>
        <w:numPr>
          <w:ilvl w:val="0"/>
          <w:numId w:val="11"/>
        </w:numPr>
        <w:spacing w:after="0" w:line="240" w:lineRule="auto"/>
        <w:rPr>
          <w:rFonts w:ascii="Times New Roman" w:hAnsi="Times New Roman"/>
          <w:b/>
          <w:sz w:val="24"/>
          <w:szCs w:val="24"/>
        </w:rPr>
      </w:pPr>
      <w:r w:rsidRPr="002442CD">
        <w:rPr>
          <w:rFonts w:ascii="Times New Roman" w:hAnsi="Times New Roman"/>
          <w:b/>
          <w:sz w:val="24"/>
          <w:szCs w:val="24"/>
        </w:rPr>
        <w:lastRenderedPageBreak/>
        <w:t>Expansionist Textualism</w:t>
      </w:r>
    </w:p>
    <w:p w14:paraId="30E435B8" w14:textId="77777777" w:rsidR="00BF63DC" w:rsidRPr="002442CD" w:rsidRDefault="00BF63DC" w:rsidP="00BF63DC">
      <w:pPr>
        <w:pStyle w:val="ListParagraph"/>
        <w:spacing w:after="0" w:line="240" w:lineRule="auto"/>
        <w:ind w:left="1800"/>
        <w:rPr>
          <w:rFonts w:ascii="Times New Roman" w:hAnsi="Times New Roman"/>
          <w:b/>
          <w:sz w:val="24"/>
          <w:szCs w:val="24"/>
        </w:rPr>
      </w:pPr>
    </w:p>
    <w:p w14:paraId="6D3083D4"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Instead of the plain language </w:t>
      </w:r>
      <w:r w:rsidRPr="000410F3">
        <w:rPr>
          <w:rFonts w:ascii="Times New Roman" w:hAnsi="Times New Roman"/>
          <w:i/>
          <w:szCs w:val="24"/>
        </w:rPr>
        <w:t>mandating</w:t>
      </w:r>
      <w:r w:rsidRPr="000410F3">
        <w:rPr>
          <w:rFonts w:ascii="Times New Roman" w:hAnsi="Times New Roman"/>
          <w:szCs w:val="24"/>
        </w:rPr>
        <w:t xml:space="preserve"> a specific result, the Board often adopted textualist approaches to argue that the text did not forbid a certain interpretation or that the language of the text, when read together with surrounding language or the text of other sections, either necessitated a given result or offered one among many permissible interpretations of the statute. Of the 62% of cases in which the Board referred at least in part to the text, in 38% of the c</w:t>
      </w:r>
      <w:r>
        <w:rPr>
          <w:rFonts w:ascii="Times New Roman" w:hAnsi="Times New Roman"/>
          <w:szCs w:val="24"/>
        </w:rPr>
        <w:t>ases the Board made clear the</w:t>
      </w:r>
      <w:r w:rsidRPr="000410F3">
        <w:rPr>
          <w:rFonts w:ascii="Times New Roman" w:hAnsi="Times New Roman"/>
          <w:szCs w:val="24"/>
        </w:rPr>
        <w:t xml:space="preserve"> text either did not limit an interpretation or did not foreclose an alternative interpretation. Thus, unlike in the primarily textualist approach, instead of saying that the text mandates a result, in almost half of the cases where the Board makes reference to the text it only cites the text to make clear that the text cannot be read so as to proscribe a given interpretation, leaving the gap to be filled by either reliance on precedent, policy concerns or guidance from the legislative history. </w:t>
      </w:r>
    </w:p>
    <w:p w14:paraId="793E54CC"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The Board had a habit of adopting an expansive textualist approach whereby it argued that no language in the statute limited the Board’s flexibility in fashioning a given rule. In this way, the Board used the </w:t>
      </w:r>
      <w:r w:rsidRPr="000410F3">
        <w:rPr>
          <w:rFonts w:ascii="Times New Roman" w:hAnsi="Times New Roman"/>
          <w:i/>
          <w:szCs w:val="24"/>
        </w:rPr>
        <w:t>expressio unius</w:t>
      </w:r>
      <w:r w:rsidRPr="000410F3">
        <w:rPr>
          <w:rFonts w:ascii="Times New Roman" w:hAnsi="Times New Roman"/>
          <w:szCs w:val="24"/>
        </w:rPr>
        <w:t xml:space="preserve"> approach. Under the Latin canon of </w:t>
      </w:r>
      <w:r w:rsidRPr="000410F3">
        <w:rPr>
          <w:rFonts w:ascii="Times New Roman" w:hAnsi="Times New Roman"/>
          <w:i/>
          <w:szCs w:val="24"/>
        </w:rPr>
        <w:t>expressio unius</w:t>
      </w:r>
      <w:r w:rsidRPr="000410F3">
        <w:rPr>
          <w:rFonts w:ascii="Times New Roman" w:hAnsi="Times New Roman"/>
          <w:szCs w:val="24"/>
        </w:rPr>
        <w:t xml:space="preserve">, something not expressly mentioned is excluded, and in about 11% of cases, the Board adopted this expansionist “no limits” textualist philosophy where it delved into the language of the statute to contend that it should be read without limits. </w:t>
      </w:r>
    </w:p>
    <w:p w14:paraId="67480ED1" w14:textId="62548744" w:rsidR="0086288C" w:rsidRPr="000410F3" w:rsidRDefault="00935848" w:rsidP="0086288C">
      <w:pPr>
        <w:ind w:firstLine="720"/>
        <w:rPr>
          <w:rFonts w:ascii="Times New Roman" w:hAnsi="Times New Roman"/>
          <w:szCs w:val="24"/>
        </w:rPr>
      </w:pPr>
      <w:r>
        <w:rPr>
          <w:rFonts w:ascii="Times New Roman" w:hAnsi="Times New Roman"/>
          <w:szCs w:val="24"/>
        </w:rPr>
        <w:t>The Board most</w:t>
      </w:r>
      <w:r w:rsidR="0086288C" w:rsidRPr="000410F3">
        <w:rPr>
          <w:rFonts w:ascii="Times New Roman" w:hAnsi="Times New Roman"/>
          <w:szCs w:val="24"/>
        </w:rPr>
        <w:t xml:space="preserve"> frequently used an expansionist textual method to rule on the breadth of coverage under the NLRA, especially when determining whether someone fell within the ambit of the Act. Critics of the Board have frequently criticized the Board for its frequent flip-flopping on the NLRA’s reach, especially with respect to interpreting who falls under the umbrella of being an “employee” under the Act. In recent years, the Board has heard a flurry of cases concerning with whether medical residents and interns (otherwise known as “house staff”) and graduate student teaching assistants are considered “employees” for purposes of protection under the NLRA. After amendments to the NLRB in the 1970s to allow the Board jurisdiction over private hospitals, the Board held that house staff and teaching assistants fell outside the Act’s protection.</w:t>
      </w:r>
      <w:r w:rsidR="0086288C" w:rsidRPr="000410F3">
        <w:rPr>
          <w:rStyle w:val="FootnoteReference"/>
          <w:rFonts w:ascii="Times New Roman" w:hAnsi="Times New Roman"/>
          <w:szCs w:val="24"/>
        </w:rPr>
        <w:footnoteReference w:id="199"/>
      </w:r>
      <w:r w:rsidR="0086288C" w:rsidRPr="000410F3">
        <w:rPr>
          <w:rFonts w:ascii="Times New Roman" w:hAnsi="Times New Roman"/>
          <w:szCs w:val="24"/>
        </w:rPr>
        <w:t xml:space="preserve"> By 1999, the Board, now in control by Democrats, flip-flopped, overturning the NLRB rulings </w:t>
      </w:r>
      <w:r w:rsidR="0086288C" w:rsidRPr="000410F3">
        <w:rPr>
          <w:rFonts w:ascii="Times New Roman" w:hAnsi="Times New Roman"/>
          <w:szCs w:val="24"/>
        </w:rPr>
        <w:lastRenderedPageBreak/>
        <w:t>from the 1970s and extending protection to residents and TAs.</w:t>
      </w:r>
      <w:r w:rsidR="0086288C" w:rsidRPr="000410F3">
        <w:rPr>
          <w:rStyle w:val="FootnoteReference"/>
          <w:rFonts w:ascii="Times New Roman" w:hAnsi="Times New Roman"/>
          <w:szCs w:val="24"/>
        </w:rPr>
        <w:footnoteReference w:id="200"/>
      </w:r>
      <w:r w:rsidR="0086288C" w:rsidRPr="000410F3">
        <w:rPr>
          <w:rFonts w:ascii="Times New Roman" w:hAnsi="Times New Roman"/>
          <w:szCs w:val="24"/>
        </w:rPr>
        <w:t xml:space="preserve"> By 2004, once the Board switched to Republican, the Board overturned the decisions regarding TAs once again.</w:t>
      </w:r>
      <w:r w:rsidR="0086288C" w:rsidRPr="000410F3">
        <w:rPr>
          <w:rStyle w:val="FootnoteReference"/>
          <w:rFonts w:ascii="Times New Roman" w:hAnsi="Times New Roman"/>
          <w:szCs w:val="24"/>
        </w:rPr>
        <w:footnoteReference w:id="201"/>
      </w:r>
      <w:r w:rsidR="0086288C" w:rsidRPr="000410F3">
        <w:rPr>
          <w:rFonts w:ascii="Times New Roman" w:hAnsi="Times New Roman"/>
          <w:szCs w:val="24"/>
        </w:rPr>
        <w:t xml:space="preserve"> The</w:t>
      </w:r>
      <w:r w:rsidR="0086288C">
        <w:rPr>
          <w:rFonts w:ascii="Times New Roman" w:hAnsi="Times New Roman"/>
          <w:szCs w:val="24"/>
        </w:rPr>
        <w:t>n, by 2016, the Board, now</w:t>
      </w:r>
      <w:r w:rsidR="0086288C" w:rsidRPr="000410F3">
        <w:rPr>
          <w:rFonts w:ascii="Times New Roman" w:hAnsi="Times New Roman"/>
          <w:szCs w:val="24"/>
        </w:rPr>
        <w:t xml:space="preserve"> controlled by Democrats, once again overturned the 2004 ruling and found that graduate TAs in private universities are indeed covered under the protections of the NLRA.</w:t>
      </w:r>
      <w:r w:rsidR="0086288C" w:rsidRPr="000410F3">
        <w:rPr>
          <w:rStyle w:val="FootnoteReference"/>
          <w:rFonts w:ascii="Times New Roman" w:hAnsi="Times New Roman"/>
          <w:szCs w:val="24"/>
        </w:rPr>
        <w:footnoteReference w:id="202"/>
      </w:r>
    </w:p>
    <w:p w14:paraId="77C2852F" w14:textId="525B3E2A" w:rsidR="00A04719" w:rsidRDefault="0086288C" w:rsidP="00A04719">
      <w:pPr>
        <w:rPr>
          <w:rFonts w:ascii="Times New Roman" w:hAnsi="Times New Roman"/>
          <w:szCs w:val="24"/>
        </w:rPr>
      </w:pPr>
      <w:r w:rsidRPr="000410F3">
        <w:rPr>
          <w:rFonts w:ascii="Times New Roman" w:hAnsi="Times New Roman"/>
          <w:szCs w:val="24"/>
        </w:rPr>
        <w:tab/>
        <w:t xml:space="preserve">The Board’s decision in </w:t>
      </w:r>
      <w:r w:rsidRPr="000410F3">
        <w:rPr>
          <w:rFonts w:ascii="Times New Roman" w:hAnsi="Times New Roman"/>
          <w:i/>
          <w:szCs w:val="24"/>
        </w:rPr>
        <w:t>Columbia University</w:t>
      </w:r>
      <w:r w:rsidRPr="000410F3">
        <w:rPr>
          <w:rFonts w:ascii="Times New Roman" w:hAnsi="Times New Roman"/>
          <w:szCs w:val="24"/>
        </w:rPr>
        <w:t xml:space="preserve"> in August 2016 shows how the Board frequently expansively interprets the Act’s words to bring additional people within the ambit of the NLRA.</w:t>
      </w:r>
      <w:r w:rsidRPr="000410F3">
        <w:rPr>
          <w:rStyle w:val="FootnoteReference"/>
          <w:rFonts w:ascii="Times New Roman" w:hAnsi="Times New Roman"/>
          <w:szCs w:val="24"/>
        </w:rPr>
        <w:footnoteReference w:id="203"/>
      </w:r>
      <w:r w:rsidRPr="000410F3">
        <w:rPr>
          <w:rFonts w:ascii="Times New Roman" w:hAnsi="Times New Roman"/>
          <w:szCs w:val="24"/>
        </w:rPr>
        <w:t xml:space="preserve"> For at least the third time in a decade, the Board had to address whether graduate teaching assistants who perform services for the university are “employees” under the meaning of the NLRA as defined by section 2(3) of the Act.</w:t>
      </w:r>
      <w:r w:rsidRPr="000410F3">
        <w:rPr>
          <w:rStyle w:val="FootnoteReference"/>
          <w:rFonts w:ascii="Times New Roman" w:hAnsi="Times New Roman"/>
          <w:szCs w:val="24"/>
        </w:rPr>
        <w:footnoteReference w:id="204"/>
      </w:r>
      <w:r w:rsidRPr="000410F3">
        <w:rPr>
          <w:rFonts w:ascii="Times New Roman" w:hAnsi="Times New Roman"/>
          <w:szCs w:val="24"/>
        </w:rPr>
        <w:t xml:space="preserve"> If graduate students qualified as employees, they would come within the ambit of the Act with respect to engaging in concerted activity and collective bargaining</w:t>
      </w:r>
      <w:r w:rsidR="00190A0F">
        <w:rPr>
          <w:rFonts w:ascii="Times New Roman" w:hAnsi="Times New Roman"/>
          <w:szCs w:val="24"/>
        </w:rPr>
        <w:t xml:space="preserve"> </w:t>
      </w:r>
      <w:r w:rsidRPr="000410F3">
        <w:rPr>
          <w:rFonts w:ascii="Times New Roman" w:hAnsi="Times New Roman"/>
          <w:szCs w:val="24"/>
        </w:rPr>
        <w:t>—</w:t>
      </w:r>
      <w:r w:rsidR="00190A0F">
        <w:rPr>
          <w:rFonts w:ascii="Times New Roman" w:hAnsi="Times New Roman"/>
          <w:szCs w:val="24"/>
        </w:rPr>
        <w:t xml:space="preserve"> </w:t>
      </w:r>
      <w:r w:rsidRPr="000410F3">
        <w:rPr>
          <w:rFonts w:ascii="Times New Roman" w:hAnsi="Times New Roman"/>
          <w:szCs w:val="24"/>
        </w:rPr>
        <w:t>a major expansion of the role of TAs in private universities. The Board noted that the Act specifically states “any employee,” listing several exceptions such as independent contractors. Because the statute did not expressly list residents as an exception, the Board reasoned, residents did not fall outside the coverage of the Act which expressly covered “any employee.”</w:t>
      </w:r>
      <w:r w:rsidRPr="000410F3">
        <w:rPr>
          <w:rStyle w:val="FootnoteReference"/>
          <w:rFonts w:ascii="Times New Roman" w:hAnsi="Times New Roman"/>
          <w:szCs w:val="24"/>
        </w:rPr>
        <w:footnoteReference w:id="205"/>
      </w:r>
      <w:r w:rsidRPr="000410F3">
        <w:rPr>
          <w:rFonts w:ascii="Times New Roman" w:hAnsi="Times New Roman"/>
          <w:szCs w:val="24"/>
        </w:rPr>
        <w:t xml:space="preserve"> Moreover, applying </w:t>
      </w:r>
      <w:r w:rsidRPr="000410F3">
        <w:rPr>
          <w:rFonts w:ascii="Times New Roman" w:hAnsi="Times New Roman"/>
          <w:i/>
          <w:szCs w:val="24"/>
        </w:rPr>
        <w:t>expressio unius</w:t>
      </w:r>
      <w:r w:rsidRPr="000410F3">
        <w:rPr>
          <w:rFonts w:ascii="Times New Roman" w:hAnsi="Times New Roman"/>
          <w:szCs w:val="24"/>
        </w:rPr>
        <w:t>, the inclusion of a list of persons who are not employees suggests that a graduate student, not being identified, should be considered within the definition.</w:t>
      </w:r>
      <w:r w:rsidRPr="000410F3">
        <w:rPr>
          <w:rStyle w:val="FootnoteReference"/>
          <w:rFonts w:ascii="Times New Roman" w:hAnsi="Times New Roman"/>
          <w:szCs w:val="24"/>
        </w:rPr>
        <w:footnoteReference w:id="206"/>
      </w:r>
      <w:r w:rsidRPr="000410F3">
        <w:rPr>
          <w:rFonts w:ascii="Times New Roman" w:hAnsi="Times New Roman"/>
          <w:szCs w:val="24"/>
        </w:rPr>
        <w:t xml:space="preserve"> The Board similarly used an expansionist textualism in other cases as well. The Board often, for instance, would recite that “nothing in the text limits” the Board’s interpretation, another way of saying that the text does not foreclose the Board from adopting a specific interpretation. The Board rarely relied on a textualist only approach in interpreting cases; rather textualism may have been the heart of the statutory methodology employed by the Board but it was by no means the exclusive method employed. Even when using a textualist approach, the Board would also often refer to legislative history (78%) or policy (87%) as well to </w:t>
      </w:r>
      <w:r w:rsidRPr="000410F3">
        <w:rPr>
          <w:rFonts w:ascii="Times New Roman" w:hAnsi="Times New Roman"/>
          <w:szCs w:val="24"/>
        </w:rPr>
        <w:lastRenderedPageBreak/>
        <w:t>supplement its expansionist reading of the statute.</w:t>
      </w:r>
      <w:r w:rsidRPr="000410F3">
        <w:rPr>
          <w:rStyle w:val="FootnoteReference"/>
          <w:rFonts w:ascii="Times New Roman" w:hAnsi="Times New Roman"/>
          <w:szCs w:val="24"/>
        </w:rPr>
        <w:footnoteReference w:id="207"/>
      </w:r>
    </w:p>
    <w:p w14:paraId="7B84537B" w14:textId="77777777" w:rsidR="00A04719" w:rsidRDefault="00A04719" w:rsidP="00A04719">
      <w:pPr>
        <w:ind w:firstLine="0"/>
        <w:rPr>
          <w:rFonts w:ascii="Times New Roman" w:hAnsi="Times New Roman"/>
          <w:szCs w:val="24"/>
        </w:rPr>
      </w:pPr>
    </w:p>
    <w:p w14:paraId="4818A47E" w14:textId="204CF243" w:rsidR="0086288C" w:rsidRPr="00A04719" w:rsidRDefault="0086288C" w:rsidP="00A04719">
      <w:pPr>
        <w:pStyle w:val="ListParagraph"/>
        <w:numPr>
          <w:ilvl w:val="0"/>
          <w:numId w:val="11"/>
        </w:numPr>
        <w:rPr>
          <w:rFonts w:ascii="Times New Roman" w:hAnsi="Times New Roman"/>
          <w:szCs w:val="24"/>
        </w:rPr>
      </w:pPr>
      <w:r w:rsidRPr="00A04719">
        <w:rPr>
          <w:rFonts w:ascii="Times New Roman" w:hAnsi="Times New Roman"/>
          <w:b/>
          <w:szCs w:val="24"/>
        </w:rPr>
        <w:t xml:space="preserve">Textualism </w:t>
      </w:r>
      <w:r w:rsidR="00A04719">
        <w:rPr>
          <w:rFonts w:ascii="Times New Roman" w:hAnsi="Times New Roman"/>
          <w:b/>
          <w:szCs w:val="24"/>
        </w:rPr>
        <w:t xml:space="preserve">and </w:t>
      </w:r>
      <w:r w:rsidRPr="00A04719">
        <w:rPr>
          <w:rFonts w:ascii="Times New Roman" w:hAnsi="Times New Roman"/>
          <w:b/>
          <w:szCs w:val="24"/>
        </w:rPr>
        <w:t>Latin/Language/Textual Canons</w:t>
      </w:r>
    </w:p>
    <w:p w14:paraId="746B40C6" w14:textId="115CCAB7" w:rsidR="0086288C" w:rsidRDefault="0086288C" w:rsidP="0086288C">
      <w:pPr>
        <w:ind w:firstLine="720"/>
        <w:rPr>
          <w:rFonts w:ascii="Times New Roman" w:hAnsi="Times New Roman"/>
          <w:szCs w:val="24"/>
        </w:rPr>
      </w:pPr>
      <w:r w:rsidRPr="000410F3">
        <w:rPr>
          <w:rFonts w:ascii="Times New Roman" w:hAnsi="Times New Roman"/>
          <w:szCs w:val="24"/>
        </w:rPr>
        <w:t>The Board on occasion would also inform statutory meaning by resort to other textualist and Latin/language canons, though it never mentions any of the Latin canons expressly by name.</w:t>
      </w:r>
      <w:r w:rsidRPr="000410F3">
        <w:rPr>
          <w:rStyle w:val="FootnoteReference"/>
          <w:rFonts w:ascii="Times New Roman" w:hAnsi="Times New Roman"/>
          <w:szCs w:val="24"/>
        </w:rPr>
        <w:footnoteReference w:id="208"/>
      </w:r>
      <w:r w:rsidRPr="000410F3">
        <w:rPr>
          <w:rFonts w:ascii="Times New Roman" w:hAnsi="Times New Roman"/>
          <w:szCs w:val="24"/>
        </w:rPr>
        <w:t xml:space="preserve"> Figure 6 details the Latin/Language/Textual/Substantive Canons used by the Board. The Board’s majority invoked Latin or other language related canons such as avoiding superfluities in about a fifth of all cases. The Board most frequently invoked the whole act rule, relying on other parts of the statute that were similar to interpret the statute about 22% of the time. This is of no surprise given that the NLRA is part of a single statutory scheme so it would be important to use other parts of the statute to inform meaning. In interpreting whether a union committed an unfair labor pr</w:t>
      </w:r>
      <w:r w:rsidR="00190A0F">
        <w:rPr>
          <w:rFonts w:ascii="Times New Roman" w:hAnsi="Times New Roman"/>
          <w:szCs w:val="24"/>
        </w:rPr>
        <w:t>actice, the Board</w:t>
      </w:r>
      <w:r w:rsidRPr="000410F3">
        <w:rPr>
          <w:rFonts w:ascii="Times New Roman" w:hAnsi="Times New Roman"/>
          <w:szCs w:val="24"/>
        </w:rPr>
        <w:t xml:space="preserve"> may refer to the provisions governing unfair labor practices against employers, with Board members differing on whether provisions governing union and employer abuses should be interpreted in a similar fashion.</w:t>
      </w:r>
    </w:p>
    <w:p w14:paraId="42F6C1BE" w14:textId="77777777" w:rsidR="00A04719" w:rsidRDefault="00A04719" w:rsidP="00A04719">
      <w:pPr>
        <w:ind w:firstLine="0"/>
        <w:rPr>
          <w:rFonts w:ascii="Times New Roman" w:hAnsi="Times New Roman"/>
          <w:b/>
          <w:sz w:val="20"/>
        </w:rPr>
      </w:pPr>
    </w:p>
    <w:p w14:paraId="51A0E550" w14:textId="77777777" w:rsidR="0086288C" w:rsidRDefault="0086288C" w:rsidP="00A04719">
      <w:pPr>
        <w:ind w:firstLine="0"/>
        <w:rPr>
          <w:rFonts w:ascii="Times New Roman" w:hAnsi="Times New Roman"/>
          <w:b/>
          <w:sz w:val="20"/>
        </w:rPr>
      </w:pPr>
      <w:r w:rsidRPr="0097610A">
        <w:rPr>
          <w:rFonts w:ascii="Times New Roman" w:hAnsi="Times New Roman"/>
          <w:b/>
          <w:sz w:val="20"/>
        </w:rPr>
        <w:t>Figure 6</w:t>
      </w:r>
    </w:p>
    <w:p w14:paraId="66F27844" w14:textId="77777777" w:rsidR="00A04719" w:rsidRPr="0097610A" w:rsidRDefault="00A04719" w:rsidP="00A04719">
      <w:pPr>
        <w:ind w:firstLine="0"/>
        <w:rPr>
          <w:rFonts w:ascii="Times New Roman" w:hAnsi="Times New Roman"/>
          <w:b/>
          <w:sz w:val="20"/>
        </w:rPr>
      </w:pPr>
    </w:p>
    <w:p w14:paraId="248A11CB" w14:textId="204EB092" w:rsidR="0086288C" w:rsidRPr="000410F3" w:rsidRDefault="0086288C" w:rsidP="0086288C">
      <w:pPr>
        <w:ind w:firstLine="720"/>
        <w:rPr>
          <w:rFonts w:ascii="Times New Roman" w:hAnsi="Times New Roman"/>
          <w:szCs w:val="24"/>
        </w:rPr>
      </w:pPr>
      <w:r w:rsidRPr="0086288C">
        <w:rPr>
          <w:rFonts w:ascii="Times New Roman" w:hAnsi="Times New Roman"/>
          <w:noProof/>
          <w:szCs w:val="24"/>
        </w:rPr>
        <w:drawing>
          <wp:inline distT="0" distB="0" distL="0" distR="0" wp14:anchorId="523CE4B7" wp14:editId="444A3347">
            <wp:extent cx="3657600" cy="2679192"/>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7EFCA636" w14:textId="77777777" w:rsidR="00A04719" w:rsidRDefault="00A04719" w:rsidP="0086288C">
      <w:pPr>
        <w:ind w:firstLine="720"/>
        <w:rPr>
          <w:rFonts w:ascii="Times New Roman" w:hAnsi="Times New Roman"/>
          <w:szCs w:val="24"/>
        </w:rPr>
      </w:pPr>
    </w:p>
    <w:p w14:paraId="5FD96984" w14:textId="453352FF" w:rsidR="0086288C" w:rsidRPr="000410F3" w:rsidRDefault="0086288C" w:rsidP="0086288C">
      <w:pPr>
        <w:ind w:firstLine="720"/>
        <w:rPr>
          <w:rFonts w:ascii="Times New Roman" w:hAnsi="Times New Roman"/>
          <w:szCs w:val="24"/>
        </w:rPr>
      </w:pPr>
      <w:r w:rsidRPr="000410F3">
        <w:rPr>
          <w:rFonts w:ascii="Times New Roman" w:hAnsi="Times New Roman"/>
          <w:szCs w:val="24"/>
        </w:rPr>
        <w:lastRenderedPageBreak/>
        <w:t>In addition to the whole act rule, the Board most commonly used the whole code rule to inform statutory meaning in about 6% of cases. The whole code rule most often came up in reference to cases which called for the Board to interpret the Railway Act, which, the Supreme Court has stated is an “analogous” statute to the NLRA.</w:t>
      </w:r>
      <w:r w:rsidRPr="000410F3">
        <w:rPr>
          <w:rStyle w:val="FootnoteReference"/>
          <w:rFonts w:ascii="Times New Roman" w:hAnsi="Times New Roman"/>
          <w:szCs w:val="24"/>
        </w:rPr>
        <w:footnoteReference w:id="209"/>
      </w:r>
      <w:r w:rsidRPr="000410F3">
        <w:rPr>
          <w:rFonts w:ascii="Times New Roman" w:hAnsi="Times New Roman"/>
          <w:szCs w:val="24"/>
        </w:rPr>
        <w:t xml:space="preserve"> Much of the debate concerning the Railway Act concerned whether the two acts are statutory equivalents (as the Supreme Court said), so as to use the Act to inform statutory meaning of the NLRA.</w:t>
      </w:r>
      <w:r w:rsidRPr="000410F3">
        <w:rPr>
          <w:rStyle w:val="FootnoteReference"/>
          <w:rFonts w:ascii="Times New Roman" w:hAnsi="Times New Roman"/>
          <w:szCs w:val="24"/>
        </w:rPr>
        <w:footnoteReference w:id="210"/>
      </w:r>
      <w:r w:rsidRPr="000410F3">
        <w:rPr>
          <w:rFonts w:ascii="Times New Roman" w:hAnsi="Times New Roman"/>
          <w:szCs w:val="24"/>
        </w:rPr>
        <w:t xml:space="preserve"> The Board rarely relied on any of the Latin canons and never mentioned any of them by their formal name. For clarity, I specified that the Board here used the </w:t>
      </w:r>
      <w:r w:rsidRPr="000410F3">
        <w:rPr>
          <w:rFonts w:ascii="Times New Roman" w:hAnsi="Times New Roman"/>
          <w:i/>
          <w:szCs w:val="24"/>
        </w:rPr>
        <w:t>expressio unius</w:t>
      </w:r>
      <w:r w:rsidRPr="000410F3">
        <w:rPr>
          <w:rFonts w:ascii="Times New Roman" w:hAnsi="Times New Roman"/>
          <w:szCs w:val="24"/>
        </w:rPr>
        <w:t xml:space="preserve"> canon to include what was not ex</w:t>
      </w:r>
      <w:r w:rsidR="00190A0F">
        <w:rPr>
          <w:rFonts w:ascii="Times New Roman" w:hAnsi="Times New Roman"/>
          <w:szCs w:val="24"/>
        </w:rPr>
        <w:t>pressly excluded</w:t>
      </w:r>
      <w:r w:rsidRPr="000410F3">
        <w:rPr>
          <w:rFonts w:ascii="Times New Roman" w:hAnsi="Times New Roman"/>
          <w:szCs w:val="24"/>
        </w:rPr>
        <w:t xml:space="preserve">; thus I labeled it “modified </w:t>
      </w:r>
      <w:r w:rsidRPr="000410F3">
        <w:rPr>
          <w:rFonts w:ascii="Times New Roman" w:hAnsi="Times New Roman"/>
          <w:i/>
          <w:szCs w:val="24"/>
        </w:rPr>
        <w:t>expressio unius</w:t>
      </w:r>
      <w:r w:rsidRPr="000410F3">
        <w:rPr>
          <w:rFonts w:ascii="Times New Roman" w:hAnsi="Times New Roman"/>
          <w:szCs w:val="24"/>
        </w:rPr>
        <w:t xml:space="preserve">.” In about 11% of cases the Board used this modified approach. Most of the cases in which the Board used this method concerned the myrid of cases where the Board ruled on whether a given “employee” came within the ambit of the Act. Further, in addition to use of the Latin canons, the Board also on occasion would use other rules of language or grammar to inform meaning. In about 3% of cases, the Board expressly noted that the statute’s text should be read so as to avoid redundancy, for instance. </w:t>
      </w:r>
    </w:p>
    <w:p w14:paraId="32B1E5D0"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Finally, the Board also adopted two other techniques in its statutory interpretation that are of note with respect to the relationship between the Board and Congress. First, in 7% of cases, the Board informed its statutory interpretation by expressly noting that Congress failed to “clearly state” one interpretation, and so, by implication, the opposite interpretation must stand. Second, in a small minority of cases (5%), the Board referenced congressional inaction to respond to the Board’s longstanding interpretation of a statute as contributing to the Board believing, by implication, that Congress agreed with said interpretation. That is, the Board noted that because Congress did not act to amend the statute, it must have been pleased with the way that the Board has been interpreting the statute.  </w:t>
      </w:r>
    </w:p>
    <w:p w14:paraId="6DCA35E0" w14:textId="4C977943"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The Board used language and textual canons primarily to advance a text-based argument. In </w:t>
      </w:r>
      <w:r w:rsidRPr="000410F3">
        <w:rPr>
          <w:rFonts w:ascii="Times New Roman" w:hAnsi="Times New Roman"/>
          <w:i/>
          <w:szCs w:val="24"/>
        </w:rPr>
        <w:t>Lincoln Lutheran of Racine</w:t>
      </w:r>
      <w:r w:rsidRPr="000410F3">
        <w:rPr>
          <w:rFonts w:ascii="Times New Roman" w:hAnsi="Times New Roman"/>
          <w:szCs w:val="24"/>
        </w:rPr>
        <w:t>, for instance, the Board relied on other provisions of the NLRA to assist in interpreting the statute.</w:t>
      </w:r>
      <w:r w:rsidRPr="000410F3">
        <w:rPr>
          <w:rStyle w:val="FootnoteReference"/>
          <w:rFonts w:ascii="Times New Roman" w:hAnsi="Times New Roman"/>
          <w:szCs w:val="24"/>
        </w:rPr>
        <w:footnoteReference w:id="211"/>
      </w:r>
      <w:r w:rsidRPr="000410F3">
        <w:rPr>
          <w:rFonts w:ascii="Times New Roman" w:hAnsi="Times New Roman"/>
          <w:szCs w:val="24"/>
        </w:rPr>
        <w:t xml:space="preserve"> The Democratic-majority Board broadly interpreted section 8(a)(5) of the NLRA, in part, by referring to other parts of the statute, which it said “create </w:t>
      </w:r>
      <w:r w:rsidRPr="000410F3">
        <w:rPr>
          <w:rFonts w:ascii="Times New Roman" w:hAnsi="Times New Roman"/>
          <w:szCs w:val="24"/>
        </w:rPr>
        <w:lastRenderedPageBreak/>
        <w:t>no obstacle to finding that an employer violates the act by unilaterally discontinuing dues cutoff after contract expiration.”</w:t>
      </w:r>
      <w:r w:rsidRPr="000410F3">
        <w:rPr>
          <w:rStyle w:val="FootnoteReference"/>
          <w:rFonts w:ascii="Times New Roman" w:hAnsi="Times New Roman"/>
          <w:szCs w:val="24"/>
        </w:rPr>
        <w:footnoteReference w:id="212"/>
      </w:r>
      <w:r w:rsidRPr="000410F3">
        <w:rPr>
          <w:rFonts w:ascii="Times New Roman" w:hAnsi="Times New Roman"/>
          <w:szCs w:val="24"/>
        </w:rPr>
        <w:t xml:space="preserve"> Indeed, other provisions contained an express requirement that there be “written agreement.”</w:t>
      </w:r>
      <w:r w:rsidRPr="000410F3">
        <w:rPr>
          <w:rStyle w:val="FootnoteReference"/>
          <w:rFonts w:ascii="Times New Roman" w:hAnsi="Times New Roman"/>
          <w:szCs w:val="24"/>
        </w:rPr>
        <w:footnoteReference w:id="213"/>
      </w:r>
      <w:r w:rsidRPr="000410F3">
        <w:rPr>
          <w:rFonts w:ascii="Times New Roman" w:hAnsi="Times New Roman"/>
          <w:szCs w:val="24"/>
        </w:rPr>
        <w:t xml:space="preserve"> The Board reasoned that “Congress’ explicit decision to condition the lawfulness” of another activity on a “written agreement with the employer” and the “conspicuous absence of this requirement in Section 302(c)(4)” demonstrates that “Congress did not intend the dues-checkoff arrangement to rely on whether the collective bargaining agreement expired.</w:t>
      </w:r>
      <w:r w:rsidR="00190A0F">
        <w:rPr>
          <w:rFonts w:ascii="Times New Roman" w:hAnsi="Times New Roman"/>
          <w:szCs w:val="24"/>
        </w:rPr>
        <w:t>”</w:t>
      </w:r>
      <w:r w:rsidRPr="000410F3">
        <w:rPr>
          <w:rStyle w:val="FootnoteReference"/>
          <w:rFonts w:ascii="Times New Roman" w:hAnsi="Times New Roman"/>
          <w:szCs w:val="24"/>
        </w:rPr>
        <w:footnoteReference w:id="214"/>
      </w:r>
      <w:r w:rsidRPr="000410F3">
        <w:rPr>
          <w:rFonts w:ascii="Times New Roman" w:hAnsi="Times New Roman"/>
          <w:szCs w:val="24"/>
        </w:rPr>
        <w:t xml:space="preserve"> The Board went on to chide the prior Board for ig</w:t>
      </w:r>
      <w:r w:rsidR="00190A0F">
        <w:rPr>
          <w:rFonts w:ascii="Times New Roman" w:hAnsi="Times New Roman"/>
          <w:szCs w:val="24"/>
        </w:rPr>
        <w:t>noring the statutory language of</w:t>
      </w:r>
      <w:r w:rsidRPr="000410F3">
        <w:rPr>
          <w:rFonts w:ascii="Times New Roman" w:hAnsi="Times New Roman"/>
          <w:szCs w:val="24"/>
        </w:rPr>
        <w:t xml:space="preserve"> two other sections of the statue which were “enacted by the same Congress at the same time” that treated dues checkoffs “quite differently.”</w:t>
      </w:r>
      <w:r w:rsidRPr="000410F3">
        <w:rPr>
          <w:rStyle w:val="FootnoteReference"/>
          <w:rFonts w:ascii="Times New Roman" w:hAnsi="Times New Roman"/>
          <w:szCs w:val="24"/>
        </w:rPr>
        <w:footnoteReference w:id="215"/>
      </w:r>
      <w:r w:rsidRPr="000410F3">
        <w:rPr>
          <w:rFonts w:ascii="Times New Roman" w:hAnsi="Times New Roman"/>
          <w:szCs w:val="24"/>
        </w:rPr>
        <w:t xml:space="preserve"> As the Board stated, “[t]he language of the proviso to [another section] makes clear that when Congress wanted to make an employment term, such as union security, dependent on the existence of a contract, Congress knew how to do so.”</w:t>
      </w:r>
      <w:r w:rsidRPr="000410F3">
        <w:rPr>
          <w:rStyle w:val="FootnoteReference"/>
          <w:rFonts w:ascii="Times New Roman" w:hAnsi="Times New Roman"/>
          <w:szCs w:val="24"/>
        </w:rPr>
        <w:footnoteReference w:id="216"/>
      </w:r>
      <w:r w:rsidRPr="000410F3">
        <w:rPr>
          <w:rFonts w:ascii="Times New Roman" w:hAnsi="Times New Roman"/>
          <w:szCs w:val="24"/>
        </w:rPr>
        <w:t xml:space="preserve"> The Board continued its analysis by following up on policies that supported its finding as well as the legislative history.</w:t>
      </w:r>
      <w:r w:rsidRPr="000410F3">
        <w:rPr>
          <w:rStyle w:val="FootnoteReference"/>
          <w:rFonts w:ascii="Times New Roman" w:hAnsi="Times New Roman"/>
          <w:szCs w:val="24"/>
        </w:rPr>
        <w:footnoteReference w:id="217"/>
      </w:r>
    </w:p>
    <w:p w14:paraId="0181C000" w14:textId="3C74181E" w:rsidR="0086288C" w:rsidRDefault="0086288C" w:rsidP="0086288C">
      <w:pPr>
        <w:ind w:firstLine="720"/>
        <w:rPr>
          <w:rFonts w:ascii="Times New Roman" w:hAnsi="Times New Roman"/>
          <w:szCs w:val="24"/>
        </w:rPr>
      </w:pPr>
      <w:r w:rsidRPr="000410F3">
        <w:rPr>
          <w:rFonts w:ascii="Times New Roman" w:hAnsi="Times New Roman"/>
          <w:szCs w:val="24"/>
        </w:rPr>
        <w:t>Finally, as a side note, the Board rarely relied on any of the substantive canons, a finding consistent with what Krishkanumar found in her study of the Roberts Court.</w:t>
      </w:r>
      <w:r w:rsidRPr="000410F3">
        <w:rPr>
          <w:rStyle w:val="FootnoteReference"/>
          <w:rFonts w:ascii="Times New Roman" w:hAnsi="Times New Roman"/>
          <w:szCs w:val="24"/>
        </w:rPr>
        <w:footnoteReference w:id="218"/>
      </w:r>
      <w:r w:rsidRPr="000410F3">
        <w:rPr>
          <w:rFonts w:ascii="Times New Roman" w:hAnsi="Times New Roman"/>
          <w:szCs w:val="24"/>
        </w:rPr>
        <w:t xml:space="preserve"> In two cases, the Board invoked the canon against construing a statute so as to conflict with the Constitution to guide its decision-m</w:t>
      </w:r>
      <w:r w:rsidR="00190A0F">
        <w:rPr>
          <w:rFonts w:ascii="Times New Roman" w:hAnsi="Times New Roman"/>
          <w:szCs w:val="24"/>
        </w:rPr>
        <w:t>aking. Some cases</w:t>
      </w:r>
      <w:r w:rsidRPr="000410F3">
        <w:rPr>
          <w:rFonts w:ascii="Times New Roman" w:hAnsi="Times New Roman"/>
          <w:szCs w:val="24"/>
        </w:rPr>
        <w:t xml:space="preserve"> raised First Amendment concerns. An employer may argue that a</w:t>
      </w:r>
      <w:r>
        <w:rPr>
          <w:rFonts w:ascii="Times New Roman" w:hAnsi="Times New Roman"/>
          <w:szCs w:val="24"/>
        </w:rPr>
        <w:t xml:space="preserve"> statement it made was</w:t>
      </w:r>
      <w:r w:rsidRPr="000410F3">
        <w:rPr>
          <w:rFonts w:ascii="Times New Roman" w:hAnsi="Times New Roman"/>
          <w:szCs w:val="24"/>
        </w:rPr>
        <w:t xml:space="preserve"> protected under the First Amendment</w:t>
      </w:r>
      <w:r w:rsidR="00190A0F">
        <w:rPr>
          <w:rFonts w:ascii="Times New Roman" w:hAnsi="Times New Roman"/>
          <w:szCs w:val="24"/>
        </w:rPr>
        <w:t>’s</w:t>
      </w:r>
      <w:r w:rsidRPr="000410F3">
        <w:rPr>
          <w:rFonts w:ascii="Times New Roman" w:hAnsi="Times New Roman"/>
          <w:szCs w:val="24"/>
        </w:rPr>
        <w:t xml:space="preserve"> free speech clause, and the Board in some instances would use the rule of constitutional avoidance to guide its determinations. Moreover, the Board, in a handful of cases, invoked the substantive canon on Native American sovereignty contending that a statute should be interpreted so as to guard Native sovereignty as well as the principle against interpreting a statute so as to extend beyond the territorial boundaries of the United States. Interestingly, in both cases, the majority adopted a policy-based approach and the dissent argued that the substantive canon applied instead.</w:t>
      </w:r>
    </w:p>
    <w:p w14:paraId="3D8159D5" w14:textId="77777777" w:rsidR="00A04719" w:rsidRPr="000410F3" w:rsidRDefault="00A04719" w:rsidP="0086288C">
      <w:pPr>
        <w:ind w:firstLine="720"/>
        <w:rPr>
          <w:rFonts w:ascii="Times New Roman" w:hAnsi="Times New Roman"/>
          <w:szCs w:val="24"/>
        </w:rPr>
      </w:pPr>
    </w:p>
    <w:p w14:paraId="69AF6995" w14:textId="1F71ABF6" w:rsidR="0086288C" w:rsidRPr="00A04719" w:rsidRDefault="00A04719" w:rsidP="00A04719">
      <w:pPr>
        <w:pStyle w:val="ListParagraph"/>
        <w:numPr>
          <w:ilvl w:val="0"/>
          <w:numId w:val="23"/>
        </w:numPr>
        <w:rPr>
          <w:rFonts w:ascii="Times New Roman" w:hAnsi="Times New Roman"/>
          <w:b/>
          <w:szCs w:val="24"/>
        </w:rPr>
      </w:pPr>
      <w:r>
        <w:rPr>
          <w:rFonts w:ascii="Times New Roman" w:hAnsi="Times New Roman"/>
          <w:b/>
          <w:szCs w:val="24"/>
        </w:rPr>
        <w:lastRenderedPageBreak/>
        <w:t xml:space="preserve">NLRB’s </w:t>
      </w:r>
      <w:r w:rsidR="0086288C" w:rsidRPr="00A04719">
        <w:rPr>
          <w:rFonts w:ascii="Times New Roman" w:hAnsi="Times New Roman"/>
          <w:b/>
          <w:szCs w:val="24"/>
        </w:rPr>
        <w:t>Use of Legislative History</w:t>
      </w:r>
    </w:p>
    <w:p w14:paraId="3697594F" w14:textId="77777777" w:rsidR="005D6AFE" w:rsidRPr="002442CD" w:rsidRDefault="005D6AFE" w:rsidP="005D6AFE">
      <w:pPr>
        <w:pStyle w:val="ListParagraph"/>
        <w:spacing w:after="0" w:line="240" w:lineRule="auto"/>
        <w:ind w:left="1440"/>
        <w:rPr>
          <w:rFonts w:ascii="Times New Roman" w:hAnsi="Times New Roman"/>
          <w:b/>
          <w:sz w:val="24"/>
          <w:szCs w:val="24"/>
        </w:rPr>
      </w:pPr>
    </w:p>
    <w:p w14:paraId="74B1C4AD" w14:textId="77777777" w:rsidR="00190A0F" w:rsidRDefault="0086288C" w:rsidP="0086288C">
      <w:pPr>
        <w:ind w:firstLine="720"/>
        <w:rPr>
          <w:rFonts w:ascii="Times New Roman" w:hAnsi="Times New Roman"/>
          <w:szCs w:val="24"/>
        </w:rPr>
      </w:pPr>
      <w:r w:rsidRPr="000410F3">
        <w:rPr>
          <w:rFonts w:ascii="Times New Roman" w:hAnsi="Times New Roman"/>
          <w:szCs w:val="24"/>
        </w:rPr>
        <w:t xml:space="preserve">Majority Board decisions frequently invoke legislative history, as about 40% of the decisions at least refer to legislative history in some respect, with legislative history playing a prominent and primary part in the majority’s interpretation in about 20% of the cases. The Board relied on a mix of legislative materials as source for its analysis of legislative history. I coded for five sources of legislative history: 1) conference reports (often considered to be the most authoritative source of legislative history); 2) statements by sponsors, conference chairman, committee chairman or other Congressman in the Congressional Record; 3) House or Senate Committee reports; 4) general references to the amendment process or to the process by which Congress created the statute; and 5) indirect or direct references to the legislative history noted in Board or Supreme Court caselaw but with no specific citation to a traditional source of legislative history such as conference reports or statements in the Congressional Record. With respect to the fifth type of legislative history, the Board often did not directly cite legislative history, </w:t>
      </w:r>
      <w:r w:rsidR="00190A0F">
        <w:rPr>
          <w:rFonts w:ascii="Times New Roman" w:hAnsi="Times New Roman"/>
          <w:szCs w:val="24"/>
        </w:rPr>
        <w:t>relying instead on former Board or</w:t>
      </w:r>
      <w:r w:rsidRPr="000410F3">
        <w:rPr>
          <w:rFonts w:ascii="Times New Roman" w:hAnsi="Times New Roman"/>
          <w:szCs w:val="24"/>
        </w:rPr>
        <w:t xml:space="preserve"> Supreme Court </w:t>
      </w:r>
      <w:r w:rsidR="00190A0F">
        <w:rPr>
          <w:rFonts w:ascii="Times New Roman" w:hAnsi="Times New Roman"/>
          <w:szCs w:val="24"/>
        </w:rPr>
        <w:t xml:space="preserve">opinions </w:t>
      </w:r>
      <w:r w:rsidRPr="000410F3">
        <w:rPr>
          <w:rFonts w:ascii="Times New Roman" w:hAnsi="Times New Roman"/>
          <w:szCs w:val="24"/>
        </w:rPr>
        <w:t>to do the work from them. If the indirect citation referred directly to one of the other le</w:t>
      </w:r>
      <w:r w:rsidR="00190A0F">
        <w:rPr>
          <w:rFonts w:ascii="Times New Roman" w:hAnsi="Times New Roman"/>
          <w:szCs w:val="24"/>
        </w:rPr>
        <w:t>gislative sources (such as the conference report</w:t>
      </w:r>
      <w:r w:rsidRPr="000410F3">
        <w:rPr>
          <w:rFonts w:ascii="Times New Roman" w:hAnsi="Times New Roman"/>
          <w:szCs w:val="24"/>
        </w:rPr>
        <w:t>), I counted the sou</w:t>
      </w:r>
      <w:r w:rsidR="00190A0F">
        <w:rPr>
          <w:rFonts w:ascii="Times New Roman" w:hAnsi="Times New Roman"/>
          <w:szCs w:val="24"/>
        </w:rPr>
        <w:t>rce as the conference r</w:t>
      </w:r>
      <w:r w:rsidRPr="000410F3">
        <w:rPr>
          <w:rFonts w:ascii="Times New Roman" w:hAnsi="Times New Roman"/>
          <w:szCs w:val="24"/>
        </w:rPr>
        <w:t xml:space="preserve">eport. Other times, the Board simply stated “The legislative history says” but without citing the source.  On two occasions, the Board cited to President Harry Truman’s veto message as a source of legislative history. I coded these indirect vague references as coming from caselaw generally. </w:t>
      </w:r>
    </w:p>
    <w:p w14:paraId="09727211" w14:textId="62D310DD" w:rsidR="0086288C" w:rsidRPr="000410F3" w:rsidRDefault="0086288C" w:rsidP="0086288C">
      <w:pPr>
        <w:ind w:firstLine="720"/>
        <w:rPr>
          <w:rFonts w:ascii="Times New Roman" w:hAnsi="Times New Roman"/>
          <w:szCs w:val="24"/>
        </w:rPr>
      </w:pPr>
      <w:r w:rsidRPr="000410F3">
        <w:rPr>
          <w:rFonts w:ascii="Times New Roman" w:hAnsi="Times New Roman"/>
          <w:szCs w:val="24"/>
        </w:rPr>
        <w:t>As shown in Figure 7, the Board most frequently indirectly referenced legislative history by citation to other Board or Supreme Court opinions or to law reviews that mentioned legislative history. Indeed, 40% of the citations to legislative history concerned broad, indirect references to congressional intent gathered from statements in caselaw or law reviews, a finding that may trouble those who advocate use of legislative history to aid agencies in being “faithful delegates” of the legislature since it is clear that the Board relies on second-hand sources to garner legislative meaning. Many of these cases relied on other cases recounting of legislative history to inform statutory meaning.</w:t>
      </w:r>
    </w:p>
    <w:p w14:paraId="068EBB90" w14:textId="438840C2" w:rsidR="0086288C" w:rsidRDefault="0086288C" w:rsidP="0086288C">
      <w:pPr>
        <w:ind w:firstLine="720"/>
        <w:rPr>
          <w:rFonts w:ascii="Times New Roman" w:hAnsi="Times New Roman"/>
          <w:szCs w:val="24"/>
        </w:rPr>
      </w:pPr>
      <w:r w:rsidRPr="000410F3">
        <w:rPr>
          <w:rFonts w:ascii="Times New Roman" w:hAnsi="Times New Roman"/>
          <w:szCs w:val="24"/>
        </w:rPr>
        <w:t>Other findings regarding the source of legislative history raise even more questions. Only 17% of the citations to legislative history were to what is often hailed as the most authoritative source of legislative intent</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00190A0F">
        <w:rPr>
          <w:rFonts w:ascii="Times New Roman" w:hAnsi="Times New Roman"/>
          <w:szCs w:val="24"/>
        </w:rPr>
        <w:t>conference committee r</w:t>
      </w:r>
      <w:r w:rsidRPr="000410F3">
        <w:rPr>
          <w:rFonts w:ascii="Times New Roman" w:hAnsi="Times New Roman"/>
          <w:szCs w:val="24"/>
        </w:rPr>
        <w:t>eports. More often, the Board cited to statements in the Congressional Reco</w:t>
      </w:r>
      <w:r w:rsidR="00190A0F">
        <w:rPr>
          <w:rFonts w:ascii="Times New Roman" w:hAnsi="Times New Roman"/>
          <w:szCs w:val="24"/>
        </w:rPr>
        <w:t>rd (38%) or to House or Senate committee r</w:t>
      </w:r>
      <w:r w:rsidRPr="000410F3">
        <w:rPr>
          <w:rFonts w:ascii="Times New Roman" w:hAnsi="Times New Roman"/>
          <w:szCs w:val="24"/>
        </w:rPr>
        <w:t xml:space="preserve">eports (50%). In about 31% of legislative history cases, the Board cited to the amendment process or to the procedure that the statute undertook as being </w:t>
      </w:r>
      <w:r w:rsidRPr="000410F3">
        <w:rPr>
          <w:rFonts w:ascii="Times New Roman" w:hAnsi="Times New Roman"/>
          <w:szCs w:val="24"/>
        </w:rPr>
        <w:lastRenderedPageBreak/>
        <w:t>important in informin</w:t>
      </w:r>
      <w:r w:rsidR="00190A0F">
        <w:rPr>
          <w:rFonts w:ascii="Times New Roman" w:hAnsi="Times New Roman"/>
          <w:szCs w:val="24"/>
        </w:rPr>
        <w:t>g meaning. A</w:t>
      </w:r>
      <w:r w:rsidRPr="000410F3">
        <w:rPr>
          <w:rFonts w:ascii="Times New Roman" w:hAnsi="Times New Roman"/>
          <w:szCs w:val="24"/>
        </w:rPr>
        <w:t xml:space="preserve">lthough the Board mostly cited to statements by </w:t>
      </w:r>
      <w:r>
        <w:rPr>
          <w:rFonts w:ascii="Times New Roman" w:hAnsi="Times New Roman"/>
          <w:szCs w:val="24"/>
        </w:rPr>
        <w:t xml:space="preserve">the </w:t>
      </w:r>
      <w:r w:rsidRPr="000410F3">
        <w:rPr>
          <w:rFonts w:ascii="Times New Roman" w:hAnsi="Times New Roman"/>
          <w:szCs w:val="24"/>
        </w:rPr>
        <w:t>floor manager or sponsor of the Taft-Hartley Act or its amendments, the Board occasionally also referred to congressional debate about the issue, referencing colloquies in t</w:t>
      </w:r>
      <w:r>
        <w:rPr>
          <w:rFonts w:ascii="Times New Roman" w:hAnsi="Times New Roman"/>
          <w:szCs w:val="24"/>
        </w:rPr>
        <w:t>he Congressional Record</w:t>
      </w:r>
      <w:r w:rsidRPr="000410F3">
        <w:rPr>
          <w:rFonts w:ascii="Times New Roman" w:hAnsi="Times New Roman"/>
          <w:szCs w:val="24"/>
        </w:rPr>
        <w:t xml:space="preserve"> between two Congressman debating different parts of the bill. In all, the use of legislative history was quite varied.</w:t>
      </w:r>
    </w:p>
    <w:p w14:paraId="2F04F723" w14:textId="77777777" w:rsidR="00A04719" w:rsidRDefault="00A04719" w:rsidP="00A04719">
      <w:pPr>
        <w:ind w:firstLine="0"/>
        <w:rPr>
          <w:rFonts w:ascii="Times New Roman" w:hAnsi="Times New Roman"/>
          <w:b/>
          <w:sz w:val="20"/>
        </w:rPr>
      </w:pPr>
    </w:p>
    <w:p w14:paraId="2F725B22" w14:textId="77777777" w:rsidR="00A04719" w:rsidRDefault="00A04719" w:rsidP="00A04719">
      <w:pPr>
        <w:ind w:firstLine="0"/>
        <w:rPr>
          <w:rFonts w:ascii="Times New Roman" w:hAnsi="Times New Roman"/>
          <w:b/>
          <w:sz w:val="20"/>
        </w:rPr>
      </w:pPr>
    </w:p>
    <w:p w14:paraId="2CBE3E6F" w14:textId="77777777" w:rsidR="0086288C" w:rsidRPr="00377AB4" w:rsidRDefault="0086288C" w:rsidP="00A04719">
      <w:pPr>
        <w:ind w:firstLine="0"/>
        <w:rPr>
          <w:rFonts w:ascii="Times New Roman" w:hAnsi="Times New Roman"/>
          <w:b/>
          <w:sz w:val="20"/>
        </w:rPr>
      </w:pPr>
      <w:r w:rsidRPr="00377AB4">
        <w:rPr>
          <w:rFonts w:ascii="Times New Roman" w:hAnsi="Times New Roman"/>
          <w:b/>
          <w:sz w:val="20"/>
        </w:rPr>
        <w:t>Figure 7</w:t>
      </w:r>
    </w:p>
    <w:p w14:paraId="196DE7DE" w14:textId="02E16242" w:rsidR="0086288C" w:rsidRPr="000410F3" w:rsidRDefault="0086288C" w:rsidP="0086288C">
      <w:pPr>
        <w:rPr>
          <w:rFonts w:ascii="Times New Roman" w:hAnsi="Times New Roman"/>
          <w:szCs w:val="24"/>
        </w:rPr>
      </w:pPr>
      <w:r w:rsidRPr="0086288C">
        <w:rPr>
          <w:rFonts w:ascii="Times New Roman" w:hAnsi="Times New Roman"/>
          <w:noProof/>
          <w:szCs w:val="24"/>
        </w:rPr>
        <w:drawing>
          <wp:inline distT="0" distB="0" distL="0" distR="0" wp14:anchorId="051F2929" wp14:editId="5E0479E9">
            <wp:extent cx="3657600" cy="2679192"/>
            <wp:effectExtent l="0" t="0" r="0"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2864E453" w14:textId="77777777" w:rsidR="0086288C" w:rsidRDefault="0086288C" w:rsidP="0086288C">
      <w:pPr>
        <w:ind w:firstLine="720"/>
        <w:rPr>
          <w:rFonts w:ascii="Times New Roman" w:hAnsi="Times New Roman"/>
          <w:szCs w:val="24"/>
        </w:rPr>
      </w:pPr>
      <w:r w:rsidRPr="000410F3">
        <w:rPr>
          <w:rFonts w:ascii="Times New Roman" w:hAnsi="Times New Roman"/>
          <w:szCs w:val="24"/>
        </w:rPr>
        <w:t>The Board generally invoked legislative history</w:t>
      </w:r>
      <w:r>
        <w:rPr>
          <w:rFonts w:ascii="Times New Roman" w:hAnsi="Times New Roman"/>
          <w:szCs w:val="24"/>
        </w:rPr>
        <w:t xml:space="preserve"> to inform</w:t>
      </w:r>
      <w:r w:rsidRPr="000410F3">
        <w:rPr>
          <w:rFonts w:ascii="Times New Roman" w:hAnsi="Times New Roman"/>
          <w:szCs w:val="24"/>
        </w:rPr>
        <w:t xml:space="preserve"> the statute’s scope and purpose (55%), make broad references to general congressional purpose or intent (22%) or to simply note that nothing in the legislative history foreclosed the majority’s given reading of the text (34%).</w:t>
      </w:r>
      <w:r w:rsidRPr="000410F3">
        <w:rPr>
          <w:rStyle w:val="FootnoteReference"/>
          <w:rFonts w:ascii="Times New Roman" w:hAnsi="Times New Roman"/>
          <w:szCs w:val="24"/>
        </w:rPr>
        <w:footnoteReference w:id="219"/>
      </w:r>
      <w:r w:rsidRPr="000410F3">
        <w:rPr>
          <w:rFonts w:ascii="Times New Roman" w:hAnsi="Times New Roman"/>
          <w:szCs w:val="24"/>
        </w:rPr>
        <w:t xml:space="preserve"> The cases themselves could be divided into four different legislative history typologies, each of which will be discussed below: 1) legislative history as limiting the text; 2) legislative history as a “plus factor” in informing the statute’s scope and purpose; 3) legislative history as a not mandating the Board’s policy-based approach; and 4) legislative history as irrelevant.</w:t>
      </w:r>
    </w:p>
    <w:p w14:paraId="6D9E5166" w14:textId="77777777" w:rsidR="005D6AFE" w:rsidRDefault="005D6AFE" w:rsidP="0086288C">
      <w:pPr>
        <w:ind w:firstLine="720"/>
        <w:rPr>
          <w:rFonts w:ascii="Times New Roman" w:hAnsi="Times New Roman"/>
          <w:szCs w:val="24"/>
        </w:rPr>
      </w:pPr>
    </w:p>
    <w:p w14:paraId="45342E0F" w14:textId="77777777" w:rsidR="003D1E8D" w:rsidRDefault="003D1E8D" w:rsidP="0086288C">
      <w:pPr>
        <w:ind w:firstLine="720"/>
        <w:rPr>
          <w:rFonts w:ascii="Times New Roman" w:hAnsi="Times New Roman"/>
          <w:szCs w:val="24"/>
        </w:rPr>
      </w:pPr>
    </w:p>
    <w:p w14:paraId="7DD7BC41" w14:textId="77777777" w:rsidR="003D1E8D" w:rsidRPr="000410F3" w:rsidRDefault="003D1E8D" w:rsidP="0086288C">
      <w:pPr>
        <w:ind w:firstLine="720"/>
        <w:rPr>
          <w:rFonts w:ascii="Times New Roman" w:hAnsi="Times New Roman"/>
          <w:szCs w:val="24"/>
        </w:rPr>
      </w:pPr>
    </w:p>
    <w:p w14:paraId="4198123A" w14:textId="77777777" w:rsidR="0086288C" w:rsidRDefault="0086288C" w:rsidP="001A4D77">
      <w:pPr>
        <w:pStyle w:val="ListParagraph"/>
        <w:numPr>
          <w:ilvl w:val="0"/>
          <w:numId w:val="7"/>
        </w:numPr>
        <w:spacing w:after="0" w:line="240" w:lineRule="auto"/>
        <w:rPr>
          <w:rFonts w:ascii="Times New Roman" w:hAnsi="Times New Roman"/>
          <w:b/>
          <w:sz w:val="24"/>
          <w:szCs w:val="24"/>
        </w:rPr>
      </w:pPr>
      <w:r w:rsidRPr="002442CD">
        <w:rPr>
          <w:rFonts w:ascii="Times New Roman" w:hAnsi="Times New Roman"/>
          <w:b/>
          <w:sz w:val="24"/>
          <w:szCs w:val="24"/>
        </w:rPr>
        <w:lastRenderedPageBreak/>
        <w:t>Legislative History as Limiting Text</w:t>
      </w:r>
    </w:p>
    <w:p w14:paraId="6DA5A9F7" w14:textId="77777777" w:rsidR="005D6AFE" w:rsidRPr="002442CD" w:rsidRDefault="005D6AFE" w:rsidP="005D6AFE">
      <w:pPr>
        <w:pStyle w:val="ListParagraph"/>
        <w:spacing w:after="0" w:line="240" w:lineRule="auto"/>
        <w:ind w:left="1800"/>
        <w:rPr>
          <w:rFonts w:ascii="Times New Roman" w:hAnsi="Times New Roman"/>
          <w:b/>
          <w:sz w:val="24"/>
          <w:szCs w:val="24"/>
        </w:rPr>
      </w:pPr>
    </w:p>
    <w:p w14:paraId="02001F41" w14:textId="0844E7DF" w:rsidR="0086288C" w:rsidRDefault="0086288C" w:rsidP="0086288C">
      <w:pPr>
        <w:ind w:firstLine="720"/>
        <w:rPr>
          <w:rFonts w:ascii="Times New Roman" w:hAnsi="Times New Roman"/>
          <w:szCs w:val="24"/>
        </w:rPr>
      </w:pPr>
      <w:r w:rsidRPr="000410F3">
        <w:rPr>
          <w:rFonts w:ascii="Times New Roman" w:hAnsi="Times New Roman"/>
          <w:szCs w:val="24"/>
        </w:rPr>
        <w:t xml:space="preserve">In a small subset of cases, the Board relied on legislative history as the primary interpretive method in informing case meaning. In just 7% of the cases, the Board cited to and extensively documented legislative history to set forth the interpretation of the statute. In most of these cases, the Board invoked legislative history to narrowly interpret the statute. For instance, in </w:t>
      </w:r>
      <w:r w:rsidRPr="000410F3">
        <w:rPr>
          <w:rFonts w:ascii="Times New Roman" w:hAnsi="Times New Roman"/>
          <w:i/>
          <w:szCs w:val="24"/>
        </w:rPr>
        <w:t>Northeast Ohio District Council of the Untied Brotherhood of Carpenters and Joiners of America et al</w:t>
      </w:r>
      <w:r w:rsidRPr="000410F3">
        <w:rPr>
          <w:rFonts w:ascii="Times New Roman" w:hAnsi="Times New Roman"/>
          <w:szCs w:val="24"/>
        </w:rPr>
        <w:t>.</w:t>
      </w:r>
      <w:r>
        <w:rPr>
          <w:rFonts w:ascii="Times New Roman" w:hAnsi="Times New Roman"/>
          <w:szCs w:val="24"/>
        </w:rPr>
        <w:t>,</w:t>
      </w:r>
      <w:r w:rsidRPr="000410F3">
        <w:rPr>
          <w:rStyle w:val="FootnoteReference"/>
          <w:rFonts w:ascii="Times New Roman" w:hAnsi="Times New Roman"/>
          <w:szCs w:val="24"/>
        </w:rPr>
        <w:footnoteReference w:id="220"/>
      </w:r>
      <w:r w:rsidRPr="000410F3">
        <w:rPr>
          <w:rFonts w:ascii="Times New Roman" w:hAnsi="Times New Roman"/>
          <w:szCs w:val="24"/>
        </w:rPr>
        <w:t xml:space="preserve"> the Board invoked legislative history to interpret the meaning of section 8(e) of the statute.</w:t>
      </w:r>
      <w:r w:rsidRPr="000410F3">
        <w:rPr>
          <w:rStyle w:val="FootnoteReference"/>
          <w:rFonts w:ascii="Times New Roman" w:hAnsi="Times New Roman"/>
          <w:szCs w:val="24"/>
        </w:rPr>
        <w:footnoteReference w:id="221"/>
      </w:r>
      <w:r w:rsidRPr="000410F3">
        <w:rPr>
          <w:rFonts w:ascii="Times New Roman" w:hAnsi="Times New Roman"/>
          <w:szCs w:val="24"/>
        </w:rPr>
        <w:t xml:space="preserve"> The union alleged another union violated section 8(b)(3) of the NLRA by insisting to impasse on an anti-dual shop clause in the parties’ collective bargaining agreement.</w:t>
      </w:r>
      <w:r w:rsidRPr="000410F3">
        <w:rPr>
          <w:rStyle w:val="FootnoteReference"/>
          <w:rFonts w:ascii="Times New Roman" w:hAnsi="Times New Roman"/>
          <w:szCs w:val="24"/>
        </w:rPr>
        <w:footnoteReference w:id="222"/>
      </w:r>
      <w:r w:rsidRPr="000410F3">
        <w:rPr>
          <w:rFonts w:ascii="Times New Roman" w:hAnsi="Times New Roman"/>
          <w:szCs w:val="24"/>
        </w:rPr>
        <w:t xml:space="preserve"> In deciding the case, the Board looked at the plain text but relied primarily on the legislative history to inform the meaning of the statute.</w:t>
      </w:r>
      <w:r w:rsidRPr="000410F3">
        <w:rPr>
          <w:rStyle w:val="FootnoteReference"/>
          <w:rFonts w:ascii="Times New Roman" w:hAnsi="Times New Roman"/>
          <w:szCs w:val="24"/>
        </w:rPr>
        <w:footnoteReference w:id="223"/>
      </w:r>
      <w:r w:rsidRPr="000410F3">
        <w:rPr>
          <w:rFonts w:ascii="Times New Roman" w:hAnsi="Times New Roman"/>
          <w:szCs w:val="24"/>
        </w:rPr>
        <w:t xml:space="preserve"> Due to the somewhat temporary and haphazard nature of construction work, Congress carved out an exception to the law regarding the construction industry by giving them more leeway to engage in secondary activity.</w:t>
      </w:r>
      <w:r w:rsidRPr="000410F3">
        <w:rPr>
          <w:rStyle w:val="FootnoteReference"/>
          <w:rFonts w:ascii="Times New Roman" w:hAnsi="Times New Roman"/>
          <w:szCs w:val="24"/>
        </w:rPr>
        <w:footnoteReference w:id="224"/>
      </w:r>
      <w:r w:rsidR="001E2B74">
        <w:rPr>
          <w:rFonts w:ascii="Times New Roman" w:hAnsi="Times New Roman"/>
          <w:szCs w:val="24"/>
        </w:rPr>
        <w:t xml:space="preserve"> </w:t>
      </w:r>
      <w:r w:rsidRPr="000410F3">
        <w:rPr>
          <w:rFonts w:ascii="Times New Roman" w:hAnsi="Times New Roman"/>
          <w:szCs w:val="24"/>
        </w:rPr>
        <w:t>In interpreting this exception, the so-called “construction proviso,” the Board contended that it should be narrowly construed so as to only include within its ambit construction practices as of the year of its enactment — 1959.</w:t>
      </w:r>
      <w:r w:rsidRPr="000410F3">
        <w:rPr>
          <w:rStyle w:val="FootnoteReference"/>
          <w:rFonts w:ascii="Times New Roman" w:hAnsi="Times New Roman"/>
          <w:szCs w:val="24"/>
        </w:rPr>
        <w:footnoteReference w:id="225"/>
      </w:r>
      <w:r w:rsidRPr="000410F3">
        <w:rPr>
          <w:rFonts w:ascii="Times New Roman" w:hAnsi="Times New Roman"/>
          <w:szCs w:val="24"/>
        </w:rPr>
        <w:t xml:space="preserve"> The Board reasoned “[a] careful examination of the legislative history of the proviso reveals little affirmative evidence that Congress would have chosen to protect the anti-dual-shop clause if such clause existed in 1959.”</w:t>
      </w:r>
      <w:r w:rsidRPr="000410F3">
        <w:rPr>
          <w:rStyle w:val="FootnoteReference"/>
          <w:rFonts w:ascii="Times New Roman" w:hAnsi="Times New Roman"/>
          <w:szCs w:val="24"/>
        </w:rPr>
        <w:footnoteReference w:id="226"/>
      </w:r>
      <w:r w:rsidRPr="000410F3">
        <w:rPr>
          <w:rFonts w:ascii="Times New Roman" w:hAnsi="Times New Roman"/>
          <w:szCs w:val="24"/>
        </w:rPr>
        <w:t xml:space="preserve"> In so doing, the Board picked and chose from snippets of legislative history, citing some parts and stating that contrary parts were simply irrelevant.</w:t>
      </w:r>
      <w:r w:rsidRPr="000410F3">
        <w:rPr>
          <w:rStyle w:val="FootnoteReference"/>
          <w:rFonts w:ascii="Times New Roman" w:hAnsi="Times New Roman"/>
          <w:szCs w:val="24"/>
        </w:rPr>
        <w:footnoteReference w:id="227"/>
      </w:r>
      <w:r w:rsidRPr="000410F3">
        <w:rPr>
          <w:rFonts w:ascii="Times New Roman" w:hAnsi="Times New Roman"/>
          <w:szCs w:val="24"/>
        </w:rPr>
        <w:t xml:space="preserve"> Relying on that narrow slice of legislative history, the Board found the union to be in violation of law, and set forth the precedent that in interpreting section 8(e), the Board should be guided by Congress’ intent set forth in the legislative history to “preserve the status quo and the pattern of collective bargaining in the construction industry at the time the legislation was passed,” that is, in 1959.</w:t>
      </w:r>
      <w:r w:rsidRPr="000410F3">
        <w:rPr>
          <w:rStyle w:val="FootnoteReference"/>
          <w:rFonts w:ascii="Times New Roman" w:hAnsi="Times New Roman"/>
          <w:szCs w:val="24"/>
        </w:rPr>
        <w:footnoteReference w:id="228"/>
      </w:r>
      <w:r w:rsidRPr="000410F3">
        <w:rPr>
          <w:rFonts w:ascii="Times New Roman" w:hAnsi="Times New Roman"/>
          <w:szCs w:val="24"/>
        </w:rPr>
        <w:t xml:space="preserve"> Of note is the fact that only Republican-dominated Boards used </w:t>
      </w:r>
      <w:r w:rsidRPr="000410F3">
        <w:rPr>
          <w:rFonts w:ascii="Times New Roman" w:hAnsi="Times New Roman"/>
          <w:szCs w:val="24"/>
        </w:rPr>
        <w:lastRenderedPageBreak/>
        <w:t>legislative history as a limiter to narrowly foreclose relief to the affected party.</w:t>
      </w:r>
    </w:p>
    <w:p w14:paraId="077668F0" w14:textId="77777777" w:rsidR="005D6AFE" w:rsidRPr="000410F3" w:rsidRDefault="005D6AFE" w:rsidP="008F2B23">
      <w:pPr>
        <w:ind w:firstLine="0"/>
        <w:rPr>
          <w:rFonts w:ascii="Times New Roman" w:hAnsi="Times New Roman"/>
          <w:szCs w:val="24"/>
        </w:rPr>
      </w:pPr>
    </w:p>
    <w:p w14:paraId="59BBAE78" w14:textId="77777777" w:rsidR="0086288C" w:rsidRDefault="0086288C" w:rsidP="001A4D77">
      <w:pPr>
        <w:pStyle w:val="ListParagraph"/>
        <w:numPr>
          <w:ilvl w:val="0"/>
          <w:numId w:val="7"/>
        </w:numPr>
        <w:spacing w:after="0" w:line="240" w:lineRule="auto"/>
        <w:rPr>
          <w:rFonts w:ascii="Times New Roman" w:hAnsi="Times New Roman"/>
          <w:b/>
          <w:sz w:val="24"/>
          <w:szCs w:val="24"/>
        </w:rPr>
      </w:pPr>
      <w:r w:rsidRPr="002442CD">
        <w:rPr>
          <w:rFonts w:ascii="Times New Roman" w:hAnsi="Times New Roman"/>
          <w:b/>
          <w:sz w:val="24"/>
          <w:szCs w:val="24"/>
        </w:rPr>
        <w:t>Legislative History as “Plus” Factor</w:t>
      </w:r>
    </w:p>
    <w:p w14:paraId="64A46A92" w14:textId="77777777" w:rsidR="005D6AFE" w:rsidRPr="002442CD" w:rsidRDefault="005D6AFE" w:rsidP="005D6AFE">
      <w:pPr>
        <w:pStyle w:val="ListParagraph"/>
        <w:spacing w:after="0" w:line="240" w:lineRule="auto"/>
        <w:ind w:left="1800"/>
        <w:rPr>
          <w:rFonts w:ascii="Times New Roman" w:hAnsi="Times New Roman"/>
          <w:b/>
          <w:sz w:val="24"/>
          <w:szCs w:val="24"/>
        </w:rPr>
      </w:pPr>
    </w:p>
    <w:p w14:paraId="102111BB" w14:textId="097A2C44" w:rsidR="0086288C" w:rsidRPr="000410F3" w:rsidRDefault="0086288C" w:rsidP="0086288C">
      <w:pPr>
        <w:rPr>
          <w:rFonts w:ascii="Times New Roman" w:hAnsi="Times New Roman"/>
          <w:szCs w:val="24"/>
        </w:rPr>
      </w:pPr>
      <w:r w:rsidRPr="000410F3">
        <w:rPr>
          <w:rFonts w:ascii="Times New Roman" w:hAnsi="Times New Roman"/>
          <w:szCs w:val="24"/>
        </w:rPr>
        <w:tab/>
        <w:t>In the vast majority of cases in which the Board relies on legislative history, the Board uses it as a “plus” factor to inform statutory scope and purpose beyond what the Board’s text and/or policy-based analysis dictates. In about half of the cases where the Board cited legislative history, it d</w:t>
      </w:r>
      <w:r w:rsidR="008F2B23">
        <w:rPr>
          <w:rFonts w:ascii="Times New Roman" w:hAnsi="Times New Roman"/>
          <w:szCs w:val="24"/>
        </w:rPr>
        <w:t xml:space="preserve">id so in a non-trivial matter. </w:t>
      </w:r>
      <w:r w:rsidRPr="000410F3">
        <w:rPr>
          <w:rFonts w:ascii="Times New Roman" w:hAnsi="Times New Roman"/>
          <w:szCs w:val="24"/>
        </w:rPr>
        <w:t>Moreover, in about a quarter of all cases in the database, legislative history served as a major cornerstone of the analysis, and in particular in about 11% of all cases, the Board relied on legislative history almost equally to the text or policy in inferring meaning. Sometimes, the Board found that legislative history made clear ambiguous text while in other cases, the Board relied on legislative history as a “plus” factor in confirming what the Board interpretation based on the text’s clear import from the language or surrounding words themselves.</w:t>
      </w:r>
    </w:p>
    <w:p w14:paraId="5FB1FF22" w14:textId="1313345B" w:rsidR="0086288C" w:rsidRDefault="0086288C" w:rsidP="0086288C">
      <w:pPr>
        <w:rPr>
          <w:rFonts w:ascii="Times New Roman" w:hAnsi="Times New Roman"/>
          <w:szCs w:val="24"/>
        </w:rPr>
      </w:pPr>
      <w:r w:rsidRPr="000410F3">
        <w:rPr>
          <w:rFonts w:ascii="Times New Roman" w:hAnsi="Times New Roman"/>
          <w:szCs w:val="24"/>
        </w:rPr>
        <w:tab/>
        <w:t xml:space="preserve">For instance, in the </w:t>
      </w:r>
      <w:r w:rsidRPr="000410F3">
        <w:rPr>
          <w:rFonts w:ascii="Times New Roman" w:hAnsi="Times New Roman"/>
          <w:i/>
          <w:szCs w:val="24"/>
        </w:rPr>
        <w:t>Lincoln Lutheran</w:t>
      </w:r>
      <w:r w:rsidRPr="000410F3">
        <w:rPr>
          <w:rFonts w:ascii="Times New Roman" w:hAnsi="Times New Roman"/>
          <w:szCs w:val="24"/>
        </w:rPr>
        <w:t xml:space="preserve"> case discussed above concerning whether dues checkoff can survive expiration of the collective bargaining agreement, the Board not only relied on the plain text and language/textual canons to i</w:t>
      </w:r>
      <w:r w:rsidR="008F2B23">
        <w:rPr>
          <w:rFonts w:ascii="Times New Roman" w:hAnsi="Times New Roman"/>
          <w:szCs w:val="24"/>
        </w:rPr>
        <w:t xml:space="preserve">nform meaning but </w:t>
      </w:r>
      <w:r w:rsidRPr="000410F3">
        <w:rPr>
          <w:rFonts w:ascii="Times New Roman" w:hAnsi="Times New Roman"/>
          <w:szCs w:val="24"/>
        </w:rPr>
        <w:t xml:space="preserve">the Board </w:t>
      </w:r>
      <w:r w:rsidR="008F2B23">
        <w:rPr>
          <w:rFonts w:ascii="Times New Roman" w:hAnsi="Times New Roman"/>
          <w:szCs w:val="24"/>
        </w:rPr>
        <w:t xml:space="preserve">also </w:t>
      </w:r>
      <w:r w:rsidRPr="000410F3">
        <w:rPr>
          <w:rFonts w:ascii="Times New Roman" w:hAnsi="Times New Roman"/>
          <w:szCs w:val="24"/>
        </w:rPr>
        <w:t>cited the direct statement of Senator Robert Taft, chairman of the Senate Labor Committee, where he expressly stated during debate on the Taft-Hartley amendments that the employer’s “obligation may continue indefinitely until revoked.”</w:t>
      </w:r>
      <w:r w:rsidRPr="000410F3">
        <w:rPr>
          <w:rStyle w:val="FootnoteReference"/>
          <w:rFonts w:ascii="Times New Roman" w:hAnsi="Times New Roman"/>
          <w:szCs w:val="24"/>
        </w:rPr>
        <w:footnoteReference w:id="229"/>
      </w:r>
      <w:r w:rsidRPr="000410F3">
        <w:rPr>
          <w:rFonts w:ascii="Times New Roman" w:hAnsi="Times New Roman"/>
          <w:szCs w:val="24"/>
        </w:rPr>
        <w:t xml:space="preserve"> Thus, while legislative history did not form the cornerstone of the Board’s analysis, the Board cited and relied on it as further evidence that its interpretation of the Act’s scope was reasonable. </w:t>
      </w:r>
    </w:p>
    <w:p w14:paraId="431D75A3" w14:textId="77777777" w:rsidR="005D6AFE" w:rsidRPr="000410F3" w:rsidRDefault="005D6AFE" w:rsidP="005D6AFE">
      <w:pPr>
        <w:ind w:firstLine="0"/>
        <w:rPr>
          <w:rFonts w:ascii="Times New Roman" w:hAnsi="Times New Roman"/>
          <w:szCs w:val="24"/>
        </w:rPr>
      </w:pPr>
    </w:p>
    <w:p w14:paraId="4A95B123" w14:textId="1BEA1411" w:rsidR="0086288C" w:rsidRDefault="0086288C" w:rsidP="001E2B74">
      <w:pPr>
        <w:pStyle w:val="ListParagraph"/>
        <w:numPr>
          <w:ilvl w:val="0"/>
          <w:numId w:val="7"/>
        </w:numPr>
        <w:spacing w:after="0" w:line="240" w:lineRule="auto"/>
        <w:rPr>
          <w:rFonts w:ascii="Times New Roman" w:hAnsi="Times New Roman"/>
          <w:b/>
          <w:sz w:val="24"/>
          <w:szCs w:val="24"/>
        </w:rPr>
      </w:pPr>
      <w:r w:rsidRPr="002442CD">
        <w:rPr>
          <w:rFonts w:ascii="Times New Roman" w:hAnsi="Times New Roman"/>
          <w:b/>
          <w:sz w:val="24"/>
          <w:szCs w:val="24"/>
        </w:rPr>
        <w:t>Legislative History as Not Foreclosing a Certain Interpretation</w:t>
      </w:r>
    </w:p>
    <w:p w14:paraId="1CBB6A29" w14:textId="77777777" w:rsidR="005D6AFE" w:rsidRPr="002442CD" w:rsidRDefault="005D6AFE" w:rsidP="005D6AFE">
      <w:pPr>
        <w:pStyle w:val="ListParagraph"/>
        <w:spacing w:after="0" w:line="240" w:lineRule="auto"/>
        <w:ind w:left="1440"/>
        <w:rPr>
          <w:rFonts w:ascii="Times New Roman" w:hAnsi="Times New Roman"/>
          <w:b/>
          <w:sz w:val="24"/>
          <w:szCs w:val="24"/>
        </w:rPr>
      </w:pPr>
    </w:p>
    <w:p w14:paraId="6BB97A3B" w14:textId="1907201B" w:rsidR="0086288C" w:rsidRDefault="0086288C" w:rsidP="0086288C">
      <w:pPr>
        <w:rPr>
          <w:rFonts w:ascii="Times New Roman" w:hAnsi="Times New Roman"/>
          <w:szCs w:val="24"/>
        </w:rPr>
      </w:pPr>
      <w:r w:rsidRPr="000410F3">
        <w:rPr>
          <w:rFonts w:ascii="Times New Roman" w:hAnsi="Times New Roman"/>
          <w:szCs w:val="24"/>
        </w:rPr>
        <w:tab/>
        <w:t>In about 17% of cases where the Board invoked legislative history, it did so in a negative way, arguing that since nothing in the legislative history contradicted the majority’s interpretation, the statute must, by implication, be in</w:t>
      </w:r>
      <w:r w:rsidR="008F2B23">
        <w:rPr>
          <w:rFonts w:ascii="Times New Roman" w:hAnsi="Times New Roman"/>
          <w:szCs w:val="24"/>
        </w:rPr>
        <w:t>terpreted a particular way</w:t>
      </w:r>
      <w:r w:rsidRPr="000410F3">
        <w:rPr>
          <w:rFonts w:ascii="Times New Roman" w:hAnsi="Times New Roman"/>
          <w:szCs w:val="24"/>
        </w:rPr>
        <w:t>. This particular use of legislative history is perhaps the most troubling. The legislative hi</w:t>
      </w:r>
      <w:r w:rsidR="008F2B23">
        <w:rPr>
          <w:rFonts w:ascii="Times New Roman" w:hAnsi="Times New Roman"/>
          <w:szCs w:val="24"/>
        </w:rPr>
        <w:t>story of the NLRA</w:t>
      </w:r>
      <w:r w:rsidRPr="000410F3">
        <w:rPr>
          <w:rFonts w:ascii="Times New Roman" w:hAnsi="Times New Roman"/>
          <w:szCs w:val="24"/>
        </w:rPr>
        <w:t xml:space="preserve"> occupies </w:t>
      </w:r>
      <w:r w:rsidRPr="000410F3">
        <w:rPr>
          <w:rFonts w:ascii="Times New Roman" w:hAnsi="Times New Roman"/>
          <w:szCs w:val="24"/>
        </w:rPr>
        <w:lastRenderedPageBreak/>
        <w:t>several library bookshelves, so it is a tall order to say that nothing in the entire legislative history contradicts a given interpretation. Nonetheless, the Board often used this technique so as to anchor its policy-based argument to perhaps give it greater legitimacy by reference to congressional intent.</w:t>
      </w:r>
    </w:p>
    <w:p w14:paraId="5C36BA7E" w14:textId="77777777" w:rsidR="005D6AFE" w:rsidRPr="000410F3" w:rsidRDefault="005D6AFE" w:rsidP="0086288C">
      <w:pPr>
        <w:rPr>
          <w:rFonts w:ascii="Times New Roman" w:hAnsi="Times New Roman"/>
          <w:szCs w:val="24"/>
        </w:rPr>
      </w:pPr>
    </w:p>
    <w:p w14:paraId="45932690" w14:textId="0515A57A" w:rsidR="0086288C" w:rsidRPr="005D6AFE" w:rsidRDefault="0086288C" w:rsidP="001E2B74">
      <w:pPr>
        <w:pStyle w:val="ListParagraph"/>
        <w:numPr>
          <w:ilvl w:val="0"/>
          <w:numId w:val="7"/>
        </w:numPr>
        <w:rPr>
          <w:rFonts w:ascii="Times New Roman" w:hAnsi="Times New Roman"/>
          <w:b/>
          <w:szCs w:val="24"/>
        </w:rPr>
      </w:pPr>
      <w:r w:rsidRPr="005D6AFE">
        <w:rPr>
          <w:rFonts w:ascii="Times New Roman" w:hAnsi="Times New Roman"/>
          <w:b/>
          <w:szCs w:val="24"/>
        </w:rPr>
        <w:t>Legislative History as Irrelevant</w:t>
      </w:r>
    </w:p>
    <w:p w14:paraId="393B4957" w14:textId="77777777" w:rsidR="0086288C" w:rsidRDefault="0086288C" w:rsidP="0086288C">
      <w:pPr>
        <w:rPr>
          <w:rFonts w:ascii="Times New Roman" w:hAnsi="Times New Roman"/>
          <w:szCs w:val="24"/>
        </w:rPr>
      </w:pPr>
      <w:r w:rsidRPr="000410F3">
        <w:rPr>
          <w:rFonts w:ascii="Times New Roman" w:hAnsi="Times New Roman"/>
          <w:szCs w:val="24"/>
        </w:rPr>
        <w:tab/>
        <w:t xml:space="preserve">Finally, in some cases, the Board wholly ignored legislative history, even if the text appeared unclear. In </w:t>
      </w:r>
      <w:r w:rsidRPr="000410F3">
        <w:rPr>
          <w:rFonts w:ascii="Times New Roman" w:hAnsi="Times New Roman"/>
          <w:i/>
          <w:szCs w:val="24"/>
        </w:rPr>
        <w:t>Service Employees International Union et al</w:t>
      </w:r>
      <w:r w:rsidRPr="000410F3">
        <w:rPr>
          <w:rFonts w:ascii="Times New Roman" w:hAnsi="Times New Roman"/>
          <w:szCs w:val="24"/>
        </w:rPr>
        <w:t>.,</w:t>
      </w:r>
      <w:r w:rsidRPr="000410F3">
        <w:rPr>
          <w:rStyle w:val="FootnoteReference"/>
          <w:rFonts w:ascii="Times New Roman" w:hAnsi="Times New Roman"/>
          <w:szCs w:val="24"/>
        </w:rPr>
        <w:footnoteReference w:id="230"/>
      </w:r>
      <w:r w:rsidRPr="000410F3">
        <w:rPr>
          <w:rFonts w:ascii="Times New Roman" w:hAnsi="Times New Roman"/>
          <w:szCs w:val="24"/>
        </w:rPr>
        <w:t xml:space="preserve"> the Republican-dominated Board had to decide whether a party was a “neutral” under the commo</w:t>
      </w:r>
      <w:r>
        <w:rPr>
          <w:rFonts w:ascii="Times New Roman" w:hAnsi="Times New Roman"/>
          <w:szCs w:val="24"/>
        </w:rPr>
        <w:t xml:space="preserve">n law because if they were </w:t>
      </w:r>
      <w:r w:rsidRPr="000410F3">
        <w:rPr>
          <w:rFonts w:ascii="Times New Roman" w:hAnsi="Times New Roman"/>
          <w:szCs w:val="24"/>
        </w:rPr>
        <w:t>not neutral, they would be in violation of the NLRA’s secondary boycott provisions.</w:t>
      </w:r>
      <w:r w:rsidRPr="000410F3">
        <w:rPr>
          <w:rStyle w:val="FootnoteReference"/>
          <w:rFonts w:ascii="Times New Roman" w:hAnsi="Times New Roman"/>
          <w:szCs w:val="24"/>
        </w:rPr>
        <w:footnoteReference w:id="231"/>
      </w:r>
      <w:r w:rsidRPr="000410F3">
        <w:rPr>
          <w:rFonts w:ascii="Times New Roman" w:hAnsi="Times New Roman"/>
          <w:szCs w:val="24"/>
        </w:rPr>
        <w:t xml:space="preserve"> The Board extensively cited to Senator Robert Taft’s statements in the legislative history on his interpretation of the word neutral as being “wholly unconcerned” in the disagreement.</w:t>
      </w:r>
      <w:r w:rsidRPr="000410F3">
        <w:rPr>
          <w:rStyle w:val="FootnoteReference"/>
          <w:rFonts w:ascii="Times New Roman" w:hAnsi="Times New Roman"/>
          <w:szCs w:val="24"/>
        </w:rPr>
        <w:footnoteReference w:id="232"/>
      </w:r>
      <w:r w:rsidRPr="000410F3">
        <w:rPr>
          <w:rFonts w:ascii="Times New Roman" w:hAnsi="Times New Roman"/>
          <w:szCs w:val="24"/>
        </w:rPr>
        <w:t xml:space="preserve"> The Board, however, decided to apply a different test, nothing that while on the surface, “the legislative history of these provisions would seem to be relatively clear and similarly argue for an extremely narrow interpretation of the word ‘neutral,’” policy concerns predominated to interpret the provision in a broader sense to be violative of the law.</w:t>
      </w:r>
      <w:r w:rsidRPr="000410F3">
        <w:rPr>
          <w:rStyle w:val="FootnoteReference"/>
          <w:rFonts w:ascii="Times New Roman" w:hAnsi="Times New Roman"/>
          <w:szCs w:val="24"/>
        </w:rPr>
        <w:footnoteReference w:id="233"/>
      </w:r>
    </w:p>
    <w:p w14:paraId="4B98983B" w14:textId="77777777" w:rsidR="005D6AFE" w:rsidRPr="000410F3" w:rsidRDefault="005D6AFE" w:rsidP="0086288C">
      <w:pPr>
        <w:rPr>
          <w:rFonts w:ascii="Times New Roman" w:hAnsi="Times New Roman"/>
          <w:szCs w:val="24"/>
        </w:rPr>
      </w:pPr>
    </w:p>
    <w:p w14:paraId="32795F14" w14:textId="4C939C2B" w:rsidR="0086288C" w:rsidRPr="005D6AFE" w:rsidRDefault="001E2B74" w:rsidP="001E2B74">
      <w:pPr>
        <w:pStyle w:val="ListParagraph"/>
        <w:numPr>
          <w:ilvl w:val="0"/>
          <w:numId w:val="23"/>
        </w:numPr>
        <w:rPr>
          <w:rFonts w:ascii="Times New Roman" w:hAnsi="Times New Roman"/>
          <w:b/>
          <w:szCs w:val="24"/>
        </w:rPr>
      </w:pPr>
      <w:r>
        <w:rPr>
          <w:rFonts w:ascii="Times New Roman" w:hAnsi="Times New Roman"/>
          <w:b/>
          <w:szCs w:val="24"/>
        </w:rPr>
        <w:t>NLRB’s Use of Precedent</w:t>
      </w:r>
    </w:p>
    <w:p w14:paraId="67F0040C" w14:textId="39F534B2" w:rsidR="0086288C" w:rsidRPr="000410F3" w:rsidRDefault="008F2B23" w:rsidP="005D6AFE">
      <w:pPr>
        <w:ind w:firstLine="720"/>
        <w:rPr>
          <w:rFonts w:ascii="Times New Roman" w:hAnsi="Times New Roman"/>
          <w:szCs w:val="24"/>
        </w:rPr>
      </w:pPr>
      <w:r>
        <w:rPr>
          <w:rFonts w:ascii="Times New Roman" w:hAnsi="Times New Roman"/>
          <w:szCs w:val="24"/>
        </w:rPr>
        <w:t>The Board</w:t>
      </w:r>
      <w:r w:rsidR="0086288C" w:rsidRPr="000410F3">
        <w:rPr>
          <w:rFonts w:ascii="Times New Roman" w:hAnsi="Times New Roman"/>
          <w:szCs w:val="24"/>
        </w:rPr>
        <w:t xml:space="preserve"> uses precedent to inform statutory meaning. Oftentimes, the issue </w:t>
      </w:r>
      <w:r w:rsidR="0086288C">
        <w:rPr>
          <w:rFonts w:ascii="Times New Roman" w:hAnsi="Times New Roman"/>
          <w:szCs w:val="24"/>
        </w:rPr>
        <w:t>is</w:t>
      </w:r>
      <w:r w:rsidR="005D6AFE">
        <w:rPr>
          <w:rFonts w:ascii="Times New Roman" w:hAnsi="Times New Roman"/>
          <w:szCs w:val="24"/>
        </w:rPr>
        <w:t xml:space="preserve"> </w:t>
      </w:r>
      <w:r w:rsidR="0086288C" w:rsidRPr="000410F3">
        <w:rPr>
          <w:rFonts w:ascii="Times New Roman" w:hAnsi="Times New Roman"/>
          <w:szCs w:val="24"/>
        </w:rPr>
        <w:t xml:space="preserve">one of first impression, and the Board must look to Supreme Court or Board precedent to see if it imposes any limits on the policy choice the Board must make. In other instances, the Board looks to precedent for guidance on what the right answer is. For instance, in </w:t>
      </w:r>
      <w:r w:rsidR="0086288C" w:rsidRPr="000410F3">
        <w:rPr>
          <w:rFonts w:ascii="Times New Roman" w:hAnsi="Times New Roman"/>
          <w:i/>
          <w:szCs w:val="24"/>
        </w:rPr>
        <w:t>International Paper</w:t>
      </w:r>
      <w:r w:rsidR="0086288C" w:rsidRPr="000410F3">
        <w:rPr>
          <w:rFonts w:ascii="Times New Roman" w:hAnsi="Times New Roman"/>
          <w:szCs w:val="24"/>
        </w:rPr>
        <w:t xml:space="preserve">, a three member panel of the Board had to answer a question </w:t>
      </w:r>
      <w:r w:rsidR="0086288C" w:rsidRPr="0086288C">
        <w:rPr>
          <w:rFonts w:ascii="Times New Roman" w:eastAsia="Calibri" w:hAnsi="Times New Roman"/>
          <w:color w:val="191919"/>
          <w:szCs w:val="24"/>
        </w:rPr>
        <w:t>of first impression: whether an employer that has already locked out of its bargaining unit and subcontracted work out on a temporary basis can take the further step of subcontracting out work on a more permanent basis.</w:t>
      </w:r>
      <w:r w:rsidR="0086288C" w:rsidRPr="0086288C">
        <w:rPr>
          <w:rStyle w:val="FootnoteReference"/>
          <w:rFonts w:ascii="Times New Roman" w:eastAsia="Calibri" w:hAnsi="Times New Roman"/>
          <w:color w:val="191919"/>
          <w:szCs w:val="24"/>
        </w:rPr>
        <w:footnoteReference w:id="234"/>
      </w:r>
      <w:r w:rsidR="0086288C" w:rsidRPr="0086288C">
        <w:rPr>
          <w:rFonts w:ascii="Times New Roman" w:eastAsia="Calibri" w:hAnsi="Times New Roman"/>
          <w:color w:val="191919"/>
          <w:szCs w:val="24"/>
        </w:rPr>
        <w:t xml:space="preserve"> To answer the question the Board looked to Supreme Court precedent to ascertain whether the scenario presented was analogous to other scenarios where the Board found such conduct to be unlawful.</w:t>
      </w:r>
      <w:r w:rsidR="0086288C" w:rsidRPr="0086288C">
        <w:rPr>
          <w:rStyle w:val="FootnoteReference"/>
          <w:rFonts w:ascii="Times New Roman" w:eastAsia="Calibri" w:hAnsi="Times New Roman"/>
          <w:color w:val="191919"/>
          <w:szCs w:val="24"/>
        </w:rPr>
        <w:footnoteReference w:id="235"/>
      </w:r>
      <w:r w:rsidR="0086288C" w:rsidRPr="0086288C">
        <w:rPr>
          <w:rFonts w:ascii="Times New Roman" w:eastAsia="Calibri" w:hAnsi="Times New Roman"/>
          <w:color w:val="191919"/>
          <w:szCs w:val="24"/>
        </w:rPr>
        <w:t xml:space="preserve"> In this case, the appellate court </w:t>
      </w:r>
      <w:r w:rsidR="0086288C" w:rsidRPr="0086288C">
        <w:rPr>
          <w:rFonts w:ascii="Times New Roman" w:eastAsia="Calibri" w:hAnsi="Times New Roman"/>
          <w:color w:val="191919"/>
          <w:szCs w:val="24"/>
        </w:rPr>
        <w:lastRenderedPageBreak/>
        <w:t>disagreed with the Board’s ruling finding that it had misapplied Supreme Court precedent to arrive at the wrong answer.</w:t>
      </w:r>
      <w:r w:rsidR="0086288C" w:rsidRPr="0086288C">
        <w:rPr>
          <w:rStyle w:val="FootnoteReference"/>
          <w:rFonts w:ascii="Times New Roman" w:eastAsia="Calibri" w:hAnsi="Times New Roman"/>
          <w:color w:val="191919"/>
          <w:szCs w:val="24"/>
        </w:rPr>
        <w:footnoteReference w:id="236"/>
      </w:r>
    </w:p>
    <w:p w14:paraId="692F48A4" w14:textId="29979C11" w:rsidR="0086288C" w:rsidRDefault="0086288C" w:rsidP="005D6AFE">
      <w:pPr>
        <w:ind w:firstLine="720"/>
        <w:rPr>
          <w:rFonts w:ascii="Times New Roman" w:hAnsi="Times New Roman"/>
          <w:szCs w:val="24"/>
        </w:rPr>
      </w:pPr>
      <w:r w:rsidRPr="000410F3">
        <w:rPr>
          <w:rFonts w:ascii="Times New Roman" w:hAnsi="Times New Roman"/>
          <w:szCs w:val="24"/>
        </w:rPr>
        <w:t xml:space="preserve">Rulings from the appellate court can also prompt the Board to alter policy. In </w:t>
      </w:r>
      <w:r w:rsidRPr="000410F3">
        <w:rPr>
          <w:rFonts w:ascii="Times New Roman" w:hAnsi="Times New Roman"/>
          <w:i/>
          <w:szCs w:val="24"/>
        </w:rPr>
        <w:t>Mississippi Power &amp; Light</w:t>
      </w:r>
      <w:r w:rsidRPr="000410F3">
        <w:rPr>
          <w:rFonts w:ascii="Times New Roman" w:hAnsi="Times New Roman"/>
          <w:szCs w:val="24"/>
        </w:rPr>
        <w:t>, the Board had to interpret whether dispatchers were “supervisors” within the meaning of the NLRA.</w:t>
      </w:r>
      <w:r w:rsidRPr="000410F3">
        <w:rPr>
          <w:rStyle w:val="FootnoteReference"/>
          <w:rFonts w:ascii="Times New Roman" w:hAnsi="Times New Roman"/>
          <w:szCs w:val="24"/>
        </w:rPr>
        <w:footnoteReference w:id="237"/>
      </w:r>
      <w:r w:rsidRPr="000410F3">
        <w:rPr>
          <w:rFonts w:ascii="Times New Roman" w:hAnsi="Times New Roman"/>
          <w:szCs w:val="24"/>
        </w:rPr>
        <w:t xml:space="preserve"> As part of its reasoning, the Board referenced many other circuit court decisions finding that they were not supervisors.</w:t>
      </w:r>
      <w:r w:rsidRPr="000410F3">
        <w:rPr>
          <w:rStyle w:val="FootnoteReference"/>
          <w:rFonts w:ascii="Times New Roman" w:hAnsi="Times New Roman"/>
          <w:szCs w:val="24"/>
        </w:rPr>
        <w:footnoteReference w:id="238"/>
      </w:r>
      <w:r w:rsidRPr="000410F3">
        <w:rPr>
          <w:rFonts w:ascii="Times New Roman" w:hAnsi="Times New Roman"/>
          <w:szCs w:val="24"/>
        </w:rPr>
        <w:t xml:space="preserve"> As another example, in </w:t>
      </w:r>
      <w:r w:rsidRPr="000410F3">
        <w:rPr>
          <w:rFonts w:ascii="Times New Roman" w:hAnsi="Times New Roman"/>
          <w:i/>
          <w:szCs w:val="24"/>
        </w:rPr>
        <w:t>Martin Luther</w:t>
      </w:r>
      <w:r w:rsidRPr="000410F3">
        <w:rPr>
          <w:rFonts w:ascii="Times New Roman" w:hAnsi="Times New Roman"/>
          <w:szCs w:val="24"/>
        </w:rPr>
        <w:t>, the Board looked to the United States Court of Appeals for the District of Columbia circuit for guidance on the whether certain work rules chilled section 7 rights.</w:t>
      </w:r>
      <w:r w:rsidRPr="000410F3">
        <w:rPr>
          <w:rStyle w:val="FootnoteReference"/>
          <w:rFonts w:ascii="Times New Roman" w:hAnsi="Times New Roman"/>
          <w:szCs w:val="24"/>
        </w:rPr>
        <w:footnoteReference w:id="239"/>
      </w:r>
      <w:r w:rsidRPr="000410F3">
        <w:rPr>
          <w:rFonts w:ascii="Times New Roman" w:hAnsi="Times New Roman"/>
          <w:szCs w:val="24"/>
        </w:rPr>
        <w:t xml:space="preserve"> Moreover, in some cases, the Board rejects the guidance of the court of appeals.</w:t>
      </w:r>
      <w:r w:rsidRPr="000410F3">
        <w:rPr>
          <w:rStyle w:val="FootnoteReference"/>
          <w:rFonts w:ascii="Times New Roman" w:hAnsi="Times New Roman"/>
          <w:szCs w:val="24"/>
        </w:rPr>
        <w:footnoteReference w:id="240"/>
      </w:r>
    </w:p>
    <w:p w14:paraId="02DA01A6" w14:textId="77777777" w:rsidR="005D6AFE" w:rsidRPr="000410F3" w:rsidRDefault="005D6AFE" w:rsidP="005D6AFE">
      <w:pPr>
        <w:ind w:firstLine="720"/>
        <w:rPr>
          <w:rFonts w:ascii="Times New Roman" w:hAnsi="Times New Roman"/>
          <w:szCs w:val="24"/>
        </w:rPr>
      </w:pPr>
    </w:p>
    <w:p w14:paraId="5602B363" w14:textId="4DEB2088" w:rsidR="0086288C" w:rsidRDefault="001E2B74" w:rsidP="001E2B74">
      <w:pPr>
        <w:pStyle w:val="ListParagraph"/>
        <w:numPr>
          <w:ilvl w:val="0"/>
          <w:numId w:val="23"/>
        </w:numPr>
        <w:spacing w:after="0" w:line="240" w:lineRule="auto"/>
        <w:rPr>
          <w:rFonts w:ascii="Times New Roman" w:hAnsi="Times New Roman"/>
          <w:b/>
          <w:sz w:val="24"/>
          <w:szCs w:val="24"/>
        </w:rPr>
      </w:pPr>
      <w:r>
        <w:rPr>
          <w:rFonts w:ascii="Times New Roman" w:hAnsi="Times New Roman"/>
          <w:b/>
          <w:sz w:val="24"/>
          <w:szCs w:val="24"/>
        </w:rPr>
        <w:t>NLRB’s Use of Policy</w:t>
      </w:r>
    </w:p>
    <w:p w14:paraId="2DCDD32E" w14:textId="77777777" w:rsidR="005D6AFE" w:rsidRPr="002442CD" w:rsidRDefault="005D6AFE" w:rsidP="005D6AFE">
      <w:pPr>
        <w:pStyle w:val="ListParagraph"/>
        <w:spacing w:after="0" w:line="240" w:lineRule="auto"/>
        <w:rPr>
          <w:rFonts w:ascii="Times New Roman" w:hAnsi="Times New Roman"/>
          <w:b/>
          <w:sz w:val="24"/>
          <w:szCs w:val="24"/>
        </w:rPr>
      </w:pPr>
    </w:p>
    <w:p w14:paraId="40A8C7D0" w14:textId="6748D38E" w:rsidR="0086288C" w:rsidRDefault="0086288C" w:rsidP="0086288C">
      <w:pPr>
        <w:ind w:firstLine="720"/>
        <w:rPr>
          <w:rFonts w:ascii="Times New Roman" w:hAnsi="Times New Roman"/>
          <w:szCs w:val="24"/>
        </w:rPr>
      </w:pPr>
      <w:r w:rsidRPr="000410F3">
        <w:rPr>
          <w:rFonts w:ascii="Times New Roman" w:hAnsi="Times New Roman"/>
          <w:szCs w:val="24"/>
        </w:rPr>
        <w:t>The Board frequently engaged in a policy-based approach in informing statutory meaning, with almost a third of the cases primarily relying on policy as the cornerstone of its choice between two or more permissible constructions of the statute, with another fifth of cases relying on policy considerations as a se</w:t>
      </w:r>
      <w:r w:rsidR="008F2B23">
        <w:rPr>
          <w:rFonts w:ascii="Times New Roman" w:hAnsi="Times New Roman"/>
          <w:szCs w:val="24"/>
        </w:rPr>
        <w:t>condary source to buttress</w:t>
      </w:r>
      <w:r w:rsidRPr="000410F3">
        <w:rPr>
          <w:rFonts w:ascii="Times New Roman" w:hAnsi="Times New Roman"/>
          <w:szCs w:val="24"/>
        </w:rPr>
        <w:t xml:space="preserve"> the text and/or the text and legislative history. The Board’s use of policy-based statutory approaches falls into two main camps: 1) an “all hands on deck” approach where the Board equally looks at text, legislative history, policy and practical considerations to inform the meaning, with the “purpose” of the statutory scheme occupying center stage in the analysis; and 2) a policy-based approach where the Board either expressly or implicitly decides the case by making a policy choice with little to no discussion of the text or legislative history. In most of these cases, the Board rests its analysis on a balancing of competing facto</w:t>
      </w:r>
      <w:r w:rsidR="008F2B23">
        <w:rPr>
          <w:rFonts w:ascii="Times New Roman" w:hAnsi="Times New Roman"/>
          <w:szCs w:val="24"/>
        </w:rPr>
        <w:t>rs. These choices</w:t>
      </w:r>
      <w:r w:rsidRPr="000410F3">
        <w:rPr>
          <w:rFonts w:ascii="Times New Roman" w:hAnsi="Times New Roman"/>
          <w:szCs w:val="24"/>
        </w:rPr>
        <w:t xml:space="preserve"> may include decisions concerning whether a given policy will foster inequality in bargaining power or whether it could potentially lead to more uproar in the workplace or increase the number of strikes in derogation of congressional intent. In all, in about 40% of all cases, policy considerations were an important part of the analysis, either expressly or implicitly.</w:t>
      </w:r>
      <w:r w:rsidRPr="000410F3">
        <w:rPr>
          <w:rStyle w:val="FootnoteReference"/>
          <w:rFonts w:ascii="Times New Roman" w:hAnsi="Times New Roman"/>
          <w:szCs w:val="24"/>
        </w:rPr>
        <w:footnoteReference w:id="241"/>
      </w:r>
      <w:r w:rsidRPr="000410F3">
        <w:rPr>
          <w:rFonts w:ascii="Times New Roman" w:hAnsi="Times New Roman"/>
          <w:szCs w:val="24"/>
        </w:rPr>
        <w:t xml:space="preserve"> When the Board engages in a primarily policy-based </w:t>
      </w:r>
      <w:r w:rsidRPr="000410F3">
        <w:rPr>
          <w:rFonts w:ascii="Times New Roman" w:hAnsi="Times New Roman"/>
          <w:szCs w:val="24"/>
        </w:rPr>
        <w:lastRenderedPageBreak/>
        <w:t>approach, it cites practical considerations in 80% of cases. The Obama Board especially has often adopted a policy approach.</w:t>
      </w:r>
    </w:p>
    <w:p w14:paraId="4C2B66E6" w14:textId="77777777" w:rsidR="005D6AFE" w:rsidRPr="000410F3" w:rsidRDefault="005D6AFE" w:rsidP="0086288C">
      <w:pPr>
        <w:ind w:firstLine="720"/>
        <w:rPr>
          <w:rFonts w:ascii="Times New Roman" w:hAnsi="Times New Roman"/>
          <w:szCs w:val="24"/>
        </w:rPr>
      </w:pPr>
    </w:p>
    <w:p w14:paraId="26065127" w14:textId="77777777" w:rsidR="0086288C" w:rsidRDefault="0086288C" w:rsidP="001A4D77">
      <w:pPr>
        <w:pStyle w:val="ListParagraph"/>
        <w:numPr>
          <w:ilvl w:val="0"/>
          <w:numId w:val="8"/>
        </w:numPr>
        <w:spacing w:after="0" w:line="240" w:lineRule="auto"/>
        <w:rPr>
          <w:rFonts w:ascii="Times New Roman" w:hAnsi="Times New Roman"/>
          <w:b/>
          <w:sz w:val="24"/>
          <w:szCs w:val="24"/>
        </w:rPr>
      </w:pPr>
      <w:r w:rsidRPr="002442CD">
        <w:rPr>
          <w:rFonts w:ascii="Times New Roman" w:hAnsi="Times New Roman"/>
          <w:b/>
          <w:sz w:val="24"/>
          <w:szCs w:val="24"/>
        </w:rPr>
        <w:t>“All Hands on Deck” Purposive Approach</w:t>
      </w:r>
    </w:p>
    <w:p w14:paraId="7406D39C" w14:textId="77777777" w:rsidR="005D6AFE" w:rsidRPr="002442CD" w:rsidRDefault="005D6AFE" w:rsidP="005D6AFE">
      <w:pPr>
        <w:pStyle w:val="ListParagraph"/>
        <w:spacing w:after="0" w:line="240" w:lineRule="auto"/>
        <w:ind w:left="1080"/>
        <w:rPr>
          <w:rFonts w:ascii="Times New Roman" w:hAnsi="Times New Roman"/>
          <w:b/>
          <w:sz w:val="24"/>
          <w:szCs w:val="24"/>
        </w:rPr>
      </w:pPr>
    </w:p>
    <w:p w14:paraId="5B640FCC"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Under the first approach, the statute’s “purpose” seems to be the central lynchpin of the analysis, with the text and legislative history providing a backdrop in which to offer insight into congressional purpose. The issue with this methodology, however, is that both Democratic and Republican Boards act like the Act only has one purpose; they fail to acknowledge let alone reconcile the fact the Act has multiple and somewhat competing purposes.</w:t>
      </w:r>
      <w:r w:rsidRPr="000410F3">
        <w:rPr>
          <w:rStyle w:val="FootnoteReference"/>
          <w:rFonts w:ascii="Times New Roman" w:hAnsi="Times New Roman"/>
          <w:szCs w:val="24"/>
        </w:rPr>
        <w:footnoteReference w:id="242"/>
      </w:r>
      <w:r w:rsidRPr="000410F3">
        <w:rPr>
          <w:rFonts w:ascii="Times New Roman" w:hAnsi="Times New Roman"/>
          <w:szCs w:val="24"/>
        </w:rPr>
        <w:t xml:space="preserve"> Framing the statutory interpretation in terms of “purpose” thus leads to the unfortunate consequence that the Board frequently shifts in its interpretation of the statute. In most cases in which the Board adopts this approach, it finds that the statute neither mandates nor forecloses a given interpretation. Legislative history is often of no help as it is used by both the majority and dissent to competing ends, with each side finding something in the legislative history in which to anchor its policy-based prescription. In such a way, the Board, unfettered from the text of the statute with only vague references to legislative intent to guide it, can then fashion a statutory analysis based on competing policy aims. </w:t>
      </w:r>
    </w:p>
    <w:p w14:paraId="28BEDBA7"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As will be discussed more </w:t>
      </w:r>
      <w:r w:rsidRPr="000410F3">
        <w:rPr>
          <w:rFonts w:ascii="Times New Roman" w:hAnsi="Times New Roman"/>
          <w:i/>
          <w:szCs w:val="24"/>
        </w:rPr>
        <w:t>infra</w:t>
      </w:r>
      <w:r w:rsidRPr="000410F3">
        <w:rPr>
          <w:rFonts w:ascii="Times New Roman" w:hAnsi="Times New Roman"/>
          <w:szCs w:val="24"/>
        </w:rPr>
        <w:t xml:space="preserve">, both Republican and Democratic Boards may in fact rely on the same interpretive techniques to inform the statutory meanings but they look at them completely differently because each has a different view of the statute’s purpose. In </w:t>
      </w:r>
      <w:r w:rsidRPr="000410F3">
        <w:rPr>
          <w:rFonts w:ascii="Times New Roman" w:hAnsi="Times New Roman"/>
          <w:i/>
          <w:szCs w:val="24"/>
        </w:rPr>
        <w:t>Brown University</w:t>
      </w:r>
      <w:r w:rsidRPr="000410F3">
        <w:rPr>
          <w:rFonts w:ascii="Times New Roman" w:hAnsi="Times New Roman"/>
          <w:szCs w:val="24"/>
        </w:rPr>
        <w:t xml:space="preserve">, discussed above, and overruled by the recent </w:t>
      </w:r>
      <w:r w:rsidRPr="000410F3">
        <w:rPr>
          <w:rFonts w:ascii="Times New Roman" w:hAnsi="Times New Roman"/>
          <w:i/>
          <w:szCs w:val="24"/>
        </w:rPr>
        <w:t>Columbia University</w:t>
      </w:r>
      <w:r w:rsidRPr="000410F3">
        <w:rPr>
          <w:rFonts w:ascii="Times New Roman" w:hAnsi="Times New Roman"/>
          <w:szCs w:val="24"/>
        </w:rPr>
        <w:t xml:space="preserve"> case, the Board had to decide whether graduate TAs qualified as “employees” under the Act.</w:t>
      </w:r>
      <w:r w:rsidRPr="000410F3">
        <w:rPr>
          <w:rStyle w:val="FootnoteReference"/>
          <w:rFonts w:ascii="Times New Roman" w:hAnsi="Times New Roman"/>
          <w:szCs w:val="24"/>
        </w:rPr>
        <w:footnoteReference w:id="243"/>
      </w:r>
      <w:r w:rsidRPr="000410F3">
        <w:rPr>
          <w:rFonts w:ascii="Times New Roman" w:hAnsi="Times New Roman"/>
          <w:szCs w:val="24"/>
        </w:rPr>
        <w:t xml:space="preserve"> The predecessor case </w:t>
      </w:r>
      <w:r w:rsidRPr="000410F3">
        <w:rPr>
          <w:rFonts w:ascii="Times New Roman" w:hAnsi="Times New Roman"/>
          <w:i/>
          <w:szCs w:val="24"/>
        </w:rPr>
        <w:t>NYU</w:t>
      </w:r>
      <w:r w:rsidRPr="000410F3">
        <w:rPr>
          <w:rFonts w:ascii="Times New Roman" w:hAnsi="Times New Roman"/>
          <w:szCs w:val="24"/>
        </w:rPr>
        <w:t xml:space="preserve"> and the subsequent case </w:t>
      </w:r>
      <w:r w:rsidRPr="000410F3">
        <w:rPr>
          <w:rFonts w:ascii="Times New Roman" w:hAnsi="Times New Roman"/>
          <w:i/>
          <w:szCs w:val="24"/>
        </w:rPr>
        <w:t>Columbia University</w:t>
      </w:r>
      <w:r w:rsidRPr="000410F3">
        <w:rPr>
          <w:rFonts w:ascii="Times New Roman" w:hAnsi="Times New Roman"/>
          <w:szCs w:val="24"/>
        </w:rPr>
        <w:t xml:space="preserve"> applied a textualist approach, looking at the plain meaning of the statute. However, in </w:t>
      </w:r>
      <w:r w:rsidRPr="000410F3">
        <w:rPr>
          <w:rFonts w:ascii="Times New Roman" w:hAnsi="Times New Roman"/>
          <w:i/>
          <w:szCs w:val="24"/>
        </w:rPr>
        <w:t>Brown</w:t>
      </w:r>
      <w:r w:rsidRPr="000410F3">
        <w:rPr>
          <w:rFonts w:ascii="Times New Roman" w:hAnsi="Times New Roman"/>
          <w:szCs w:val="24"/>
        </w:rPr>
        <w:t>, the Republican-majority Board also adopted a textualist approach but framed the decision largely in terms of congressional purpose. The Board opined that the NLRA’s fundamental purpose is to cover “economic relationships” and as such collective bargaining by students at schools would not further the purpose of the Act as intended by Congress.</w:t>
      </w:r>
      <w:r w:rsidRPr="000410F3">
        <w:rPr>
          <w:rStyle w:val="FootnoteReference"/>
          <w:rFonts w:ascii="Times New Roman" w:hAnsi="Times New Roman"/>
          <w:szCs w:val="24"/>
        </w:rPr>
        <w:footnoteReference w:id="244"/>
      </w:r>
      <w:r w:rsidRPr="000410F3">
        <w:rPr>
          <w:rFonts w:ascii="Times New Roman" w:hAnsi="Times New Roman"/>
          <w:szCs w:val="24"/>
        </w:rPr>
        <w:t xml:space="preserve"> The Board also reasoned that to include TAs within the ambit of the Act would infringe upon academic freedom.</w:t>
      </w:r>
      <w:r w:rsidRPr="000410F3">
        <w:rPr>
          <w:rStyle w:val="FootnoteReference"/>
          <w:rFonts w:ascii="Times New Roman" w:hAnsi="Times New Roman"/>
          <w:szCs w:val="24"/>
        </w:rPr>
        <w:footnoteReference w:id="245"/>
      </w:r>
      <w:r w:rsidRPr="000410F3">
        <w:rPr>
          <w:rFonts w:ascii="Times New Roman" w:hAnsi="Times New Roman"/>
          <w:szCs w:val="24"/>
        </w:rPr>
        <w:t xml:space="preserve"> By contrast, in </w:t>
      </w:r>
      <w:r w:rsidRPr="000410F3">
        <w:rPr>
          <w:rFonts w:ascii="Times New Roman" w:hAnsi="Times New Roman"/>
          <w:i/>
          <w:szCs w:val="24"/>
        </w:rPr>
        <w:t xml:space="preserve">Columbia </w:t>
      </w:r>
      <w:r w:rsidRPr="000410F3">
        <w:rPr>
          <w:rFonts w:ascii="Times New Roman" w:hAnsi="Times New Roman"/>
          <w:i/>
          <w:szCs w:val="24"/>
        </w:rPr>
        <w:lastRenderedPageBreak/>
        <w:t>University</w:t>
      </w:r>
      <w:r w:rsidRPr="000410F3">
        <w:rPr>
          <w:rFonts w:ascii="Times New Roman" w:hAnsi="Times New Roman"/>
          <w:szCs w:val="24"/>
        </w:rPr>
        <w:t>, the Board adopted a “all hands on deck” approach where it used textualism, legislative history, policy, and practical considerations to give meaning to the statute.</w:t>
      </w:r>
      <w:r w:rsidRPr="000410F3">
        <w:rPr>
          <w:rStyle w:val="FootnoteReference"/>
          <w:rFonts w:ascii="Times New Roman" w:hAnsi="Times New Roman"/>
          <w:szCs w:val="24"/>
        </w:rPr>
        <w:footnoteReference w:id="246"/>
      </w:r>
      <w:r w:rsidRPr="000410F3">
        <w:rPr>
          <w:rFonts w:ascii="Times New Roman" w:hAnsi="Times New Roman"/>
          <w:szCs w:val="24"/>
        </w:rPr>
        <w:t xml:space="preserve"> It too adopted a text-based purposive analysis, but the Democratic-Board thought the “purpose” of the NLRA was different from the purpose envisioned by the Republican </w:t>
      </w:r>
      <w:r w:rsidRPr="000410F3">
        <w:rPr>
          <w:rFonts w:ascii="Times New Roman" w:hAnsi="Times New Roman"/>
          <w:i/>
          <w:szCs w:val="24"/>
        </w:rPr>
        <w:t>Brown</w:t>
      </w:r>
      <w:r w:rsidRPr="000410F3">
        <w:rPr>
          <w:rFonts w:ascii="Times New Roman" w:hAnsi="Times New Roman"/>
          <w:szCs w:val="24"/>
        </w:rPr>
        <w:t xml:space="preserve"> Board. As the </w:t>
      </w:r>
      <w:r w:rsidRPr="000410F3">
        <w:rPr>
          <w:rFonts w:ascii="Times New Roman" w:hAnsi="Times New Roman"/>
          <w:i/>
          <w:szCs w:val="24"/>
        </w:rPr>
        <w:t>Columbia</w:t>
      </w:r>
      <w:r w:rsidRPr="000410F3">
        <w:rPr>
          <w:rFonts w:ascii="Times New Roman" w:hAnsi="Times New Roman"/>
          <w:szCs w:val="24"/>
        </w:rPr>
        <w:t xml:space="preserve"> Board reasoned, “[p]ermitting students assistants to choose whether they wish to engage in collective bargaining</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Pr="000410F3">
        <w:rPr>
          <w:rFonts w:ascii="Times New Roman" w:hAnsi="Times New Roman"/>
          <w:szCs w:val="24"/>
        </w:rPr>
        <w:t>not prohibiting it</w:t>
      </w:r>
      <w:r>
        <w:rPr>
          <w:rFonts w:ascii="Times New Roman" w:hAnsi="Times New Roman"/>
          <w:szCs w:val="24"/>
        </w:rPr>
        <w:t xml:space="preserve"> </w:t>
      </w:r>
      <w:r w:rsidRPr="000410F3">
        <w:rPr>
          <w:rFonts w:ascii="Times New Roman" w:hAnsi="Times New Roman"/>
          <w:szCs w:val="24"/>
        </w:rPr>
        <w:t>— would further the Act’s policies.”</w:t>
      </w:r>
      <w:r w:rsidRPr="000410F3">
        <w:rPr>
          <w:rStyle w:val="FootnoteReference"/>
          <w:rFonts w:ascii="Times New Roman" w:hAnsi="Times New Roman"/>
          <w:szCs w:val="24"/>
        </w:rPr>
        <w:footnoteReference w:id="247"/>
      </w:r>
      <w:r w:rsidRPr="000410F3">
        <w:rPr>
          <w:rFonts w:ascii="Times New Roman" w:hAnsi="Times New Roman"/>
          <w:szCs w:val="24"/>
        </w:rPr>
        <w:t xml:space="preserve"> Both sides read the text in light of completely different purposes.</w:t>
      </w:r>
    </w:p>
    <w:p w14:paraId="3CFD67A4" w14:textId="77777777" w:rsidR="0086288C" w:rsidRDefault="0086288C" w:rsidP="0086288C">
      <w:pPr>
        <w:ind w:firstLine="720"/>
        <w:rPr>
          <w:rFonts w:ascii="Times New Roman" w:hAnsi="Times New Roman"/>
          <w:szCs w:val="24"/>
        </w:rPr>
      </w:pPr>
      <w:r w:rsidRPr="000410F3">
        <w:rPr>
          <w:rFonts w:ascii="Times New Roman" w:hAnsi="Times New Roman"/>
          <w:szCs w:val="24"/>
        </w:rPr>
        <w:t xml:space="preserve">The Board also used this approach in deciding whether house staff (or medical residents) qualified as employees under the NLRA. In </w:t>
      </w:r>
      <w:r w:rsidRPr="000410F3">
        <w:rPr>
          <w:rFonts w:ascii="Times New Roman" w:hAnsi="Times New Roman"/>
          <w:i/>
          <w:szCs w:val="24"/>
        </w:rPr>
        <w:t>Boston Medical Center</w:t>
      </w:r>
      <w:r w:rsidRPr="000410F3">
        <w:rPr>
          <w:rFonts w:ascii="Times New Roman" w:hAnsi="Times New Roman"/>
          <w:szCs w:val="24"/>
        </w:rPr>
        <w:t>, the Board relied on a multi-factor analysis, using text, legislative history, policy and pr</w:t>
      </w:r>
      <w:r>
        <w:rPr>
          <w:rFonts w:ascii="Times New Roman" w:hAnsi="Times New Roman"/>
          <w:szCs w:val="24"/>
        </w:rPr>
        <w:t xml:space="preserve">agmatic considerations. </w:t>
      </w:r>
      <w:r w:rsidRPr="000410F3">
        <w:rPr>
          <w:rFonts w:ascii="Times New Roman" w:hAnsi="Times New Roman"/>
          <w:szCs w:val="24"/>
        </w:rPr>
        <w:t>First, the Board emphasized the text, noting the language of the NLRA was broad, and that the term ‘employee’ specifically says “shall include any employee.”</w:t>
      </w:r>
      <w:r w:rsidRPr="000410F3">
        <w:rPr>
          <w:rStyle w:val="FootnoteReference"/>
          <w:rFonts w:ascii="Times New Roman" w:hAnsi="Times New Roman"/>
          <w:szCs w:val="24"/>
        </w:rPr>
        <w:footnoteReference w:id="248"/>
      </w:r>
      <w:r w:rsidRPr="000410F3">
        <w:rPr>
          <w:rFonts w:ascii="Times New Roman" w:hAnsi="Times New Roman"/>
          <w:szCs w:val="24"/>
        </w:rPr>
        <w:t xml:space="preserve"> It went further to discuss resident’s job functions in light of the dictionary definition of employee.</w:t>
      </w:r>
      <w:r w:rsidRPr="000410F3">
        <w:rPr>
          <w:rStyle w:val="FootnoteReference"/>
          <w:rFonts w:ascii="Times New Roman" w:hAnsi="Times New Roman"/>
          <w:szCs w:val="24"/>
        </w:rPr>
        <w:footnoteReference w:id="249"/>
      </w:r>
      <w:r>
        <w:rPr>
          <w:rFonts w:ascii="Times New Roman" w:hAnsi="Times New Roman"/>
          <w:szCs w:val="24"/>
        </w:rPr>
        <w:t xml:space="preserve"> The Board then looked</w:t>
      </w:r>
      <w:r w:rsidRPr="000410F3">
        <w:rPr>
          <w:rFonts w:ascii="Times New Roman" w:hAnsi="Times New Roman"/>
          <w:szCs w:val="24"/>
        </w:rPr>
        <w:t xml:space="preserve"> at other statutory language, such as section 2(12)(b) as well as</w:t>
      </w:r>
      <w:r>
        <w:rPr>
          <w:rFonts w:ascii="Times New Roman" w:hAnsi="Times New Roman"/>
          <w:szCs w:val="24"/>
        </w:rPr>
        <w:t xml:space="preserve"> by invok</w:t>
      </w:r>
      <w:r w:rsidRPr="000410F3">
        <w:rPr>
          <w:rFonts w:ascii="Times New Roman" w:hAnsi="Times New Roman"/>
          <w:szCs w:val="24"/>
        </w:rPr>
        <w:t xml:space="preserve">ing the canon of </w:t>
      </w:r>
      <w:r w:rsidRPr="000410F3">
        <w:rPr>
          <w:rFonts w:ascii="Times New Roman" w:hAnsi="Times New Roman"/>
          <w:i/>
          <w:szCs w:val="24"/>
        </w:rPr>
        <w:t>expressio unius</w:t>
      </w:r>
      <w:r w:rsidRPr="000410F3">
        <w:rPr>
          <w:rFonts w:ascii="Times New Roman" w:hAnsi="Times New Roman"/>
          <w:szCs w:val="24"/>
        </w:rPr>
        <w:t>.</w:t>
      </w:r>
      <w:r w:rsidRPr="000410F3">
        <w:rPr>
          <w:rStyle w:val="FootnoteReference"/>
          <w:rFonts w:ascii="Times New Roman" w:hAnsi="Times New Roman"/>
          <w:szCs w:val="24"/>
        </w:rPr>
        <w:footnoteReference w:id="250"/>
      </w:r>
      <w:r w:rsidRPr="000410F3">
        <w:rPr>
          <w:rFonts w:ascii="Times New Roman" w:hAnsi="Times New Roman"/>
          <w:szCs w:val="24"/>
        </w:rPr>
        <w:t xml:space="preserve"> The Board buttressed its conclusion by referring to the legislative history.</w:t>
      </w:r>
      <w:r w:rsidRPr="000410F3">
        <w:rPr>
          <w:rStyle w:val="FootnoteReference"/>
          <w:rFonts w:ascii="Times New Roman" w:hAnsi="Times New Roman"/>
          <w:szCs w:val="24"/>
        </w:rPr>
        <w:footnoteReference w:id="251"/>
      </w:r>
      <w:r w:rsidRPr="000410F3">
        <w:rPr>
          <w:rFonts w:ascii="Times New Roman" w:hAnsi="Times New Roman"/>
          <w:szCs w:val="24"/>
        </w:rPr>
        <w:t xml:space="preserve"> Finally, the Board looked to caselaw, policy and pragmatic considerations. It noted that “without exception, every other court, agency, and legal analyst to have grappled with this issue has concluded that interns, residents, and fellows, are, in large measure, employees.”</w:t>
      </w:r>
      <w:r w:rsidRPr="000410F3">
        <w:rPr>
          <w:rStyle w:val="FootnoteReference"/>
          <w:rFonts w:ascii="Times New Roman" w:hAnsi="Times New Roman"/>
          <w:szCs w:val="24"/>
        </w:rPr>
        <w:footnoteReference w:id="252"/>
      </w:r>
      <w:r w:rsidRPr="000410F3">
        <w:rPr>
          <w:rFonts w:ascii="Times New Roman" w:hAnsi="Times New Roman"/>
          <w:szCs w:val="24"/>
        </w:rPr>
        <w:t xml:space="preserve"> The Board also detailed the role of residents in hospitals.</w:t>
      </w:r>
      <w:r w:rsidRPr="000410F3">
        <w:rPr>
          <w:rStyle w:val="FootnoteReference"/>
          <w:rFonts w:ascii="Times New Roman" w:hAnsi="Times New Roman"/>
          <w:szCs w:val="24"/>
        </w:rPr>
        <w:footnoteReference w:id="253"/>
      </w:r>
    </w:p>
    <w:p w14:paraId="504BD999" w14:textId="77777777" w:rsidR="001E2B74" w:rsidRPr="000410F3" w:rsidRDefault="001E2B74" w:rsidP="0086288C">
      <w:pPr>
        <w:ind w:firstLine="720"/>
        <w:rPr>
          <w:rFonts w:ascii="Times New Roman" w:hAnsi="Times New Roman"/>
          <w:szCs w:val="24"/>
        </w:rPr>
      </w:pPr>
    </w:p>
    <w:p w14:paraId="607DCD7A" w14:textId="77777777" w:rsidR="0086288C" w:rsidRDefault="0086288C" w:rsidP="001A4D77">
      <w:pPr>
        <w:pStyle w:val="ListParagraph"/>
        <w:numPr>
          <w:ilvl w:val="0"/>
          <w:numId w:val="8"/>
        </w:numPr>
        <w:spacing w:after="0" w:line="240" w:lineRule="auto"/>
        <w:rPr>
          <w:rFonts w:ascii="Times New Roman" w:hAnsi="Times New Roman"/>
          <w:b/>
          <w:sz w:val="24"/>
          <w:szCs w:val="24"/>
        </w:rPr>
      </w:pPr>
      <w:r w:rsidRPr="002442CD">
        <w:rPr>
          <w:rFonts w:ascii="Times New Roman" w:hAnsi="Times New Roman"/>
          <w:b/>
          <w:sz w:val="24"/>
          <w:szCs w:val="24"/>
        </w:rPr>
        <w:t>Balancing Policy Concerns</w:t>
      </w:r>
    </w:p>
    <w:p w14:paraId="2A28F899" w14:textId="77777777" w:rsidR="005D6AFE" w:rsidRPr="002442CD" w:rsidRDefault="005D6AFE" w:rsidP="005D6AFE">
      <w:pPr>
        <w:pStyle w:val="ListParagraph"/>
        <w:spacing w:after="0" w:line="240" w:lineRule="auto"/>
        <w:ind w:left="1080"/>
        <w:rPr>
          <w:rFonts w:ascii="Times New Roman" w:hAnsi="Times New Roman"/>
          <w:b/>
          <w:sz w:val="24"/>
          <w:szCs w:val="24"/>
        </w:rPr>
      </w:pPr>
    </w:p>
    <w:p w14:paraId="5540A56C"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Likewise, in other cases, the Board largely rested its decision on policy, eschewing text and legislative history in its analysis. These cases are different than the former as there is a clear gap in the law that </w:t>
      </w:r>
      <w:r>
        <w:rPr>
          <w:rFonts w:ascii="Times New Roman" w:hAnsi="Times New Roman"/>
          <w:szCs w:val="24"/>
        </w:rPr>
        <w:t>was never</w:t>
      </w:r>
      <w:r w:rsidRPr="000410F3">
        <w:rPr>
          <w:rFonts w:ascii="Times New Roman" w:hAnsi="Times New Roman"/>
          <w:szCs w:val="24"/>
        </w:rPr>
        <w:t xml:space="preserve"> contemplated by the enacting Congress or even addressed in the legislative history or is only addressed in a vague fashion in the legislative history. As an example, the Board applied a completely policy-driven, purposive-driven approach in </w:t>
      </w:r>
      <w:r w:rsidRPr="000410F3">
        <w:rPr>
          <w:rFonts w:ascii="Times New Roman" w:hAnsi="Times New Roman"/>
          <w:i/>
          <w:szCs w:val="24"/>
        </w:rPr>
        <w:t>Browning-Ferris Industries</w:t>
      </w:r>
      <w:r w:rsidRPr="000410F3">
        <w:rPr>
          <w:rFonts w:ascii="Times New Roman" w:hAnsi="Times New Roman"/>
          <w:szCs w:val="24"/>
        </w:rPr>
        <w:t xml:space="preserve">, where the Board adjusted the standard applied to determine whether an entity qualified as a “joint </w:t>
      </w:r>
      <w:r w:rsidRPr="000410F3">
        <w:rPr>
          <w:rFonts w:ascii="Times New Roman" w:hAnsi="Times New Roman"/>
          <w:szCs w:val="24"/>
        </w:rPr>
        <w:lastRenderedPageBreak/>
        <w:t>employer” so that the caselaw would better effectuate the NLRA’s purpose.</w:t>
      </w:r>
      <w:r w:rsidRPr="000410F3">
        <w:rPr>
          <w:rStyle w:val="FootnoteReference"/>
          <w:rFonts w:ascii="Times New Roman" w:hAnsi="Times New Roman"/>
          <w:szCs w:val="24"/>
        </w:rPr>
        <w:footnoteReference w:id="254"/>
      </w:r>
      <w:r w:rsidRPr="000410F3">
        <w:rPr>
          <w:rFonts w:ascii="Times New Roman" w:hAnsi="Times New Roman"/>
          <w:szCs w:val="24"/>
        </w:rPr>
        <w:t xml:space="preserve"> The Board stated that it was adjusting the test for determining joint-employer status to “best serve the Federal policy of ‘encouraging the practice and procedure of collective bargaining.’”</w:t>
      </w:r>
      <w:r w:rsidRPr="000410F3">
        <w:rPr>
          <w:rStyle w:val="FootnoteReference"/>
          <w:rFonts w:ascii="Times New Roman" w:hAnsi="Times New Roman"/>
          <w:szCs w:val="24"/>
        </w:rPr>
        <w:footnoteReference w:id="255"/>
      </w:r>
      <w:r w:rsidRPr="000410F3">
        <w:rPr>
          <w:rFonts w:ascii="Times New Roman" w:hAnsi="Times New Roman"/>
          <w:szCs w:val="24"/>
        </w:rPr>
        <w:t xml:space="preserve"> In so doing, the Board looked to modern realities of how the prior test had been implemented in practice and decided to abandon limiting requirements under the prior caselaw to adopt a broader standard to effectuate the Act’s purpose of facilitating collective bargaining.</w:t>
      </w:r>
      <w:r w:rsidRPr="000410F3">
        <w:rPr>
          <w:rStyle w:val="FootnoteReference"/>
          <w:rFonts w:ascii="Times New Roman" w:hAnsi="Times New Roman"/>
          <w:szCs w:val="24"/>
        </w:rPr>
        <w:footnoteReference w:id="256"/>
      </w:r>
      <w:r w:rsidRPr="000410F3">
        <w:rPr>
          <w:rFonts w:ascii="Times New Roman" w:hAnsi="Times New Roman"/>
          <w:szCs w:val="24"/>
        </w:rPr>
        <w:t xml:space="preserve"> The Board noted that the nature of the workplace has changed, citing statistics from the Bureau of Labor Statistics detailing how common temporary and subcontracting arrangements had become.</w:t>
      </w:r>
      <w:r w:rsidRPr="000410F3">
        <w:rPr>
          <w:rStyle w:val="FootnoteReference"/>
          <w:rFonts w:ascii="Times New Roman" w:hAnsi="Times New Roman"/>
          <w:szCs w:val="24"/>
        </w:rPr>
        <w:footnoteReference w:id="257"/>
      </w:r>
      <w:r w:rsidRPr="000410F3">
        <w:rPr>
          <w:rFonts w:ascii="Times New Roman" w:hAnsi="Times New Roman"/>
          <w:szCs w:val="24"/>
        </w:rPr>
        <w:t xml:space="preserve"> To not broaden the standard, the Board argued, would amount to an abdication of its responsibilities to “adapt the Act to the changing patterns of industrial life.”</w:t>
      </w:r>
      <w:r w:rsidRPr="000410F3">
        <w:rPr>
          <w:rStyle w:val="FootnoteReference"/>
          <w:rFonts w:ascii="Times New Roman" w:hAnsi="Times New Roman"/>
          <w:szCs w:val="24"/>
        </w:rPr>
        <w:footnoteReference w:id="258"/>
      </w:r>
      <w:r>
        <w:rPr>
          <w:rFonts w:ascii="Times New Roman" w:hAnsi="Times New Roman"/>
          <w:szCs w:val="24"/>
        </w:rPr>
        <w:t xml:space="preserve"> </w:t>
      </w:r>
      <w:r w:rsidRPr="000410F3">
        <w:rPr>
          <w:rFonts w:ascii="Times New Roman" w:hAnsi="Times New Roman"/>
          <w:szCs w:val="24"/>
        </w:rPr>
        <w:t>Following Supreme Court caselaw dictating that the Board should follow the common law agency test in determining employment relationships, the Board reasoned that the NLRA did not foreclose the Board from adopting the broader standard.</w:t>
      </w:r>
      <w:r w:rsidRPr="000410F3">
        <w:rPr>
          <w:rStyle w:val="FootnoteReference"/>
          <w:rFonts w:ascii="Times New Roman" w:hAnsi="Times New Roman"/>
          <w:szCs w:val="24"/>
        </w:rPr>
        <w:footnoteReference w:id="259"/>
      </w:r>
      <w:r w:rsidRPr="000410F3">
        <w:rPr>
          <w:rFonts w:ascii="Times New Roman" w:hAnsi="Times New Roman"/>
          <w:szCs w:val="24"/>
        </w:rPr>
        <w:t xml:space="preserve"> A robust dissenting opinion in the case criticized the majority on the legal issues involved with respect to what the common law means.</w:t>
      </w:r>
      <w:r w:rsidRPr="000410F3">
        <w:rPr>
          <w:rStyle w:val="FootnoteReference"/>
          <w:rFonts w:ascii="Times New Roman" w:hAnsi="Times New Roman"/>
          <w:szCs w:val="24"/>
        </w:rPr>
        <w:footnoteReference w:id="260"/>
      </w:r>
      <w:r w:rsidRPr="000410F3">
        <w:rPr>
          <w:rFonts w:ascii="Times New Roman" w:hAnsi="Times New Roman"/>
          <w:szCs w:val="24"/>
        </w:rPr>
        <w:t xml:space="preserve"> As the Board argued “reevaluating doctrines, refining rules, and sometimes reversing precedent are familiar parts of the Board’s work</w:t>
      </w:r>
      <w:r>
        <w:rPr>
          <w:rFonts w:ascii="Times New Roman" w:hAnsi="Times New Roman"/>
          <w:szCs w:val="24"/>
        </w:rPr>
        <w:t xml:space="preserve"> </w:t>
      </w:r>
      <w:r w:rsidRPr="000410F3">
        <w:rPr>
          <w:rFonts w:ascii="Times New Roman" w:hAnsi="Times New Roman"/>
          <w:szCs w:val="24"/>
        </w:rPr>
        <w:t>—</w:t>
      </w:r>
      <w:r>
        <w:rPr>
          <w:rFonts w:ascii="Times New Roman" w:hAnsi="Times New Roman"/>
          <w:szCs w:val="24"/>
        </w:rPr>
        <w:t xml:space="preserve"> </w:t>
      </w:r>
      <w:r w:rsidRPr="000410F3">
        <w:rPr>
          <w:rFonts w:ascii="Times New Roman" w:hAnsi="Times New Roman"/>
          <w:szCs w:val="24"/>
        </w:rPr>
        <w:t>and rightly so.”</w:t>
      </w:r>
      <w:r w:rsidRPr="000410F3">
        <w:rPr>
          <w:rStyle w:val="FootnoteReference"/>
          <w:rFonts w:ascii="Times New Roman" w:hAnsi="Times New Roman"/>
          <w:szCs w:val="24"/>
        </w:rPr>
        <w:footnoteReference w:id="261"/>
      </w:r>
    </w:p>
    <w:p w14:paraId="2C1713DA" w14:textId="77777777" w:rsidR="0086288C" w:rsidRDefault="0086288C" w:rsidP="0086288C">
      <w:pPr>
        <w:ind w:firstLine="720"/>
        <w:rPr>
          <w:rFonts w:ascii="Times New Roman" w:hAnsi="Times New Roman"/>
          <w:szCs w:val="24"/>
        </w:rPr>
      </w:pPr>
      <w:r w:rsidRPr="000410F3">
        <w:rPr>
          <w:rFonts w:ascii="Times New Roman" w:hAnsi="Times New Roman"/>
          <w:szCs w:val="24"/>
        </w:rPr>
        <w:t xml:space="preserve">Similarly in </w:t>
      </w:r>
      <w:r w:rsidRPr="000410F3">
        <w:rPr>
          <w:rFonts w:ascii="Times New Roman" w:hAnsi="Times New Roman"/>
          <w:i/>
          <w:szCs w:val="24"/>
        </w:rPr>
        <w:t>Auciello Iron Works, Inc. et al.</w:t>
      </w:r>
      <w:r w:rsidRPr="000410F3">
        <w:rPr>
          <w:rFonts w:ascii="Times New Roman" w:hAnsi="Times New Roman"/>
          <w:szCs w:val="24"/>
        </w:rPr>
        <w:t>, the Board made a policy choice buttressed by Board and Supreme Court precedent.</w:t>
      </w:r>
      <w:r w:rsidRPr="000410F3">
        <w:rPr>
          <w:rStyle w:val="FootnoteReference"/>
          <w:rFonts w:ascii="Times New Roman" w:hAnsi="Times New Roman"/>
          <w:szCs w:val="24"/>
        </w:rPr>
        <w:footnoteReference w:id="262"/>
      </w:r>
      <w:r w:rsidRPr="000410F3">
        <w:rPr>
          <w:rFonts w:ascii="Times New Roman" w:hAnsi="Times New Roman"/>
          <w:szCs w:val="24"/>
        </w:rPr>
        <w:t xml:space="preserve"> In that case, the Board had to determine whether the employer could present evidence of its good faith doubt as to the level of the union’s majority support.</w:t>
      </w:r>
      <w:r w:rsidRPr="000410F3">
        <w:rPr>
          <w:rStyle w:val="FootnoteReference"/>
          <w:rFonts w:ascii="Times New Roman" w:hAnsi="Times New Roman"/>
          <w:szCs w:val="24"/>
        </w:rPr>
        <w:footnoteReference w:id="263"/>
      </w:r>
      <w:r w:rsidRPr="000410F3">
        <w:rPr>
          <w:rFonts w:ascii="Times New Roman" w:hAnsi="Times New Roman"/>
          <w:szCs w:val="24"/>
        </w:rPr>
        <w:t xml:space="preserve"> The First Circuit remanded the case for the Board to provide “policy guidance” and to address other circuit caselaw.</w:t>
      </w:r>
      <w:r w:rsidRPr="000410F3">
        <w:rPr>
          <w:rStyle w:val="FootnoteReference"/>
          <w:rFonts w:ascii="Times New Roman" w:hAnsi="Times New Roman"/>
          <w:szCs w:val="24"/>
        </w:rPr>
        <w:footnoteReference w:id="264"/>
      </w:r>
      <w:r>
        <w:rPr>
          <w:rFonts w:ascii="Times New Roman" w:hAnsi="Times New Roman"/>
          <w:szCs w:val="24"/>
        </w:rPr>
        <w:t xml:space="preserve"> T</w:t>
      </w:r>
      <w:r w:rsidRPr="000410F3">
        <w:rPr>
          <w:rFonts w:ascii="Times New Roman" w:hAnsi="Times New Roman"/>
          <w:szCs w:val="24"/>
        </w:rPr>
        <w:t xml:space="preserve">he Board reasoned that both policy and “practicalities support the rule that, if an employer is aware of objective evidence to support a good-faith doubt before the union accepts its offer [to </w:t>
      </w:r>
      <w:r w:rsidRPr="000410F3">
        <w:rPr>
          <w:rFonts w:ascii="Times New Roman" w:hAnsi="Times New Roman"/>
          <w:szCs w:val="24"/>
        </w:rPr>
        <w:lastRenderedPageBreak/>
        <w:t>bargain in good faith], it must, for the defense to be timely raised, act on this doubt before the union accepts its offer.”</w:t>
      </w:r>
      <w:r w:rsidRPr="000410F3">
        <w:rPr>
          <w:rStyle w:val="FootnoteReference"/>
          <w:rFonts w:ascii="Times New Roman" w:hAnsi="Times New Roman"/>
          <w:szCs w:val="24"/>
        </w:rPr>
        <w:footnoteReference w:id="265"/>
      </w:r>
    </w:p>
    <w:p w14:paraId="00D5D9BB" w14:textId="77777777" w:rsidR="005D6AFE" w:rsidRPr="000410F3" w:rsidRDefault="005D6AFE" w:rsidP="005D6AFE">
      <w:pPr>
        <w:rPr>
          <w:rFonts w:ascii="Times New Roman" w:hAnsi="Times New Roman"/>
          <w:szCs w:val="24"/>
        </w:rPr>
      </w:pPr>
    </w:p>
    <w:p w14:paraId="0C615017" w14:textId="24DB5E8B" w:rsidR="0086288C" w:rsidRDefault="001E2B74" w:rsidP="001E2B74">
      <w:pPr>
        <w:pStyle w:val="ListParagraph"/>
        <w:numPr>
          <w:ilvl w:val="0"/>
          <w:numId w:val="23"/>
        </w:numPr>
        <w:spacing w:after="0" w:line="240" w:lineRule="auto"/>
        <w:rPr>
          <w:rFonts w:ascii="Times New Roman" w:hAnsi="Times New Roman"/>
          <w:b/>
          <w:sz w:val="24"/>
          <w:szCs w:val="24"/>
        </w:rPr>
      </w:pPr>
      <w:r>
        <w:rPr>
          <w:rFonts w:ascii="Times New Roman" w:hAnsi="Times New Roman"/>
          <w:b/>
          <w:sz w:val="24"/>
          <w:szCs w:val="24"/>
        </w:rPr>
        <w:t>Conclusions About NLRB</w:t>
      </w:r>
      <w:r w:rsidR="0086288C" w:rsidRPr="002442CD">
        <w:rPr>
          <w:rFonts w:ascii="Times New Roman" w:hAnsi="Times New Roman"/>
          <w:b/>
          <w:sz w:val="24"/>
          <w:szCs w:val="24"/>
        </w:rPr>
        <w:t xml:space="preserve"> Majority’s Use of Statutory Methods</w:t>
      </w:r>
    </w:p>
    <w:p w14:paraId="08E79468" w14:textId="77777777" w:rsidR="001E2B74" w:rsidRPr="002442CD" w:rsidRDefault="001E2B74" w:rsidP="001E2B74">
      <w:pPr>
        <w:pStyle w:val="ListParagraph"/>
        <w:spacing w:after="0" w:line="240" w:lineRule="auto"/>
        <w:rPr>
          <w:rFonts w:ascii="Times New Roman" w:hAnsi="Times New Roman"/>
          <w:b/>
          <w:sz w:val="24"/>
          <w:szCs w:val="24"/>
        </w:rPr>
      </w:pPr>
    </w:p>
    <w:p w14:paraId="7E0B0C27" w14:textId="77777777" w:rsidR="008F2B23" w:rsidRDefault="0086288C" w:rsidP="0086288C">
      <w:pPr>
        <w:ind w:firstLine="720"/>
        <w:rPr>
          <w:rFonts w:ascii="Times New Roman" w:hAnsi="Times New Roman"/>
          <w:szCs w:val="24"/>
        </w:rPr>
      </w:pPr>
      <w:r w:rsidRPr="000410F3">
        <w:rPr>
          <w:rFonts w:ascii="Times New Roman" w:hAnsi="Times New Roman"/>
          <w:szCs w:val="24"/>
        </w:rPr>
        <w:t>In all, the Board uses a mix of methods to inform meaning to statutory terms. While policy concerns and precedent predominate in informing statutory meaning, the Board also engages in more traditional statutory interpretation processes, relying on the plain</w:t>
      </w:r>
      <w:r>
        <w:rPr>
          <w:rFonts w:ascii="Times New Roman" w:hAnsi="Times New Roman"/>
          <w:szCs w:val="24"/>
        </w:rPr>
        <w:t xml:space="preserve"> meaning of the text itself, and on </w:t>
      </w:r>
      <w:r w:rsidRPr="000410F3">
        <w:rPr>
          <w:rFonts w:ascii="Times New Roman" w:hAnsi="Times New Roman"/>
          <w:szCs w:val="24"/>
        </w:rPr>
        <w:t>the text relates to other parts of the statute or code. Moreover, the Board frequently invokes legislative history, but such invocation has been somewhat uneven being more as a disguise to veil policy arguments rather than a legitimate source of informing meaning of the statute</w:t>
      </w:r>
      <w:r w:rsidR="008F2B23">
        <w:rPr>
          <w:rFonts w:ascii="Times New Roman" w:hAnsi="Times New Roman"/>
          <w:szCs w:val="24"/>
        </w:rPr>
        <w:t>. Majority B</w:t>
      </w:r>
      <w:r w:rsidRPr="000410F3">
        <w:rPr>
          <w:rFonts w:ascii="Times New Roman" w:hAnsi="Times New Roman"/>
          <w:szCs w:val="24"/>
        </w:rPr>
        <w:t xml:space="preserve">oards cite to widely varying sources of legislative history, ranging from conference reports to Senate committee reports. In many instances, however, the Board simply pronounced that the legislative history is one thing or another, often without any citation except to another Board or Supreme Court case. </w:t>
      </w:r>
    </w:p>
    <w:p w14:paraId="0C4A372F" w14:textId="08DE31C0"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All in all, Republican Board members as a whole were no more likely than Democratic Board members to engage in a textualist approach, and Democrats were no more likely to be purposivists than Republican. Ideology does not dictate methodological choice. Rather, the evidence showed that Board members selectively use statutory modes of interpretation to advance policy objectives. </w:t>
      </w:r>
    </w:p>
    <w:p w14:paraId="1633BBBA"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Moreover, certain methods changed over time. Making decisions based solely on policy considerations has increased during the Obama Board. Use of legislative history in general has markedly decreased since the Clinton administration, a trend that Walker found as well among his survey respondents.</w:t>
      </w:r>
      <w:r w:rsidRPr="000410F3">
        <w:rPr>
          <w:rStyle w:val="FootnoteReference"/>
          <w:rFonts w:ascii="Times New Roman" w:hAnsi="Times New Roman"/>
          <w:szCs w:val="24"/>
        </w:rPr>
        <w:footnoteReference w:id="266"/>
      </w:r>
      <w:r w:rsidRPr="000410F3">
        <w:rPr>
          <w:rFonts w:ascii="Times New Roman" w:hAnsi="Times New Roman"/>
          <w:szCs w:val="24"/>
        </w:rPr>
        <w:t xml:space="preserve"> Finally, although</w:t>
      </w:r>
      <w:r>
        <w:rPr>
          <w:rFonts w:ascii="Times New Roman" w:hAnsi="Times New Roman"/>
          <w:szCs w:val="24"/>
        </w:rPr>
        <w:t xml:space="preserve"> the sample size is small and one</w:t>
      </w:r>
      <w:r w:rsidRPr="000410F3">
        <w:rPr>
          <w:rFonts w:ascii="Times New Roman" w:hAnsi="Times New Roman"/>
          <w:szCs w:val="24"/>
        </w:rPr>
        <w:t xml:space="preserve"> must take the results with caution, it is interesting to note that the minority Boards often used the methodological choice most often associated with the </w:t>
      </w:r>
      <w:r>
        <w:rPr>
          <w:rFonts w:ascii="Times New Roman" w:hAnsi="Times New Roman"/>
          <w:szCs w:val="24"/>
        </w:rPr>
        <w:t xml:space="preserve">stereotypical ideology of the </w:t>
      </w:r>
      <w:r w:rsidRPr="000410F3">
        <w:rPr>
          <w:rFonts w:ascii="Times New Roman" w:hAnsi="Times New Roman"/>
          <w:szCs w:val="24"/>
        </w:rPr>
        <w:t xml:space="preserve">current administration. For instance, Republican panels </w:t>
      </w:r>
      <w:r w:rsidRPr="000410F3">
        <w:rPr>
          <w:rFonts w:ascii="Times New Roman" w:hAnsi="Times New Roman"/>
          <w:szCs w:val="24"/>
        </w:rPr>
        <w:lastRenderedPageBreak/>
        <w:t>during the Clinton administration used legislative history more and Democratic panels during the Bush II administration tended to like to use textualism more than normal. Again, given the small sample size of these panels during these time periods, we cannot make much of the results, but it would be interesting to see if longer term and over more cases whether out of party Board members will adopt the statutory methodological choice most traditionally associated with the in-party president (that is, Democrats being more textualist during Republican administrations, and Republicans being more purposive during Democratic administrations).</w:t>
      </w:r>
    </w:p>
    <w:p w14:paraId="59B58425" w14:textId="77777777" w:rsidR="0086288C" w:rsidRDefault="0086288C" w:rsidP="0086288C">
      <w:pPr>
        <w:ind w:firstLine="720"/>
        <w:rPr>
          <w:rFonts w:ascii="Times New Roman" w:hAnsi="Times New Roman"/>
          <w:szCs w:val="24"/>
        </w:rPr>
      </w:pPr>
      <w:r w:rsidRPr="000410F3">
        <w:rPr>
          <w:rFonts w:ascii="Times New Roman" w:hAnsi="Times New Roman"/>
          <w:szCs w:val="24"/>
        </w:rPr>
        <w:t>The Board frequently referred to the whole code and whole act rules, though not in name. That the Board often interprets words consistently throughout a statute may be problematic. Respondents in the Gluck and Bressman survey, for instance, noted “significant organizational barriers that the committee system, bundled legislative deals, and lengthy, multidrafter statutes pose to the realistic operation of these rules.”</w:t>
      </w:r>
      <w:r w:rsidRPr="000410F3">
        <w:rPr>
          <w:rStyle w:val="FootnoteReference"/>
          <w:rFonts w:ascii="Times New Roman" w:hAnsi="Times New Roman"/>
          <w:szCs w:val="24"/>
        </w:rPr>
        <w:footnoteReference w:id="267"/>
      </w:r>
      <w:r w:rsidRPr="000410F3">
        <w:rPr>
          <w:rFonts w:ascii="Times New Roman" w:hAnsi="Times New Roman"/>
          <w:szCs w:val="24"/>
        </w:rPr>
        <w:t xml:space="preserve"> While “consistent usage” of a similar term may be the “goal,” in reality, Congress is not organized to always make that happen in any kind of systematic way. </w:t>
      </w:r>
      <w:r w:rsidRPr="000410F3">
        <w:rPr>
          <w:rStyle w:val="FootnoteReference"/>
          <w:rFonts w:ascii="Times New Roman" w:hAnsi="Times New Roman"/>
          <w:szCs w:val="24"/>
        </w:rPr>
        <w:footnoteReference w:id="268"/>
      </w:r>
      <w:r w:rsidRPr="000410F3">
        <w:rPr>
          <w:rFonts w:ascii="Times New Roman" w:hAnsi="Times New Roman"/>
          <w:szCs w:val="24"/>
        </w:rPr>
        <w:t xml:space="preserve"> Thus, in construing the text, the Board may believe that the NLRA is written more consistently than it actually is in practice. </w:t>
      </w:r>
    </w:p>
    <w:p w14:paraId="1BB52D41" w14:textId="77777777" w:rsidR="005D6AFE" w:rsidRPr="000410F3" w:rsidRDefault="005D6AFE" w:rsidP="0086288C">
      <w:pPr>
        <w:ind w:firstLine="720"/>
        <w:rPr>
          <w:rFonts w:ascii="Times New Roman" w:hAnsi="Times New Roman"/>
          <w:szCs w:val="24"/>
        </w:rPr>
      </w:pPr>
    </w:p>
    <w:p w14:paraId="239B546A" w14:textId="4E7EE600" w:rsidR="0086288C" w:rsidRPr="001E2B74" w:rsidRDefault="0086288C" w:rsidP="001E2B74">
      <w:pPr>
        <w:pStyle w:val="ListParagraph"/>
        <w:numPr>
          <w:ilvl w:val="0"/>
          <w:numId w:val="4"/>
        </w:numPr>
        <w:rPr>
          <w:rFonts w:ascii="Times New Roman" w:hAnsi="Times New Roman"/>
          <w:b/>
          <w:szCs w:val="24"/>
        </w:rPr>
      </w:pPr>
      <w:r w:rsidRPr="001E2B74">
        <w:rPr>
          <w:rFonts w:ascii="Times New Roman" w:hAnsi="Times New Roman"/>
          <w:b/>
          <w:szCs w:val="24"/>
        </w:rPr>
        <w:t>“Dueling” Statutory Interpretations</w:t>
      </w:r>
    </w:p>
    <w:p w14:paraId="1095DA20" w14:textId="77777777" w:rsidR="005D6AFE" w:rsidRPr="002442CD" w:rsidRDefault="005D6AFE" w:rsidP="005D6AFE">
      <w:pPr>
        <w:pStyle w:val="ListParagraph"/>
        <w:spacing w:after="0" w:line="240" w:lineRule="auto"/>
        <w:rPr>
          <w:rFonts w:ascii="Times New Roman" w:hAnsi="Times New Roman"/>
          <w:b/>
          <w:sz w:val="24"/>
          <w:szCs w:val="24"/>
        </w:rPr>
      </w:pPr>
    </w:p>
    <w:p w14:paraId="1902193D"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About 77% of the Board majority decisions concerning statutory interpretation had a dissent in the database. The dissent “teams” are somewhat consistent. During the Clinton administration, Board members Hurtgen and Brame often united in dissent, whereas during the Bush II administration, Liebman and Walsh differed from the majority. In the Obama years, Republicans Miscimarra and Johnson frequently write long detailed dissents. The proclivity to dissent has increased over time; whereas Board members dissented in just 76% of </w:t>
      </w:r>
      <w:r>
        <w:rPr>
          <w:rFonts w:ascii="Times New Roman" w:hAnsi="Times New Roman"/>
          <w:szCs w:val="24"/>
        </w:rPr>
        <w:t xml:space="preserve">statutory interpretation </w:t>
      </w:r>
      <w:r w:rsidRPr="000410F3">
        <w:rPr>
          <w:rFonts w:ascii="Times New Roman" w:hAnsi="Times New Roman"/>
          <w:szCs w:val="24"/>
        </w:rPr>
        <w:t>cases during the Clinton administration, the number of dissents rose to 88%, respectively, during the Bush II and Obama administrations, at least among the statutory interpretation cases included in the database. As such, we have a rich treasure trove in which to explore how dissenting Board members responded to the statutory methodologies relied on by majority Board members.</w:t>
      </w:r>
    </w:p>
    <w:p w14:paraId="008EEB84" w14:textId="5E26B268" w:rsidR="0086288C" w:rsidRDefault="001E2B74" w:rsidP="0086288C">
      <w:pPr>
        <w:ind w:firstLine="720"/>
        <w:rPr>
          <w:rFonts w:ascii="Times New Roman" w:hAnsi="Times New Roman"/>
          <w:szCs w:val="24"/>
        </w:rPr>
      </w:pPr>
      <w:r>
        <w:rPr>
          <w:rFonts w:ascii="Times New Roman" w:hAnsi="Times New Roman"/>
          <w:szCs w:val="24"/>
        </w:rPr>
        <w:t>Part II.D.1</w:t>
      </w:r>
      <w:r w:rsidR="0086288C" w:rsidRPr="000410F3">
        <w:rPr>
          <w:rFonts w:ascii="Times New Roman" w:hAnsi="Times New Roman"/>
          <w:szCs w:val="24"/>
        </w:rPr>
        <w:t xml:space="preserve"> briefly provides the general background of the methodologies dissenting members used followed by a detailed assessment in </w:t>
      </w:r>
      <w:r>
        <w:rPr>
          <w:rFonts w:ascii="Times New Roman" w:hAnsi="Times New Roman"/>
          <w:szCs w:val="24"/>
        </w:rPr>
        <w:t>Part II.D.2</w:t>
      </w:r>
      <w:r w:rsidR="0086288C" w:rsidRPr="000410F3">
        <w:rPr>
          <w:rFonts w:ascii="Times New Roman" w:hAnsi="Times New Roman"/>
          <w:szCs w:val="24"/>
        </w:rPr>
        <w:t xml:space="preserve"> concerning the extent to which the majority and dissenting Board members used either similar or conflicting methodologies in interpreting precedent. Board members may “duel” with each other in a </w:t>
      </w:r>
      <w:r w:rsidR="0086288C" w:rsidRPr="000410F3">
        <w:rPr>
          <w:rFonts w:ascii="Times New Roman" w:hAnsi="Times New Roman"/>
          <w:szCs w:val="24"/>
        </w:rPr>
        <w:lastRenderedPageBreak/>
        <w:t>textual matter by 1) focusing on different words; 2) focusing on the text of different statutes; or 3) focusing on the same word but ascribe a different meaning to the text.</w:t>
      </w:r>
      <w:r w:rsidR="0086288C" w:rsidRPr="000410F3">
        <w:rPr>
          <w:rStyle w:val="FootnoteReference"/>
          <w:rFonts w:ascii="Times New Roman" w:hAnsi="Times New Roman"/>
          <w:szCs w:val="24"/>
        </w:rPr>
        <w:footnoteReference w:id="269"/>
      </w:r>
      <w:r w:rsidR="0086288C" w:rsidRPr="000410F3">
        <w:rPr>
          <w:rFonts w:ascii="Times New Roman" w:hAnsi="Times New Roman"/>
          <w:szCs w:val="24"/>
        </w:rPr>
        <w:t xml:space="preserve"> Purposivists can also “duel” with each other by 1) focusing on different, competing purposes; 2) focusing on the same purpose but draw different conclusions about that purpose; or 3) focusing on a broad, general statutory purpose while another one focuses on narrowly drawn specific purposes.</w:t>
      </w:r>
      <w:r w:rsidR="0086288C" w:rsidRPr="000410F3">
        <w:rPr>
          <w:rStyle w:val="FootnoteReference"/>
          <w:rFonts w:ascii="Times New Roman" w:hAnsi="Times New Roman"/>
          <w:szCs w:val="24"/>
        </w:rPr>
        <w:footnoteReference w:id="270"/>
      </w:r>
      <w:r w:rsidR="0086288C" w:rsidRPr="000410F3">
        <w:rPr>
          <w:rFonts w:ascii="Times New Roman" w:hAnsi="Times New Roman"/>
          <w:szCs w:val="24"/>
        </w:rPr>
        <w:t xml:space="preserve">  </w:t>
      </w:r>
    </w:p>
    <w:p w14:paraId="708EDE46" w14:textId="77777777" w:rsidR="005D6AFE" w:rsidRPr="000410F3" w:rsidRDefault="005D6AFE" w:rsidP="005D6AFE">
      <w:pPr>
        <w:rPr>
          <w:rFonts w:ascii="Times New Roman" w:hAnsi="Times New Roman"/>
          <w:szCs w:val="24"/>
        </w:rPr>
      </w:pPr>
    </w:p>
    <w:p w14:paraId="05EDDCD5" w14:textId="0D699217" w:rsidR="0086288C" w:rsidRPr="001E2B74" w:rsidRDefault="0086288C" w:rsidP="001E2B74">
      <w:pPr>
        <w:pStyle w:val="ListParagraph"/>
        <w:numPr>
          <w:ilvl w:val="0"/>
          <w:numId w:val="26"/>
        </w:numPr>
        <w:rPr>
          <w:rFonts w:ascii="Times New Roman" w:hAnsi="Times New Roman"/>
          <w:b/>
          <w:szCs w:val="24"/>
        </w:rPr>
      </w:pPr>
      <w:r w:rsidRPr="001E2B74">
        <w:rPr>
          <w:rFonts w:ascii="Times New Roman" w:hAnsi="Times New Roman"/>
          <w:b/>
          <w:szCs w:val="24"/>
        </w:rPr>
        <w:t>General Dissenting Methodologies</w:t>
      </w:r>
    </w:p>
    <w:p w14:paraId="33F2158C" w14:textId="77777777" w:rsidR="005D6AFE" w:rsidRPr="002442CD" w:rsidRDefault="005D6AFE" w:rsidP="005D6AFE">
      <w:pPr>
        <w:pStyle w:val="ListParagraph"/>
        <w:spacing w:after="0" w:line="240" w:lineRule="auto"/>
        <w:ind w:left="1440"/>
        <w:rPr>
          <w:rFonts w:ascii="Times New Roman" w:hAnsi="Times New Roman"/>
          <w:b/>
          <w:sz w:val="24"/>
          <w:szCs w:val="24"/>
        </w:rPr>
      </w:pPr>
    </w:p>
    <w:p w14:paraId="5D2A9361" w14:textId="16081354" w:rsidR="0086288C" w:rsidRPr="000410F3" w:rsidRDefault="0086288C" w:rsidP="001E2B74">
      <w:pPr>
        <w:ind w:firstLine="720"/>
        <w:rPr>
          <w:rFonts w:ascii="Times New Roman" w:hAnsi="Times New Roman"/>
          <w:szCs w:val="24"/>
        </w:rPr>
      </w:pPr>
      <w:r w:rsidRPr="000410F3">
        <w:rPr>
          <w:rFonts w:ascii="Times New Roman" w:hAnsi="Times New Roman"/>
          <w:szCs w:val="24"/>
        </w:rPr>
        <w:t xml:space="preserve">Compared to the majority opinions, dissenting Board employs use similar interpretive methodologies, as shown in Figure 8 detailing the primary interpretive method used by dissents. Percentages are within a few points of the numbers given previously for majority opinions with two notable exceptions: Dissenting opinions rely more on a primarily textual methodology (12% v. 7% for majority opinions); they also adopt a </w:t>
      </w:r>
      <w:r>
        <w:rPr>
          <w:rFonts w:ascii="Times New Roman" w:hAnsi="Times New Roman"/>
          <w:szCs w:val="24"/>
        </w:rPr>
        <w:t>text p</w:t>
      </w:r>
      <w:r w:rsidRPr="000410F3">
        <w:rPr>
          <w:rFonts w:ascii="Times New Roman" w:hAnsi="Times New Roman"/>
          <w:szCs w:val="24"/>
        </w:rPr>
        <w:t>lus analysis more (23% v. 19%). Contrary to majority opinions, dissenting opinions tend to also focus their analysis less on precedent (30% of dissenting opinions use precedent as the primary motivating factor while 37% of majority opinions do). About a third of both majorities and dissents have policy as the cornerstone of their analysis, though only 4% of dissenting opinions (compared to 7% of majority opinions) use legislative history to limit the text.</w:t>
      </w:r>
    </w:p>
    <w:p w14:paraId="7C559EF0" w14:textId="77777777" w:rsidR="005D6AFE" w:rsidRDefault="005D6AFE" w:rsidP="005D6AFE">
      <w:pPr>
        <w:ind w:firstLine="0"/>
        <w:rPr>
          <w:rFonts w:ascii="Times New Roman" w:hAnsi="Times New Roman"/>
          <w:b/>
          <w:sz w:val="20"/>
        </w:rPr>
      </w:pPr>
    </w:p>
    <w:p w14:paraId="4564DE02" w14:textId="77777777" w:rsidR="0086288C" w:rsidRPr="000168C3" w:rsidRDefault="0086288C" w:rsidP="005D6AFE">
      <w:pPr>
        <w:ind w:firstLine="0"/>
        <w:rPr>
          <w:rFonts w:ascii="Times New Roman" w:hAnsi="Times New Roman"/>
          <w:b/>
          <w:sz w:val="20"/>
        </w:rPr>
      </w:pPr>
      <w:r w:rsidRPr="000168C3">
        <w:rPr>
          <w:rFonts w:ascii="Times New Roman" w:hAnsi="Times New Roman"/>
          <w:b/>
          <w:sz w:val="20"/>
        </w:rPr>
        <w:t>Figure 8</w:t>
      </w:r>
    </w:p>
    <w:p w14:paraId="49A5D089" w14:textId="6F1F754D" w:rsidR="0086288C" w:rsidRPr="000410F3" w:rsidRDefault="0086288C" w:rsidP="0086288C">
      <w:pPr>
        <w:rPr>
          <w:rFonts w:ascii="Times New Roman" w:hAnsi="Times New Roman"/>
          <w:szCs w:val="24"/>
        </w:rPr>
      </w:pPr>
      <w:r w:rsidRPr="0086288C">
        <w:rPr>
          <w:rFonts w:ascii="Times New Roman" w:hAnsi="Times New Roman"/>
          <w:noProof/>
          <w:szCs w:val="24"/>
        </w:rPr>
        <w:drawing>
          <wp:inline distT="0" distB="0" distL="0" distR="0" wp14:anchorId="177AB3DB" wp14:editId="0FC7BACA">
            <wp:extent cx="3657600" cy="2679192"/>
            <wp:effectExtent l="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4F92880E" w14:textId="77777777" w:rsidR="005D6AFE" w:rsidRDefault="005D6AFE" w:rsidP="0086288C">
      <w:pPr>
        <w:ind w:firstLine="720"/>
        <w:rPr>
          <w:rFonts w:ascii="Times New Roman" w:hAnsi="Times New Roman"/>
          <w:szCs w:val="24"/>
        </w:rPr>
      </w:pPr>
    </w:p>
    <w:p w14:paraId="793E017D" w14:textId="77777777" w:rsidR="0086288C" w:rsidRDefault="0086288C" w:rsidP="0086288C">
      <w:pPr>
        <w:ind w:firstLine="720"/>
        <w:rPr>
          <w:rFonts w:ascii="Times New Roman" w:hAnsi="Times New Roman"/>
          <w:szCs w:val="24"/>
        </w:rPr>
      </w:pPr>
      <w:r w:rsidRPr="000410F3">
        <w:rPr>
          <w:rFonts w:ascii="Times New Roman" w:hAnsi="Times New Roman"/>
          <w:szCs w:val="24"/>
        </w:rPr>
        <w:t>Table 9 and Figures 9 and 10 detail the breakdowns by dissenting political party and presidential administration of the primary interpretive method used. We see some noticeable changes over time. Republicans relied on precedent in over half of their dissents when they were out of power in the 1990s, but by the Bush administration, Republican dissenters eschewed pre</w:t>
      </w:r>
      <w:r>
        <w:rPr>
          <w:rFonts w:ascii="Times New Roman" w:hAnsi="Times New Roman"/>
          <w:szCs w:val="24"/>
        </w:rPr>
        <w:t>cedent by engaging in more text-</w:t>
      </w:r>
      <w:r w:rsidRPr="000410F3">
        <w:rPr>
          <w:rFonts w:ascii="Times New Roman" w:hAnsi="Times New Roman"/>
          <w:szCs w:val="24"/>
        </w:rPr>
        <w:t>based debates with the majority. Decline in the use of precedent occurred amo</w:t>
      </w:r>
      <w:r>
        <w:rPr>
          <w:rFonts w:ascii="Times New Roman" w:hAnsi="Times New Roman"/>
          <w:szCs w:val="24"/>
        </w:rPr>
        <w:t xml:space="preserve">ng Democratic majority panels. </w:t>
      </w:r>
      <w:r w:rsidRPr="000410F3">
        <w:rPr>
          <w:rFonts w:ascii="Times New Roman" w:hAnsi="Times New Roman"/>
          <w:szCs w:val="24"/>
        </w:rPr>
        <w:t xml:space="preserve">Text-based debates were more common during the Bush II years. Although we must take these results with a grain of salt, they suggest that dissenting panel members tend to use the statutory methodology most popularly associated with their party during times in which their party possesses presidential power. Figure 9 also makes readily apparent how the use of policy as the main interpretive tool declined during the Bush II administration and to some extent in the Obama administration as well. The increase in </w:t>
      </w:r>
      <w:r>
        <w:rPr>
          <w:rFonts w:ascii="Times New Roman" w:hAnsi="Times New Roman"/>
          <w:szCs w:val="24"/>
        </w:rPr>
        <w:t>the use of the text p</w:t>
      </w:r>
      <w:r w:rsidRPr="000410F3">
        <w:rPr>
          <w:rFonts w:ascii="Times New Roman" w:hAnsi="Times New Roman"/>
          <w:szCs w:val="24"/>
        </w:rPr>
        <w:t>lus method is especially notable in the Obama administration, though this change may be due more to the personal proclivities of Board members Miscimarra</w:t>
      </w:r>
      <w:r>
        <w:rPr>
          <w:rFonts w:ascii="Times New Roman" w:hAnsi="Times New Roman"/>
          <w:szCs w:val="24"/>
        </w:rPr>
        <w:t xml:space="preserve"> and Johnson, who frequently wro</w:t>
      </w:r>
      <w:r w:rsidRPr="000410F3">
        <w:rPr>
          <w:rFonts w:ascii="Times New Roman" w:hAnsi="Times New Roman"/>
          <w:szCs w:val="24"/>
        </w:rPr>
        <w:t xml:space="preserve">te very long dissents touching on text, legislative history, precedent, policy and practical considerations. In addition, we see a decline in precedent over time, as Board members opt to look at the text, legislative history and policy more to form their dissents. </w:t>
      </w:r>
    </w:p>
    <w:p w14:paraId="7DEDE52F" w14:textId="77777777" w:rsidR="005D6AFE" w:rsidRPr="000410F3" w:rsidRDefault="005D6AFE" w:rsidP="001E2B74">
      <w:pPr>
        <w:ind w:firstLine="0"/>
        <w:rPr>
          <w:rFonts w:ascii="Times New Roman" w:hAnsi="Times New Roman"/>
          <w:szCs w:val="24"/>
        </w:rPr>
      </w:pPr>
    </w:p>
    <w:p w14:paraId="5ACC23ED" w14:textId="77777777" w:rsidR="0086288C" w:rsidRPr="002442CD" w:rsidRDefault="0086288C" w:rsidP="005D6AFE">
      <w:pPr>
        <w:ind w:firstLine="0"/>
        <w:rPr>
          <w:rFonts w:ascii="Times New Roman" w:hAnsi="Times New Roman"/>
          <w:b/>
          <w:sz w:val="20"/>
        </w:rPr>
      </w:pPr>
      <w:r w:rsidRPr="002442CD">
        <w:rPr>
          <w:rFonts w:ascii="Times New Roman" w:hAnsi="Times New Roman"/>
          <w:b/>
          <w:sz w:val="20"/>
        </w:rPr>
        <w:t>Table 9: Primary Statutory Methodology, by Dissenting Majority Party and Administration</w:t>
      </w:r>
    </w:p>
    <w:tbl>
      <w:tblPr>
        <w:tblStyle w:val="TableGrid"/>
        <w:tblW w:w="0" w:type="auto"/>
        <w:tblLook w:val="04A0" w:firstRow="1" w:lastRow="0" w:firstColumn="1" w:lastColumn="0" w:noHBand="0" w:noVBand="1"/>
      </w:tblPr>
      <w:tblGrid>
        <w:gridCol w:w="1423"/>
        <w:gridCol w:w="1197"/>
        <w:gridCol w:w="1269"/>
        <w:gridCol w:w="1044"/>
        <w:gridCol w:w="1152"/>
        <w:gridCol w:w="1249"/>
      </w:tblGrid>
      <w:tr w:rsidR="0086288C" w:rsidRPr="002442CD" w14:paraId="782F24FB" w14:textId="77777777" w:rsidTr="001F1D99">
        <w:tc>
          <w:tcPr>
            <w:tcW w:w="1727" w:type="dxa"/>
          </w:tcPr>
          <w:p w14:paraId="648B1D54" w14:textId="77777777" w:rsidR="0086288C" w:rsidRPr="005D6AFE" w:rsidRDefault="0086288C" w:rsidP="0086288C">
            <w:pPr>
              <w:rPr>
                <w:rFonts w:ascii="Times New Roman" w:hAnsi="Times New Roman"/>
                <w:sz w:val="16"/>
                <w:szCs w:val="16"/>
              </w:rPr>
            </w:pPr>
          </w:p>
        </w:tc>
        <w:tc>
          <w:tcPr>
            <w:tcW w:w="1527" w:type="dxa"/>
          </w:tcPr>
          <w:p w14:paraId="47F0FE60"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Primarily Text</w:t>
            </w:r>
          </w:p>
        </w:tc>
        <w:tc>
          <w:tcPr>
            <w:tcW w:w="1831" w:type="dxa"/>
          </w:tcPr>
          <w:p w14:paraId="035B8112" w14:textId="46A7BF42"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Text</w:t>
            </w:r>
            <w:r w:rsidR="005D6AFE">
              <w:rPr>
                <w:rFonts w:ascii="Times New Roman" w:hAnsi="Times New Roman"/>
                <w:b/>
                <w:sz w:val="16"/>
                <w:szCs w:val="16"/>
              </w:rPr>
              <w:t xml:space="preserve"> Plus</w:t>
            </w:r>
          </w:p>
        </w:tc>
        <w:tc>
          <w:tcPr>
            <w:tcW w:w="1139" w:type="dxa"/>
          </w:tcPr>
          <w:p w14:paraId="68733AFF"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Legislative History Primary</w:t>
            </w:r>
          </w:p>
        </w:tc>
        <w:tc>
          <w:tcPr>
            <w:tcW w:w="1337" w:type="dxa"/>
          </w:tcPr>
          <w:p w14:paraId="27AB2FF7"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Precedent</w:t>
            </w:r>
          </w:p>
        </w:tc>
        <w:tc>
          <w:tcPr>
            <w:tcW w:w="1789" w:type="dxa"/>
          </w:tcPr>
          <w:p w14:paraId="6D5BDCB6"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Policy</w:t>
            </w:r>
          </w:p>
        </w:tc>
      </w:tr>
      <w:tr w:rsidR="0086288C" w:rsidRPr="002442CD" w14:paraId="5B776EB9" w14:textId="77777777" w:rsidTr="001F1D99">
        <w:tc>
          <w:tcPr>
            <w:tcW w:w="1727" w:type="dxa"/>
          </w:tcPr>
          <w:p w14:paraId="43AA9C8E"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 xml:space="preserve">Dem./Clinton </w:t>
            </w:r>
          </w:p>
        </w:tc>
        <w:tc>
          <w:tcPr>
            <w:tcW w:w="1527" w:type="dxa"/>
          </w:tcPr>
          <w:p w14:paraId="0344D8A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15</w:t>
            </w:r>
          </w:p>
        </w:tc>
        <w:tc>
          <w:tcPr>
            <w:tcW w:w="1831" w:type="dxa"/>
          </w:tcPr>
          <w:p w14:paraId="0338CCE0"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25</w:t>
            </w:r>
          </w:p>
        </w:tc>
        <w:tc>
          <w:tcPr>
            <w:tcW w:w="1139" w:type="dxa"/>
          </w:tcPr>
          <w:p w14:paraId="35185C0F"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337" w:type="dxa"/>
          </w:tcPr>
          <w:p w14:paraId="02907C2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42*</w:t>
            </w:r>
          </w:p>
        </w:tc>
        <w:tc>
          <w:tcPr>
            <w:tcW w:w="1789" w:type="dxa"/>
          </w:tcPr>
          <w:p w14:paraId="7BF75B5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67</w:t>
            </w:r>
          </w:p>
        </w:tc>
      </w:tr>
      <w:tr w:rsidR="0086288C" w:rsidRPr="002442CD" w14:paraId="7DD52F5B" w14:textId="77777777" w:rsidTr="001F1D99">
        <w:trPr>
          <w:trHeight w:val="60"/>
        </w:trPr>
        <w:tc>
          <w:tcPr>
            <w:tcW w:w="1727" w:type="dxa"/>
          </w:tcPr>
          <w:p w14:paraId="0FDF8B72"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 xml:space="preserve">Rep./Clinton </w:t>
            </w:r>
          </w:p>
        </w:tc>
        <w:tc>
          <w:tcPr>
            <w:tcW w:w="1527" w:type="dxa"/>
          </w:tcPr>
          <w:p w14:paraId="0DF55EE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30*</w:t>
            </w:r>
          </w:p>
        </w:tc>
        <w:tc>
          <w:tcPr>
            <w:tcW w:w="1831" w:type="dxa"/>
          </w:tcPr>
          <w:p w14:paraId="19463FCD"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21</w:t>
            </w:r>
          </w:p>
        </w:tc>
        <w:tc>
          <w:tcPr>
            <w:tcW w:w="1139" w:type="dxa"/>
          </w:tcPr>
          <w:p w14:paraId="370A4F5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w:t>
            </w:r>
          </w:p>
        </w:tc>
        <w:tc>
          <w:tcPr>
            <w:tcW w:w="1337" w:type="dxa"/>
          </w:tcPr>
          <w:p w14:paraId="2191F14E"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55***</w:t>
            </w:r>
          </w:p>
        </w:tc>
        <w:tc>
          <w:tcPr>
            <w:tcW w:w="1789" w:type="dxa"/>
          </w:tcPr>
          <w:p w14:paraId="76E3021E"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72</w:t>
            </w:r>
          </w:p>
        </w:tc>
      </w:tr>
      <w:tr w:rsidR="0086288C" w:rsidRPr="002442CD" w14:paraId="5C32ECF7" w14:textId="77777777" w:rsidTr="001F1D99">
        <w:tc>
          <w:tcPr>
            <w:tcW w:w="1727" w:type="dxa"/>
          </w:tcPr>
          <w:p w14:paraId="7686BD00"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Dem./Bush II</w:t>
            </w:r>
          </w:p>
        </w:tc>
        <w:tc>
          <w:tcPr>
            <w:tcW w:w="1527" w:type="dxa"/>
          </w:tcPr>
          <w:p w14:paraId="2A0DAE7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8</w:t>
            </w:r>
          </w:p>
        </w:tc>
        <w:tc>
          <w:tcPr>
            <w:tcW w:w="1831" w:type="dxa"/>
          </w:tcPr>
          <w:p w14:paraId="69EA389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26</w:t>
            </w:r>
          </w:p>
        </w:tc>
        <w:tc>
          <w:tcPr>
            <w:tcW w:w="1139" w:type="dxa"/>
          </w:tcPr>
          <w:p w14:paraId="59899EE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11</w:t>
            </w:r>
          </w:p>
        </w:tc>
        <w:tc>
          <w:tcPr>
            <w:tcW w:w="1337" w:type="dxa"/>
          </w:tcPr>
          <w:p w14:paraId="0FA281B4"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11*</w:t>
            </w:r>
          </w:p>
        </w:tc>
        <w:tc>
          <w:tcPr>
            <w:tcW w:w="1789" w:type="dxa"/>
          </w:tcPr>
          <w:p w14:paraId="6856922E"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47</w:t>
            </w:r>
          </w:p>
        </w:tc>
      </w:tr>
      <w:tr w:rsidR="0086288C" w:rsidRPr="002442CD" w14:paraId="662256C4" w14:textId="77777777" w:rsidTr="001F1D99">
        <w:tc>
          <w:tcPr>
            <w:tcW w:w="1727" w:type="dxa"/>
          </w:tcPr>
          <w:p w14:paraId="28B99C0B"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Rep./Bush II</w:t>
            </w:r>
          </w:p>
        </w:tc>
        <w:tc>
          <w:tcPr>
            <w:tcW w:w="1527" w:type="dxa"/>
          </w:tcPr>
          <w:p w14:paraId="73A42371"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w:t>
            </w:r>
          </w:p>
        </w:tc>
        <w:tc>
          <w:tcPr>
            <w:tcW w:w="1831" w:type="dxa"/>
          </w:tcPr>
          <w:p w14:paraId="7AF090E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10</w:t>
            </w:r>
          </w:p>
        </w:tc>
        <w:tc>
          <w:tcPr>
            <w:tcW w:w="1139" w:type="dxa"/>
          </w:tcPr>
          <w:p w14:paraId="79F3A24A"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337" w:type="dxa"/>
          </w:tcPr>
          <w:p w14:paraId="12A5EFE4"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20***</w:t>
            </w:r>
          </w:p>
        </w:tc>
        <w:tc>
          <w:tcPr>
            <w:tcW w:w="1789" w:type="dxa"/>
          </w:tcPr>
          <w:p w14:paraId="02F0ACD0"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60</w:t>
            </w:r>
          </w:p>
        </w:tc>
      </w:tr>
      <w:tr w:rsidR="0086288C" w:rsidRPr="002442CD" w14:paraId="04E0610F" w14:textId="77777777" w:rsidTr="001F1D99">
        <w:trPr>
          <w:trHeight w:val="179"/>
        </w:trPr>
        <w:tc>
          <w:tcPr>
            <w:tcW w:w="1727" w:type="dxa"/>
          </w:tcPr>
          <w:p w14:paraId="4E6787AE"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Rep./Obama</w:t>
            </w:r>
          </w:p>
        </w:tc>
        <w:tc>
          <w:tcPr>
            <w:tcW w:w="1527" w:type="dxa"/>
          </w:tcPr>
          <w:p w14:paraId="74CCECF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16*</w:t>
            </w:r>
          </w:p>
        </w:tc>
        <w:tc>
          <w:tcPr>
            <w:tcW w:w="1831" w:type="dxa"/>
          </w:tcPr>
          <w:p w14:paraId="74AB6F88"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139" w:type="dxa"/>
          </w:tcPr>
          <w:p w14:paraId="6FE2B069"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337" w:type="dxa"/>
          </w:tcPr>
          <w:p w14:paraId="66969DA9"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16***</w:t>
            </w:r>
          </w:p>
        </w:tc>
        <w:tc>
          <w:tcPr>
            <w:tcW w:w="1789" w:type="dxa"/>
          </w:tcPr>
          <w:p w14:paraId="3B2B3D6D"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58</w:t>
            </w:r>
          </w:p>
        </w:tc>
      </w:tr>
      <w:tr w:rsidR="0086288C" w:rsidRPr="002442CD" w14:paraId="43C1F606" w14:textId="77777777" w:rsidTr="001F1D99">
        <w:trPr>
          <w:trHeight w:val="179"/>
        </w:trPr>
        <w:tc>
          <w:tcPr>
            <w:tcW w:w="1727" w:type="dxa"/>
          </w:tcPr>
          <w:p w14:paraId="2EF8237D" w14:textId="77777777" w:rsidR="0086288C" w:rsidRPr="005D6AFE" w:rsidRDefault="0086288C" w:rsidP="001E2B74">
            <w:pPr>
              <w:ind w:firstLine="0"/>
              <w:rPr>
                <w:rFonts w:ascii="Times New Roman" w:hAnsi="Times New Roman"/>
                <w:b/>
                <w:sz w:val="16"/>
                <w:szCs w:val="16"/>
              </w:rPr>
            </w:pPr>
            <w:r w:rsidRPr="005D6AFE">
              <w:rPr>
                <w:rFonts w:ascii="Times New Roman" w:hAnsi="Times New Roman"/>
                <w:b/>
                <w:sz w:val="16"/>
                <w:szCs w:val="16"/>
              </w:rPr>
              <w:t>Dem./Obama</w:t>
            </w:r>
          </w:p>
        </w:tc>
        <w:tc>
          <w:tcPr>
            <w:tcW w:w="1527" w:type="dxa"/>
          </w:tcPr>
          <w:p w14:paraId="00763E3E"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831" w:type="dxa"/>
          </w:tcPr>
          <w:p w14:paraId="533E7D1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50</w:t>
            </w:r>
          </w:p>
        </w:tc>
        <w:tc>
          <w:tcPr>
            <w:tcW w:w="1139" w:type="dxa"/>
          </w:tcPr>
          <w:p w14:paraId="1F52519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337" w:type="dxa"/>
          </w:tcPr>
          <w:p w14:paraId="34102E66"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r w:rsidRPr="005D6AFE">
              <w:rPr>
                <w:rStyle w:val="FootnoteReference"/>
                <w:rFonts w:ascii="Times New Roman" w:hAnsi="Times New Roman"/>
                <w:sz w:val="16"/>
                <w:szCs w:val="16"/>
              </w:rPr>
              <w:footnoteReference w:id="271"/>
            </w:r>
          </w:p>
        </w:tc>
        <w:tc>
          <w:tcPr>
            <w:tcW w:w="1789" w:type="dxa"/>
          </w:tcPr>
          <w:p w14:paraId="6BD0C928"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50</w:t>
            </w:r>
          </w:p>
        </w:tc>
      </w:tr>
    </w:tbl>
    <w:p w14:paraId="03080CA4" w14:textId="77777777" w:rsidR="0086288C" w:rsidRPr="000410F3" w:rsidRDefault="0086288C" w:rsidP="0086288C">
      <w:pPr>
        <w:rPr>
          <w:rFonts w:ascii="Times New Roman" w:hAnsi="Times New Roman"/>
          <w:szCs w:val="24"/>
        </w:rPr>
      </w:pPr>
    </w:p>
    <w:p w14:paraId="4EDA35C9" w14:textId="77777777" w:rsidR="001E2B74" w:rsidRDefault="001E2B74" w:rsidP="0086288C">
      <w:pPr>
        <w:rPr>
          <w:rFonts w:ascii="Times New Roman" w:hAnsi="Times New Roman"/>
          <w:b/>
          <w:sz w:val="20"/>
        </w:rPr>
      </w:pPr>
    </w:p>
    <w:p w14:paraId="244E49AC" w14:textId="77777777" w:rsidR="001E2B74" w:rsidRDefault="001E2B74" w:rsidP="0086288C">
      <w:pPr>
        <w:rPr>
          <w:rFonts w:ascii="Times New Roman" w:hAnsi="Times New Roman"/>
          <w:b/>
          <w:sz w:val="20"/>
        </w:rPr>
      </w:pPr>
    </w:p>
    <w:p w14:paraId="1547A0B9" w14:textId="77777777" w:rsidR="001E2B74" w:rsidRDefault="001E2B74" w:rsidP="00D57B0C">
      <w:pPr>
        <w:ind w:firstLine="0"/>
        <w:rPr>
          <w:rFonts w:ascii="Times New Roman" w:hAnsi="Times New Roman"/>
          <w:b/>
          <w:sz w:val="20"/>
        </w:rPr>
      </w:pPr>
    </w:p>
    <w:p w14:paraId="585DFC67" w14:textId="77777777" w:rsidR="003D1E8D" w:rsidRDefault="003D1E8D" w:rsidP="00D57B0C">
      <w:pPr>
        <w:ind w:firstLine="0"/>
        <w:rPr>
          <w:rFonts w:ascii="Times New Roman" w:hAnsi="Times New Roman"/>
          <w:b/>
          <w:sz w:val="20"/>
        </w:rPr>
      </w:pPr>
    </w:p>
    <w:p w14:paraId="28A8DFC0" w14:textId="77777777" w:rsidR="003D1E8D" w:rsidRDefault="003D1E8D" w:rsidP="00D57B0C">
      <w:pPr>
        <w:ind w:firstLine="0"/>
        <w:rPr>
          <w:rFonts w:ascii="Times New Roman" w:hAnsi="Times New Roman"/>
          <w:b/>
          <w:sz w:val="20"/>
        </w:rPr>
      </w:pPr>
    </w:p>
    <w:p w14:paraId="719C848A" w14:textId="77777777" w:rsidR="003D1E8D" w:rsidRDefault="003D1E8D" w:rsidP="00D57B0C">
      <w:pPr>
        <w:ind w:firstLine="0"/>
        <w:rPr>
          <w:rFonts w:ascii="Times New Roman" w:hAnsi="Times New Roman"/>
          <w:b/>
          <w:sz w:val="20"/>
        </w:rPr>
      </w:pPr>
    </w:p>
    <w:p w14:paraId="1C95A064" w14:textId="77777777" w:rsidR="003D1E8D" w:rsidRDefault="003D1E8D" w:rsidP="00D57B0C">
      <w:pPr>
        <w:ind w:firstLine="0"/>
        <w:rPr>
          <w:rFonts w:ascii="Times New Roman" w:hAnsi="Times New Roman"/>
          <w:b/>
          <w:sz w:val="20"/>
        </w:rPr>
      </w:pPr>
    </w:p>
    <w:p w14:paraId="3336D25A" w14:textId="77777777" w:rsidR="003D1E8D" w:rsidRDefault="003D1E8D" w:rsidP="00D57B0C">
      <w:pPr>
        <w:ind w:firstLine="0"/>
        <w:rPr>
          <w:rFonts w:ascii="Times New Roman" w:hAnsi="Times New Roman"/>
          <w:b/>
          <w:sz w:val="20"/>
        </w:rPr>
      </w:pPr>
    </w:p>
    <w:p w14:paraId="59309F1C" w14:textId="77777777" w:rsidR="003D1E8D" w:rsidRDefault="003D1E8D" w:rsidP="00D57B0C">
      <w:pPr>
        <w:ind w:firstLine="0"/>
        <w:rPr>
          <w:rFonts w:ascii="Times New Roman" w:hAnsi="Times New Roman"/>
          <w:b/>
          <w:sz w:val="20"/>
        </w:rPr>
      </w:pPr>
    </w:p>
    <w:p w14:paraId="77EDA542" w14:textId="77777777" w:rsidR="001E2B74" w:rsidRDefault="001E2B74" w:rsidP="0086288C">
      <w:pPr>
        <w:rPr>
          <w:rFonts w:ascii="Times New Roman" w:hAnsi="Times New Roman"/>
          <w:b/>
          <w:sz w:val="20"/>
        </w:rPr>
      </w:pPr>
    </w:p>
    <w:p w14:paraId="66D9957D" w14:textId="77777777" w:rsidR="0086288C" w:rsidRPr="002442CD" w:rsidRDefault="0086288C" w:rsidP="0086288C">
      <w:pPr>
        <w:rPr>
          <w:rFonts w:ascii="Times New Roman" w:hAnsi="Times New Roman"/>
          <w:b/>
          <w:sz w:val="20"/>
        </w:rPr>
      </w:pPr>
      <w:r w:rsidRPr="002442CD">
        <w:rPr>
          <w:rFonts w:ascii="Times New Roman" w:hAnsi="Times New Roman"/>
          <w:b/>
          <w:sz w:val="20"/>
        </w:rPr>
        <w:lastRenderedPageBreak/>
        <w:t>Figure 9</w:t>
      </w:r>
    </w:p>
    <w:p w14:paraId="357C40F5" w14:textId="72E9BCD3" w:rsidR="005D6AFE" w:rsidRPr="001E2B74" w:rsidRDefault="0086288C" w:rsidP="001E2B74">
      <w:pPr>
        <w:rPr>
          <w:rFonts w:ascii="Times New Roman" w:hAnsi="Times New Roman"/>
          <w:szCs w:val="24"/>
        </w:rPr>
      </w:pPr>
      <w:r w:rsidRPr="0086288C">
        <w:rPr>
          <w:rFonts w:ascii="Times New Roman" w:hAnsi="Times New Roman"/>
          <w:noProof/>
          <w:szCs w:val="24"/>
        </w:rPr>
        <w:drawing>
          <wp:inline distT="0" distB="0" distL="0" distR="0" wp14:anchorId="5952A79B" wp14:editId="369DE3AC">
            <wp:extent cx="3657600" cy="2679192"/>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7AD4C0A8" w14:textId="77777777" w:rsidR="005D6AFE" w:rsidRDefault="005D6AFE" w:rsidP="0086288C">
      <w:pPr>
        <w:rPr>
          <w:rFonts w:ascii="Times New Roman" w:hAnsi="Times New Roman"/>
          <w:b/>
          <w:sz w:val="20"/>
        </w:rPr>
      </w:pPr>
    </w:p>
    <w:p w14:paraId="4EEFDC13" w14:textId="77777777" w:rsidR="005D6AFE" w:rsidRDefault="005D6AFE" w:rsidP="0086288C">
      <w:pPr>
        <w:rPr>
          <w:rFonts w:ascii="Times New Roman" w:hAnsi="Times New Roman"/>
          <w:b/>
          <w:sz w:val="20"/>
        </w:rPr>
      </w:pPr>
    </w:p>
    <w:p w14:paraId="60D9E824" w14:textId="77777777" w:rsidR="0086288C" w:rsidRPr="002442CD" w:rsidRDefault="0086288C" w:rsidP="0086288C">
      <w:pPr>
        <w:rPr>
          <w:rFonts w:ascii="Times New Roman" w:hAnsi="Times New Roman"/>
          <w:b/>
          <w:sz w:val="20"/>
        </w:rPr>
      </w:pPr>
      <w:r w:rsidRPr="002442CD">
        <w:rPr>
          <w:rFonts w:ascii="Times New Roman" w:hAnsi="Times New Roman"/>
          <w:b/>
          <w:sz w:val="20"/>
        </w:rPr>
        <w:t>Figure 10</w:t>
      </w:r>
    </w:p>
    <w:p w14:paraId="22ABA2B8" w14:textId="3842C6D0" w:rsidR="0086288C" w:rsidRPr="000410F3" w:rsidRDefault="0086288C" w:rsidP="0086288C">
      <w:pPr>
        <w:rPr>
          <w:rFonts w:ascii="Times New Roman" w:hAnsi="Times New Roman"/>
          <w:szCs w:val="24"/>
        </w:rPr>
      </w:pPr>
      <w:r w:rsidRPr="0086288C">
        <w:rPr>
          <w:rFonts w:ascii="Times New Roman" w:hAnsi="Times New Roman"/>
          <w:noProof/>
          <w:szCs w:val="24"/>
        </w:rPr>
        <w:drawing>
          <wp:inline distT="0" distB="0" distL="0" distR="0" wp14:anchorId="52F4D759" wp14:editId="4EDD442B">
            <wp:extent cx="3657600" cy="2679192"/>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2D8E2711" w14:textId="7A5BDE55" w:rsidR="0086288C" w:rsidRPr="001E2B74" w:rsidRDefault="001E2B74" w:rsidP="001E2B74">
      <w:pPr>
        <w:pStyle w:val="ListParagraph"/>
        <w:numPr>
          <w:ilvl w:val="0"/>
          <w:numId w:val="26"/>
        </w:numPr>
        <w:rPr>
          <w:rFonts w:ascii="Times New Roman" w:hAnsi="Times New Roman"/>
          <w:b/>
          <w:szCs w:val="24"/>
        </w:rPr>
      </w:pPr>
      <w:r>
        <w:rPr>
          <w:rFonts w:ascii="Times New Roman" w:hAnsi="Times New Roman"/>
          <w:b/>
          <w:szCs w:val="24"/>
        </w:rPr>
        <w:t>Dueling Interpretations in the Majority and Dissent</w:t>
      </w:r>
    </w:p>
    <w:p w14:paraId="62DAA63B" w14:textId="77777777" w:rsidR="005D6AFE" w:rsidRPr="002442CD" w:rsidRDefault="005D6AFE" w:rsidP="005D6AFE">
      <w:pPr>
        <w:pStyle w:val="ListParagraph"/>
        <w:spacing w:after="0" w:line="240" w:lineRule="auto"/>
        <w:ind w:left="1440"/>
        <w:rPr>
          <w:rFonts w:ascii="Times New Roman" w:hAnsi="Times New Roman"/>
          <w:b/>
          <w:sz w:val="24"/>
          <w:szCs w:val="24"/>
        </w:rPr>
      </w:pPr>
    </w:p>
    <w:p w14:paraId="417D6FD2" w14:textId="586C0F3E"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While the summary information provides some interesting information on the statutory interpretation tools used by dissents, the analysis cannot occur in a vacuum. By necessity, the statutory method used by the dissent may in part be depended on how the Board majority interprets the case and which statutory methodologies it uses. In this next part, we turn now to look at how dissenting opinions actually differed in the statutory </w:t>
      </w:r>
      <w:r w:rsidRPr="000410F3">
        <w:rPr>
          <w:rFonts w:ascii="Times New Roman" w:hAnsi="Times New Roman"/>
          <w:szCs w:val="24"/>
        </w:rPr>
        <w:lastRenderedPageBreak/>
        <w:t xml:space="preserve">methodologies employed. I coded cases according to one of six “dueling” possibilities: 1) textual to purposive/policy (that is, the majority opinion is primarily textual, but the dissenting opinion is more purposive/policy); 2) purposive to textual; 3) policy, indicating that the majority and dissenting “dueled” primarily over how to balance a given policy, with the majority favoring one favor while the dissent favored another; 4) textual to textual, meaning that the majority and dissenting party both adopted a textual interpretation, but they differed as to what exactly the text meant; 5) debates about the use of precedent, with both the dissent and majority advancing different precedents to make their case; and 6) disputes about which statute to apply. </w:t>
      </w:r>
    </w:p>
    <w:p w14:paraId="0437B16C" w14:textId="77777777" w:rsidR="0086288C" w:rsidRDefault="0086288C" w:rsidP="0086288C">
      <w:pPr>
        <w:ind w:firstLine="720"/>
        <w:rPr>
          <w:rFonts w:ascii="Times New Roman" w:hAnsi="Times New Roman"/>
          <w:szCs w:val="24"/>
        </w:rPr>
      </w:pPr>
      <w:r w:rsidRPr="000410F3">
        <w:rPr>
          <w:rFonts w:ascii="Times New Roman" w:hAnsi="Times New Roman"/>
          <w:szCs w:val="24"/>
        </w:rPr>
        <w:t>Figure 11 lists the percentages broken down by type of “duel.” The most frequent type of “duel” concerned disputes between the majority and dissent based on policy, encompassing almost a third of the majority/dissent combinations, with about 23% of all cases concerning some debate between the majority and the dissent on the appropriate balance between competing goals. Given that the Board is at its heart a policymaking agency, this of course is not a surprise. Majority and dissenting Board members also quarreled over precedent about 25% of the time as the primary interpretive duel, though debates about Board precedent in general occurred about 28% of the time while 18% of the cases involved debates concerning whether a Supreme Court or circuit court case controlled the outcome. In 8% of cases, one side argued that precedent controlled the outcome while the other side argued that the case should be decided in line with text, policy and/or legislative history. In the remaining cases, the Board used a mixture of switching techniques from a textualist method to a purposive one (13%), a purposive one to a textualist (16%), a text to a text dispute (10%) or a primarily legislative history to policy dispute or a policy to legislative history dispute (2%). On occasion, the majority and dissent also debated about the use of language canons. Majority and dissenting Board boards quarreled over whether the text should be interpreted in an expansionist or narrow fashion in 17% of cases. In other words, one side thought that the text was clear and unlimited while the other side thought that the language dictated the outcome. In 5% of cases the majority and dissent debated about the whole act rule, as one side thought it applied while another side did not. Moreover, in about 2% of all cases, the majority and dissent quarreled over which statute to apply. These cases primarily concerned whether the Board should or should not apply the Railway Act to assist in interpreting the unfair labor dispute claims.</w:t>
      </w:r>
      <w:r w:rsidRPr="000410F3">
        <w:rPr>
          <w:rStyle w:val="FootnoteReference"/>
          <w:rFonts w:ascii="Times New Roman" w:hAnsi="Times New Roman"/>
          <w:szCs w:val="24"/>
        </w:rPr>
        <w:footnoteReference w:id="272"/>
      </w:r>
      <w:r w:rsidRPr="000410F3">
        <w:rPr>
          <w:rFonts w:ascii="Times New Roman" w:hAnsi="Times New Roman"/>
          <w:szCs w:val="24"/>
        </w:rPr>
        <w:t xml:space="preserve"> </w:t>
      </w:r>
    </w:p>
    <w:p w14:paraId="13F0D31F" w14:textId="77777777" w:rsidR="005D6AFE" w:rsidRPr="000410F3" w:rsidRDefault="005D6AFE" w:rsidP="0086288C">
      <w:pPr>
        <w:ind w:firstLine="720"/>
        <w:rPr>
          <w:rFonts w:ascii="Times New Roman" w:hAnsi="Times New Roman"/>
          <w:szCs w:val="24"/>
        </w:rPr>
      </w:pPr>
    </w:p>
    <w:p w14:paraId="679E1F73" w14:textId="77777777" w:rsidR="0086288C" w:rsidRPr="002442CD" w:rsidRDefault="0086288C" w:rsidP="0086288C">
      <w:pPr>
        <w:rPr>
          <w:rFonts w:ascii="Times New Roman" w:hAnsi="Times New Roman"/>
          <w:b/>
          <w:sz w:val="20"/>
        </w:rPr>
      </w:pPr>
      <w:r w:rsidRPr="002442CD">
        <w:rPr>
          <w:rFonts w:ascii="Times New Roman" w:hAnsi="Times New Roman"/>
          <w:b/>
          <w:sz w:val="20"/>
        </w:rPr>
        <w:lastRenderedPageBreak/>
        <w:t>Figure 11</w:t>
      </w:r>
    </w:p>
    <w:p w14:paraId="382966DB" w14:textId="1780EE71" w:rsidR="0086288C" w:rsidRPr="000410F3" w:rsidRDefault="0086288C" w:rsidP="0086288C">
      <w:pPr>
        <w:ind w:firstLine="720"/>
        <w:rPr>
          <w:rFonts w:ascii="Times New Roman" w:hAnsi="Times New Roman"/>
          <w:szCs w:val="24"/>
        </w:rPr>
      </w:pPr>
      <w:r w:rsidRPr="0086288C">
        <w:rPr>
          <w:rFonts w:ascii="Times New Roman" w:hAnsi="Times New Roman"/>
          <w:noProof/>
          <w:szCs w:val="24"/>
        </w:rPr>
        <w:drawing>
          <wp:inline distT="0" distB="0" distL="0" distR="0" wp14:anchorId="15F65CB5" wp14:editId="6C444872">
            <wp:extent cx="3657600" cy="2679192"/>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275B9E80" w14:textId="77777777" w:rsidR="0086288C" w:rsidRDefault="0086288C" w:rsidP="0086288C">
      <w:pPr>
        <w:ind w:firstLine="720"/>
        <w:rPr>
          <w:rFonts w:ascii="Times New Roman" w:hAnsi="Times New Roman"/>
          <w:szCs w:val="24"/>
        </w:rPr>
      </w:pPr>
      <w:r w:rsidRPr="000410F3">
        <w:rPr>
          <w:rFonts w:ascii="Times New Roman" w:hAnsi="Times New Roman"/>
          <w:szCs w:val="24"/>
        </w:rPr>
        <w:t xml:space="preserve">These numbers are similar when broken down by case type, with some interesting differences as shown in Table 10 and Figure 12. We see that policy duels are most apparent in unfair labor dispute cases against employers. These cases are by far the most frequent, so the Board already has a great deal of precedent in which to rely on. As such, the Board does not often need to engage in much textual interpretation in these cases. Moreover, there is not much legislative history to review concerning unfair labor practices against employers as they are covered by the Wagner Act, not the newer Taft-Hartley Act. Moreover, in about half of election representation or bargaining unit cases, the Board has some sort of duel over the text, whether it be a text to purposive duel, a purposive to text duel or a text to text duel. In unfair labor disputes against unions, the Board often “duels” with the dissent over whether the Railway Act should guide its determinations. In over a third of unfair labor cases concerning union abuses, the majority and dissent quarrel over text, a difference statistically significant at 99% confidence. Similarly, in about a third of election or bargaining unit cases, we see one side advancing a purposive approach and one side making a textual argument, a result that is again statistically significant. </w:t>
      </w:r>
    </w:p>
    <w:p w14:paraId="129C38AD" w14:textId="77777777" w:rsidR="005D6AFE" w:rsidRPr="000410F3" w:rsidRDefault="005D6AFE" w:rsidP="0086288C">
      <w:pPr>
        <w:ind w:firstLine="720"/>
        <w:rPr>
          <w:rFonts w:ascii="Times New Roman" w:hAnsi="Times New Roman"/>
          <w:szCs w:val="24"/>
        </w:rPr>
      </w:pPr>
    </w:p>
    <w:p w14:paraId="00DC5E29" w14:textId="77777777" w:rsidR="0086288C" w:rsidRPr="002442CD" w:rsidRDefault="0086288C" w:rsidP="0086288C">
      <w:pPr>
        <w:rPr>
          <w:rFonts w:ascii="Times New Roman" w:hAnsi="Times New Roman"/>
          <w:b/>
          <w:sz w:val="20"/>
        </w:rPr>
      </w:pPr>
      <w:r w:rsidRPr="002442CD">
        <w:rPr>
          <w:rFonts w:ascii="Times New Roman" w:hAnsi="Times New Roman"/>
          <w:b/>
          <w:sz w:val="20"/>
        </w:rPr>
        <w:t>Table 10: Dueling Methodologies, by Case Type</w:t>
      </w:r>
    </w:p>
    <w:tbl>
      <w:tblPr>
        <w:tblStyle w:val="TableGrid"/>
        <w:tblW w:w="0" w:type="auto"/>
        <w:tblInd w:w="113" w:type="dxa"/>
        <w:tblLook w:val="04A0" w:firstRow="1" w:lastRow="0" w:firstColumn="1" w:lastColumn="0" w:noHBand="0" w:noVBand="1"/>
      </w:tblPr>
      <w:tblGrid>
        <w:gridCol w:w="1710"/>
        <w:gridCol w:w="831"/>
        <w:gridCol w:w="1017"/>
        <w:gridCol w:w="842"/>
        <w:gridCol w:w="1018"/>
        <w:gridCol w:w="958"/>
        <w:gridCol w:w="845"/>
      </w:tblGrid>
      <w:tr w:rsidR="0086288C" w:rsidRPr="002442CD" w14:paraId="32A35F43" w14:textId="77777777" w:rsidTr="001F1D99">
        <w:tc>
          <w:tcPr>
            <w:tcW w:w="2149" w:type="dxa"/>
          </w:tcPr>
          <w:p w14:paraId="2114ED37" w14:textId="77777777" w:rsidR="0086288C" w:rsidRPr="005D6AFE" w:rsidRDefault="0086288C" w:rsidP="0086288C">
            <w:pPr>
              <w:rPr>
                <w:rFonts w:ascii="Times New Roman" w:hAnsi="Times New Roman"/>
                <w:b/>
                <w:sz w:val="16"/>
                <w:szCs w:val="16"/>
              </w:rPr>
            </w:pPr>
          </w:p>
        </w:tc>
        <w:tc>
          <w:tcPr>
            <w:tcW w:w="1162" w:type="dxa"/>
          </w:tcPr>
          <w:p w14:paraId="3ADD11CD"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T&gt;P</w:t>
            </w:r>
          </w:p>
        </w:tc>
        <w:tc>
          <w:tcPr>
            <w:tcW w:w="1163" w:type="dxa"/>
          </w:tcPr>
          <w:p w14:paraId="4E00BB01"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P&gt;T</w:t>
            </w:r>
          </w:p>
        </w:tc>
        <w:tc>
          <w:tcPr>
            <w:tcW w:w="1212" w:type="dxa"/>
          </w:tcPr>
          <w:p w14:paraId="0D12E923"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Policy</w:t>
            </w:r>
          </w:p>
        </w:tc>
        <w:tc>
          <w:tcPr>
            <w:tcW w:w="1166" w:type="dxa"/>
          </w:tcPr>
          <w:p w14:paraId="29869A0A"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T&gt;T</w:t>
            </w:r>
          </w:p>
        </w:tc>
        <w:tc>
          <w:tcPr>
            <w:tcW w:w="1160" w:type="dxa"/>
          </w:tcPr>
          <w:p w14:paraId="2BD03F8F"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Precedent</w:t>
            </w:r>
          </w:p>
        </w:tc>
        <w:tc>
          <w:tcPr>
            <w:tcW w:w="1225" w:type="dxa"/>
          </w:tcPr>
          <w:p w14:paraId="6F232730"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Statute</w:t>
            </w:r>
          </w:p>
        </w:tc>
      </w:tr>
      <w:tr w:rsidR="0086288C" w:rsidRPr="002442CD" w14:paraId="18C92C56" w14:textId="77777777" w:rsidTr="001F1D99">
        <w:tc>
          <w:tcPr>
            <w:tcW w:w="2149" w:type="dxa"/>
          </w:tcPr>
          <w:p w14:paraId="408A6CE0"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All Cases</w:t>
            </w:r>
          </w:p>
        </w:tc>
        <w:tc>
          <w:tcPr>
            <w:tcW w:w="1162" w:type="dxa"/>
          </w:tcPr>
          <w:p w14:paraId="197F978F"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13</w:t>
            </w:r>
          </w:p>
        </w:tc>
        <w:tc>
          <w:tcPr>
            <w:tcW w:w="1163" w:type="dxa"/>
          </w:tcPr>
          <w:p w14:paraId="4EE5F5AE"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16</w:t>
            </w:r>
          </w:p>
        </w:tc>
        <w:tc>
          <w:tcPr>
            <w:tcW w:w="1212" w:type="dxa"/>
          </w:tcPr>
          <w:p w14:paraId="670EFEE8"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34</w:t>
            </w:r>
          </w:p>
        </w:tc>
        <w:tc>
          <w:tcPr>
            <w:tcW w:w="1166" w:type="dxa"/>
          </w:tcPr>
          <w:p w14:paraId="4555FD4C"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10</w:t>
            </w:r>
          </w:p>
        </w:tc>
        <w:tc>
          <w:tcPr>
            <w:tcW w:w="1160" w:type="dxa"/>
          </w:tcPr>
          <w:p w14:paraId="0EE31F7C"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25</w:t>
            </w:r>
          </w:p>
        </w:tc>
        <w:tc>
          <w:tcPr>
            <w:tcW w:w="1225" w:type="dxa"/>
          </w:tcPr>
          <w:p w14:paraId="3A3B877A"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w:t>
            </w:r>
          </w:p>
        </w:tc>
      </w:tr>
      <w:tr w:rsidR="0086288C" w:rsidRPr="002442CD" w14:paraId="785309B9" w14:textId="77777777" w:rsidTr="001F1D99">
        <w:trPr>
          <w:trHeight w:val="557"/>
        </w:trPr>
        <w:tc>
          <w:tcPr>
            <w:tcW w:w="2149" w:type="dxa"/>
          </w:tcPr>
          <w:p w14:paraId="78B6B0FC"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ULP- Employer (CA)</w:t>
            </w:r>
          </w:p>
        </w:tc>
        <w:tc>
          <w:tcPr>
            <w:tcW w:w="1162" w:type="dxa"/>
          </w:tcPr>
          <w:p w14:paraId="13B0BA4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11</w:t>
            </w:r>
          </w:p>
        </w:tc>
        <w:tc>
          <w:tcPr>
            <w:tcW w:w="1163" w:type="dxa"/>
          </w:tcPr>
          <w:p w14:paraId="7DE6B351"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8***</w:t>
            </w:r>
          </w:p>
        </w:tc>
        <w:tc>
          <w:tcPr>
            <w:tcW w:w="1212" w:type="dxa"/>
          </w:tcPr>
          <w:p w14:paraId="167A2AD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36</w:t>
            </w:r>
          </w:p>
        </w:tc>
        <w:tc>
          <w:tcPr>
            <w:tcW w:w="1166" w:type="dxa"/>
          </w:tcPr>
          <w:p w14:paraId="67CAD3E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8***</w:t>
            </w:r>
          </w:p>
        </w:tc>
        <w:tc>
          <w:tcPr>
            <w:tcW w:w="1160" w:type="dxa"/>
          </w:tcPr>
          <w:p w14:paraId="6B30DFB2"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36**</w:t>
            </w:r>
          </w:p>
        </w:tc>
        <w:tc>
          <w:tcPr>
            <w:tcW w:w="1225" w:type="dxa"/>
          </w:tcPr>
          <w:p w14:paraId="4D029D22"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r>
      <w:tr w:rsidR="0086288C" w:rsidRPr="002442CD" w14:paraId="4C1F6945" w14:textId="77777777" w:rsidTr="001F1D99">
        <w:tc>
          <w:tcPr>
            <w:tcW w:w="2149" w:type="dxa"/>
          </w:tcPr>
          <w:p w14:paraId="24A8FF63"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 xml:space="preserve">ULP- Union (CB) </w:t>
            </w:r>
          </w:p>
        </w:tc>
        <w:tc>
          <w:tcPr>
            <w:tcW w:w="1162" w:type="dxa"/>
          </w:tcPr>
          <w:p w14:paraId="025A3224"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11</w:t>
            </w:r>
          </w:p>
        </w:tc>
        <w:tc>
          <w:tcPr>
            <w:tcW w:w="1163" w:type="dxa"/>
          </w:tcPr>
          <w:p w14:paraId="594232E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212" w:type="dxa"/>
          </w:tcPr>
          <w:p w14:paraId="5BA74E4A"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22</w:t>
            </w:r>
          </w:p>
        </w:tc>
        <w:tc>
          <w:tcPr>
            <w:tcW w:w="1166" w:type="dxa"/>
          </w:tcPr>
          <w:p w14:paraId="3C734839"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33***</w:t>
            </w:r>
          </w:p>
        </w:tc>
        <w:tc>
          <w:tcPr>
            <w:tcW w:w="1160" w:type="dxa"/>
          </w:tcPr>
          <w:p w14:paraId="2DA6764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22**</w:t>
            </w:r>
          </w:p>
        </w:tc>
        <w:tc>
          <w:tcPr>
            <w:tcW w:w="1225" w:type="dxa"/>
          </w:tcPr>
          <w:p w14:paraId="6614EEF0"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11</w:t>
            </w:r>
          </w:p>
        </w:tc>
      </w:tr>
      <w:tr w:rsidR="0086288C" w:rsidRPr="002442CD" w14:paraId="4AB6173F" w14:textId="77777777" w:rsidTr="001F1D99">
        <w:tc>
          <w:tcPr>
            <w:tcW w:w="2149" w:type="dxa"/>
          </w:tcPr>
          <w:p w14:paraId="6C164E1C"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Election/Bargaining Unit</w:t>
            </w:r>
          </w:p>
        </w:tc>
        <w:tc>
          <w:tcPr>
            <w:tcW w:w="1162" w:type="dxa"/>
          </w:tcPr>
          <w:p w14:paraId="2EBF8468"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17</w:t>
            </w:r>
          </w:p>
        </w:tc>
        <w:tc>
          <w:tcPr>
            <w:tcW w:w="1163" w:type="dxa"/>
          </w:tcPr>
          <w:p w14:paraId="0447438E"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35***</w:t>
            </w:r>
          </w:p>
        </w:tc>
        <w:tc>
          <w:tcPr>
            <w:tcW w:w="1212" w:type="dxa"/>
          </w:tcPr>
          <w:p w14:paraId="3CF753C9"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24</w:t>
            </w:r>
          </w:p>
        </w:tc>
        <w:tc>
          <w:tcPr>
            <w:tcW w:w="1166" w:type="dxa"/>
          </w:tcPr>
          <w:p w14:paraId="77561E82"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4***</w:t>
            </w:r>
          </w:p>
        </w:tc>
        <w:tc>
          <w:tcPr>
            <w:tcW w:w="1160" w:type="dxa"/>
          </w:tcPr>
          <w:p w14:paraId="3DDD4EEC"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9**</w:t>
            </w:r>
          </w:p>
        </w:tc>
        <w:tc>
          <w:tcPr>
            <w:tcW w:w="1225" w:type="dxa"/>
          </w:tcPr>
          <w:p w14:paraId="6E298A9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r>
    </w:tbl>
    <w:p w14:paraId="0C6C470A" w14:textId="77777777" w:rsidR="0086288C" w:rsidRPr="000410F3" w:rsidRDefault="0086288C" w:rsidP="005D6AFE">
      <w:pPr>
        <w:ind w:firstLine="0"/>
        <w:rPr>
          <w:rFonts w:ascii="Times New Roman" w:hAnsi="Times New Roman"/>
          <w:szCs w:val="24"/>
        </w:rPr>
      </w:pPr>
    </w:p>
    <w:p w14:paraId="30EDF831" w14:textId="77777777" w:rsidR="0086288C" w:rsidRPr="002442CD" w:rsidRDefault="0086288C" w:rsidP="0086288C">
      <w:pPr>
        <w:rPr>
          <w:rFonts w:ascii="Times New Roman" w:hAnsi="Times New Roman"/>
          <w:b/>
          <w:sz w:val="20"/>
        </w:rPr>
      </w:pPr>
      <w:r w:rsidRPr="002442CD">
        <w:rPr>
          <w:rFonts w:ascii="Times New Roman" w:hAnsi="Times New Roman"/>
          <w:b/>
          <w:sz w:val="20"/>
        </w:rPr>
        <w:lastRenderedPageBreak/>
        <w:t>Figure 12</w:t>
      </w:r>
    </w:p>
    <w:p w14:paraId="34573410" w14:textId="00AB93A4" w:rsidR="0086288C" w:rsidRPr="000410F3" w:rsidRDefault="0086288C" w:rsidP="0086288C">
      <w:pPr>
        <w:ind w:firstLine="720"/>
        <w:rPr>
          <w:rFonts w:ascii="Times New Roman" w:hAnsi="Times New Roman"/>
          <w:szCs w:val="24"/>
        </w:rPr>
      </w:pPr>
      <w:r w:rsidRPr="0086288C">
        <w:rPr>
          <w:rFonts w:ascii="Times New Roman" w:hAnsi="Times New Roman"/>
          <w:noProof/>
          <w:szCs w:val="24"/>
        </w:rPr>
        <w:drawing>
          <wp:inline distT="0" distB="0" distL="0" distR="0" wp14:anchorId="274F4A65" wp14:editId="4F41F89D">
            <wp:extent cx="3657600" cy="2679192"/>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10750F80" w14:textId="14CCFC5A" w:rsidR="0086288C" w:rsidRDefault="00D57B0C" w:rsidP="0086288C">
      <w:pPr>
        <w:ind w:firstLine="720"/>
        <w:rPr>
          <w:rFonts w:ascii="Times New Roman" w:hAnsi="Times New Roman"/>
          <w:szCs w:val="24"/>
        </w:rPr>
      </w:pPr>
      <w:r>
        <w:rPr>
          <w:rFonts w:ascii="Times New Roman" w:hAnsi="Times New Roman"/>
          <w:szCs w:val="24"/>
        </w:rPr>
        <w:t>L</w:t>
      </w:r>
      <w:r w:rsidR="0086288C" w:rsidRPr="000410F3">
        <w:rPr>
          <w:rFonts w:ascii="Times New Roman" w:hAnsi="Times New Roman"/>
          <w:szCs w:val="24"/>
        </w:rPr>
        <w:t xml:space="preserve">ooking at it by party of the majority and administration in Table 11 and Figure 13, respectively, we see a decline over time in the use of policy disputes and an increase in text to purposive or text to purposive disputes, especially during the Bush II years among Republican majority panels. In particular, purposive to text debates occurred most often with Republican majority/Democratic minority panels during the Bush II years, while text to purposive debates occurred most often with Democratic majority/Republican minority panels in the Obama years, an interesting result. By contrast, text to text debates were most prevalent among Democratic majority/Republican minority Boards during the Bush II administration, with nearly 44% of panels of that partisan mixture arguing about text, a result statistically significant at 99% confidence. We see policy battles being much more common during Democratic administrations. There was indeed a statistically significant and noticeable decline in the use of policy by Republican-dominated Boards; whereas 44% of Republican Boards used policy as the primary interpretive tool during the Clinton years, that figure dropped to 18% in the Bush administration, with Republican Board members turning instead to relying more on text. </w:t>
      </w:r>
      <w:r>
        <w:rPr>
          <w:rFonts w:ascii="Times New Roman" w:hAnsi="Times New Roman"/>
          <w:szCs w:val="24"/>
        </w:rPr>
        <w:t>N</w:t>
      </w:r>
      <w:r w:rsidR="0086288C" w:rsidRPr="000410F3">
        <w:rPr>
          <w:rFonts w:ascii="Times New Roman" w:hAnsi="Times New Roman"/>
          <w:szCs w:val="24"/>
        </w:rPr>
        <w:t xml:space="preserve">ote should also be made of the decline of the use of precedent over time. Whereas we see precedent battle being quite frequent during the Clinton years, in recent years, policy battles have replaced precedent battles as the lightening rod between partisans on the Board. </w:t>
      </w:r>
    </w:p>
    <w:p w14:paraId="30EB7FB2" w14:textId="77777777" w:rsidR="005D6AFE" w:rsidRDefault="005D6AFE" w:rsidP="0086288C">
      <w:pPr>
        <w:ind w:firstLine="720"/>
        <w:rPr>
          <w:rFonts w:ascii="Times New Roman" w:hAnsi="Times New Roman"/>
          <w:szCs w:val="24"/>
        </w:rPr>
      </w:pPr>
    </w:p>
    <w:p w14:paraId="3954DBE6" w14:textId="77777777" w:rsidR="003D1E8D" w:rsidRDefault="003D1E8D" w:rsidP="0086288C">
      <w:pPr>
        <w:ind w:firstLine="720"/>
        <w:rPr>
          <w:rFonts w:ascii="Times New Roman" w:hAnsi="Times New Roman"/>
          <w:szCs w:val="24"/>
        </w:rPr>
      </w:pPr>
    </w:p>
    <w:p w14:paraId="0784E185" w14:textId="77777777" w:rsidR="003D1E8D" w:rsidRDefault="003D1E8D" w:rsidP="0086288C">
      <w:pPr>
        <w:ind w:firstLine="720"/>
        <w:rPr>
          <w:rFonts w:ascii="Times New Roman" w:hAnsi="Times New Roman"/>
          <w:szCs w:val="24"/>
        </w:rPr>
      </w:pPr>
    </w:p>
    <w:p w14:paraId="0FCC726D" w14:textId="77777777" w:rsidR="003D1E8D" w:rsidRDefault="003D1E8D" w:rsidP="0086288C">
      <w:pPr>
        <w:ind w:firstLine="720"/>
        <w:rPr>
          <w:rFonts w:ascii="Times New Roman" w:hAnsi="Times New Roman"/>
          <w:szCs w:val="24"/>
        </w:rPr>
      </w:pPr>
    </w:p>
    <w:p w14:paraId="314E8189" w14:textId="77777777" w:rsidR="003D1E8D" w:rsidRPr="000410F3" w:rsidRDefault="003D1E8D" w:rsidP="0086288C">
      <w:pPr>
        <w:ind w:firstLine="720"/>
        <w:rPr>
          <w:rFonts w:ascii="Times New Roman" w:hAnsi="Times New Roman"/>
          <w:szCs w:val="24"/>
        </w:rPr>
      </w:pPr>
    </w:p>
    <w:p w14:paraId="75E05220" w14:textId="77777777" w:rsidR="0086288C" w:rsidRPr="002442CD" w:rsidRDefault="0086288C" w:rsidP="0086288C">
      <w:pPr>
        <w:rPr>
          <w:rFonts w:ascii="Times New Roman" w:hAnsi="Times New Roman"/>
          <w:b/>
          <w:sz w:val="20"/>
        </w:rPr>
      </w:pPr>
      <w:r w:rsidRPr="002442CD">
        <w:rPr>
          <w:rFonts w:ascii="Times New Roman" w:hAnsi="Times New Roman"/>
          <w:b/>
          <w:sz w:val="20"/>
        </w:rPr>
        <w:lastRenderedPageBreak/>
        <w:t>Table 11: Dueling Methodologies, by Majority of Panel and Administration</w:t>
      </w:r>
    </w:p>
    <w:tbl>
      <w:tblPr>
        <w:tblStyle w:val="TableGrid"/>
        <w:tblW w:w="0" w:type="auto"/>
        <w:tblInd w:w="113" w:type="dxa"/>
        <w:tblLook w:val="04A0" w:firstRow="1" w:lastRow="0" w:firstColumn="1" w:lastColumn="0" w:noHBand="0" w:noVBand="1"/>
      </w:tblPr>
      <w:tblGrid>
        <w:gridCol w:w="1452"/>
        <w:gridCol w:w="878"/>
        <w:gridCol w:w="985"/>
        <w:gridCol w:w="1001"/>
        <w:gridCol w:w="1039"/>
        <w:gridCol w:w="987"/>
        <w:gridCol w:w="879"/>
      </w:tblGrid>
      <w:tr w:rsidR="0086288C" w:rsidRPr="005D6AFE" w14:paraId="1834B813" w14:textId="77777777" w:rsidTr="001F1D99">
        <w:tc>
          <w:tcPr>
            <w:tcW w:w="2149" w:type="dxa"/>
          </w:tcPr>
          <w:p w14:paraId="39BB9168" w14:textId="77777777" w:rsidR="0086288C" w:rsidRPr="005D6AFE" w:rsidRDefault="0086288C" w:rsidP="0086288C">
            <w:pPr>
              <w:rPr>
                <w:rFonts w:ascii="Times New Roman" w:hAnsi="Times New Roman"/>
                <w:sz w:val="16"/>
                <w:szCs w:val="16"/>
              </w:rPr>
            </w:pPr>
          </w:p>
        </w:tc>
        <w:tc>
          <w:tcPr>
            <w:tcW w:w="1162" w:type="dxa"/>
          </w:tcPr>
          <w:p w14:paraId="6BC61F51"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T&gt;P</w:t>
            </w:r>
          </w:p>
        </w:tc>
        <w:tc>
          <w:tcPr>
            <w:tcW w:w="1163" w:type="dxa"/>
          </w:tcPr>
          <w:p w14:paraId="2AAC4CC8"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P&gt;T</w:t>
            </w:r>
          </w:p>
        </w:tc>
        <w:tc>
          <w:tcPr>
            <w:tcW w:w="1212" w:type="dxa"/>
          </w:tcPr>
          <w:p w14:paraId="2F0A4CEE"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Policy</w:t>
            </w:r>
          </w:p>
        </w:tc>
        <w:tc>
          <w:tcPr>
            <w:tcW w:w="1166" w:type="dxa"/>
          </w:tcPr>
          <w:p w14:paraId="393609BF"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T&gt;T</w:t>
            </w:r>
          </w:p>
        </w:tc>
        <w:tc>
          <w:tcPr>
            <w:tcW w:w="1160" w:type="dxa"/>
          </w:tcPr>
          <w:p w14:paraId="6920C292"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Precedent</w:t>
            </w:r>
          </w:p>
        </w:tc>
        <w:tc>
          <w:tcPr>
            <w:tcW w:w="1225" w:type="dxa"/>
          </w:tcPr>
          <w:p w14:paraId="28D5413E"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Statute</w:t>
            </w:r>
          </w:p>
        </w:tc>
      </w:tr>
      <w:tr w:rsidR="0086288C" w:rsidRPr="005D6AFE" w14:paraId="36443CA2" w14:textId="77777777" w:rsidTr="001F1D99">
        <w:tc>
          <w:tcPr>
            <w:tcW w:w="2149" w:type="dxa"/>
          </w:tcPr>
          <w:p w14:paraId="39866E7E" w14:textId="51C8242D" w:rsidR="0086288C" w:rsidRPr="005D6AFE" w:rsidRDefault="005D6AFE" w:rsidP="005D6AFE">
            <w:pPr>
              <w:ind w:firstLine="0"/>
              <w:rPr>
                <w:rFonts w:ascii="Times New Roman" w:hAnsi="Times New Roman"/>
                <w:b/>
                <w:sz w:val="16"/>
                <w:szCs w:val="16"/>
              </w:rPr>
            </w:pPr>
            <w:r>
              <w:rPr>
                <w:rFonts w:ascii="Times New Roman" w:hAnsi="Times New Roman"/>
                <w:b/>
                <w:sz w:val="16"/>
                <w:szCs w:val="16"/>
              </w:rPr>
              <w:t xml:space="preserve">Dem. </w:t>
            </w:r>
            <w:r w:rsidR="0086288C" w:rsidRPr="005D6AFE">
              <w:rPr>
                <w:rFonts w:ascii="Times New Roman" w:hAnsi="Times New Roman"/>
                <w:b/>
                <w:sz w:val="16"/>
                <w:szCs w:val="16"/>
              </w:rPr>
              <w:t>Maj/Clinton</w:t>
            </w:r>
          </w:p>
        </w:tc>
        <w:tc>
          <w:tcPr>
            <w:tcW w:w="1162" w:type="dxa"/>
          </w:tcPr>
          <w:p w14:paraId="7549BD7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6</w:t>
            </w:r>
          </w:p>
        </w:tc>
        <w:tc>
          <w:tcPr>
            <w:tcW w:w="1163" w:type="dxa"/>
          </w:tcPr>
          <w:p w14:paraId="28F5D146"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13</w:t>
            </w:r>
          </w:p>
        </w:tc>
        <w:tc>
          <w:tcPr>
            <w:tcW w:w="1212" w:type="dxa"/>
          </w:tcPr>
          <w:p w14:paraId="796A44DD"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50</w:t>
            </w:r>
          </w:p>
        </w:tc>
        <w:tc>
          <w:tcPr>
            <w:tcW w:w="1166" w:type="dxa"/>
          </w:tcPr>
          <w:p w14:paraId="7CE0DBB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160" w:type="dxa"/>
          </w:tcPr>
          <w:p w14:paraId="5959675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25</w:t>
            </w:r>
          </w:p>
        </w:tc>
        <w:tc>
          <w:tcPr>
            <w:tcW w:w="1225" w:type="dxa"/>
          </w:tcPr>
          <w:p w14:paraId="55DDBA6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6</w:t>
            </w:r>
          </w:p>
        </w:tc>
      </w:tr>
      <w:tr w:rsidR="0086288C" w:rsidRPr="005D6AFE" w14:paraId="681206ED" w14:textId="77777777" w:rsidTr="001F1D99">
        <w:trPr>
          <w:trHeight w:val="20"/>
        </w:trPr>
        <w:tc>
          <w:tcPr>
            <w:tcW w:w="2149" w:type="dxa"/>
          </w:tcPr>
          <w:p w14:paraId="72D6F66E"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Rep. Maj./Clinton</w:t>
            </w:r>
          </w:p>
        </w:tc>
        <w:tc>
          <w:tcPr>
            <w:tcW w:w="1162" w:type="dxa"/>
          </w:tcPr>
          <w:p w14:paraId="3BB8C329"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163" w:type="dxa"/>
          </w:tcPr>
          <w:p w14:paraId="3A23D6A2"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212" w:type="dxa"/>
          </w:tcPr>
          <w:p w14:paraId="0BEDDD6C"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44*</w:t>
            </w:r>
          </w:p>
        </w:tc>
        <w:tc>
          <w:tcPr>
            <w:tcW w:w="1166" w:type="dxa"/>
          </w:tcPr>
          <w:p w14:paraId="3F54202C"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160" w:type="dxa"/>
          </w:tcPr>
          <w:p w14:paraId="19630AB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56</w:t>
            </w:r>
          </w:p>
        </w:tc>
        <w:tc>
          <w:tcPr>
            <w:tcW w:w="1225" w:type="dxa"/>
          </w:tcPr>
          <w:p w14:paraId="079E899D"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r>
      <w:tr w:rsidR="0086288C" w:rsidRPr="005D6AFE" w14:paraId="35037C34" w14:textId="77777777" w:rsidTr="001F1D99">
        <w:trPr>
          <w:trHeight w:val="260"/>
        </w:trPr>
        <w:tc>
          <w:tcPr>
            <w:tcW w:w="2149" w:type="dxa"/>
          </w:tcPr>
          <w:p w14:paraId="16A0A976"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Dem. Maj./Bush II</w:t>
            </w:r>
          </w:p>
        </w:tc>
        <w:tc>
          <w:tcPr>
            <w:tcW w:w="1162" w:type="dxa"/>
          </w:tcPr>
          <w:p w14:paraId="2C91D4E8"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14</w:t>
            </w:r>
          </w:p>
        </w:tc>
        <w:tc>
          <w:tcPr>
            <w:tcW w:w="1163" w:type="dxa"/>
          </w:tcPr>
          <w:p w14:paraId="71A1953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14</w:t>
            </w:r>
          </w:p>
        </w:tc>
        <w:tc>
          <w:tcPr>
            <w:tcW w:w="1212" w:type="dxa"/>
          </w:tcPr>
          <w:p w14:paraId="5EE6E72D"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14</w:t>
            </w:r>
          </w:p>
        </w:tc>
        <w:tc>
          <w:tcPr>
            <w:tcW w:w="1166" w:type="dxa"/>
          </w:tcPr>
          <w:p w14:paraId="5B3F952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43***</w:t>
            </w:r>
          </w:p>
        </w:tc>
        <w:tc>
          <w:tcPr>
            <w:tcW w:w="1160" w:type="dxa"/>
          </w:tcPr>
          <w:p w14:paraId="314A7B1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13</w:t>
            </w:r>
          </w:p>
        </w:tc>
        <w:tc>
          <w:tcPr>
            <w:tcW w:w="1225" w:type="dxa"/>
          </w:tcPr>
          <w:p w14:paraId="11604353"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r>
      <w:tr w:rsidR="0086288C" w:rsidRPr="005D6AFE" w14:paraId="554A956E" w14:textId="77777777" w:rsidTr="001F1D99">
        <w:tc>
          <w:tcPr>
            <w:tcW w:w="2149" w:type="dxa"/>
          </w:tcPr>
          <w:p w14:paraId="61C0A171"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Rep. Maj./Bush II</w:t>
            </w:r>
          </w:p>
        </w:tc>
        <w:tc>
          <w:tcPr>
            <w:tcW w:w="1162" w:type="dxa"/>
          </w:tcPr>
          <w:p w14:paraId="35FE61FD"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18</w:t>
            </w:r>
          </w:p>
        </w:tc>
        <w:tc>
          <w:tcPr>
            <w:tcW w:w="1163" w:type="dxa"/>
          </w:tcPr>
          <w:p w14:paraId="7B01FD00"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35*</w:t>
            </w:r>
          </w:p>
        </w:tc>
        <w:tc>
          <w:tcPr>
            <w:tcW w:w="1212" w:type="dxa"/>
          </w:tcPr>
          <w:p w14:paraId="1653DDE4"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18*</w:t>
            </w:r>
          </w:p>
        </w:tc>
        <w:tc>
          <w:tcPr>
            <w:tcW w:w="1166" w:type="dxa"/>
          </w:tcPr>
          <w:p w14:paraId="2A743518"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160" w:type="dxa"/>
          </w:tcPr>
          <w:p w14:paraId="47259536"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29</w:t>
            </w:r>
          </w:p>
        </w:tc>
        <w:tc>
          <w:tcPr>
            <w:tcW w:w="1225" w:type="dxa"/>
          </w:tcPr>
          <w:p w14:paraId="07DA1B00"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4</w:t>
            </w:r>
          </w:p>
        </w:tc>
      </w:tr>
      <w:tr w:rsidR="0086288C" w:rsidRPr="005D6AFE" w14:paraId="2636DE01" w14:textId="77777777" w:rsidTr="001F1D99">
        <w:trPr>
          <w:trHeight w:val="215"/>
        </w:trPr>
        <w:tc>
          <w:tcPr>
            <w:tcW w:w="2149" w:type="dxa"/>
          </w:tcPr>
          <w:p w14:paraId="29539346"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Dem. Maj/ Obama</w:t>
            </w:r>
          </w:p>
        </w:tc>
        <w:tc>
          <w:tcPr>
            <w:tcW w:w="1162" w:type="dxa"/>
          </w:tcPr>
          <w:p w14:paraId="0645B701"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25</w:t>
            </w:r>
          </w:p>
        </w:tc>
        <w:tc>
          <w:tcPr>
            <w:tcW w:w="1163" w:type="dxa"/>
          </w:tcPr>
          <w:p w14:paraId="3B8A5B49"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13</w:t>
            </w:r>
          </w:p>
        </w:tc>
        <w:tc>
          <w:tcPr>
            <w:tcW w:w="1212" w:type="dxa"/>
          </w:tcPr>
          <w:p w14:paraId="45DCC2A8"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38</w:t>
            </w:r>
          </w:p>
        </w:tc>
        <w:tc>
          <w:tcPr>
            <w:tcW w:w="1166" w:type="dxa"/>
          </w:tcPr>
          <w:p w14:paraId="41247748"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13***</w:t>
            </w:r>
          </w:p>
        </w:tc>
        <w:tc>
          <w:tcPr>
            <w:tcW w:w="1160" w:type="dxa"/>
          </w:tcPr>
          <w:p w14:paraId="2F00CD3D"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14</w:t>
            </w:r>
          </w:p>
        </w:tc>
        <w:tc>
          <w:tcPr>
            <w:tcW w:w="1225" w:type="dxa"/>
          </w:tcPr>
          <w:p w14:paraId="4CCE6CF5"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r>
      <w:tr w:rsidR="0086288C" w:rsidRPr="005D6AFE" w14:paraId="642A3F57" w14:textId="77777777" w:rsidTr="001F1D99">
        <w:trPr>
          <w:trHeight w:val="215"/>
        </w:trPr>
        <w:tc>
          <w:tcPr>
            <w:tcW w:w="2149" w:type="dxa"/>
          </w:tcPr>
          <w:p w14:paraId="21EF8E87" w14:textId="77777777" w:rsidR="0086288C" w:rsidRPr="005D6AFE" w:rsidRDefault="0086288C" w:rsidP="005D6AFE">
            <w:pPr>
              <w:ind w:firstLine="0"/>
              <w:rPr>
                <w:rFonts w:ascii="Times New Roman" w:hAnsi="Times New Roman"/>
                <w:b/>
                <w:sz w:val="16"/>
                <w:szCs w:val="16"/>
              </w:rPr>
            </w:pPr>
            <w:r w:rsidRPr="005D6AFE">
              <w:rPr>
                <w:rFonts w:ascii="Times New Roman" w:hAnsi="Times New Roman"/>
                <w:b/>
                <w:sz w:val="16"/>
                <w:szCs w:val="16"/>
              </w:rPr>
              <w:t>Rep. Maj./Obama</w:t>
            </w:r>
          </w:p>
        </w:tc>
        <w:tc>
          <w:tcPr>
            <w:tcW w:w="1162" w:type="dxa"/>
          </w:tcPr>
          <w:p w14:paraId="7E3B936D"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163" w:type="dxa"/>
          </w:tcPr>
          <w:p w14:paraId="4E93BA40"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100*</w:t>
            </w:r>
          </w:p>
        </w:tc>
        <w:tc>
          <w:tcPr>
            <w:tcW w:w="1212" w:type="dxa"/>
          </w:tcPr>
          <w:p w14:paraId="145D1A9F"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100*</w:t>
            </w:r>
          </w:p>
        </w:tc>
        <w:tc>
          <w:tcPr>
            <w:tcW w:w="1166" w:type="dxa"/>
          </w:tcPr>
          <w:p w14:paraId="52D2F26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160" w:type="dxa"/>
          </w:tcPr>
          <w:p w14:paraId="01AAD69B"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c>
          <w:tcPr>
            <w:tcW w:w="1225" w:type="dxa"/>
          </w:tcPr>
          <w:p w14:paraId="11F7A2B9" w14:textId="77777777" w:rsidR="0086288C" w:rsidRPr="005D6AFE" w:rsidRDefault="0086288C" w:rsidP="0086288C">
            <w:pPr>
              <w:rPr>
                <w:rFonts w:ascii="Times New Roman" w:hAnsi="Times New Roman"/>
                <w:sz w:val="16"/>
                <w:szCs w:val="16"/>
              </w:rPr>
            </w:pPr>
            <w:r w:rsidRPr="005D6AFE">
              <w:rPr>
                <w:rFonts w:ascii="Times New Roman" w:hAnsi="Times New Roman"/>
                <w:sz w:val="16"/>
                <w:szCs w:val="16"/>
              </w:rPr>
              <w:t>0</w:t>
            </w:r>
          </w:p>
        </w:tc>
      </w:tr>
    </w:tbl>
    <w:p w14:paraId="4DDB3370" w14:textId="77777777" w:rsidR="0086288C" w:rsidRPr="000410F3" w:rsidRDefault="0086288C" w:rsidP="005D6AFE">
      <w:pPr>
        <w:ind w:firstLine="0"/>
        <w:rPr>
          <w:rFonts w:ascii="Times New Roman" w:hAnsi="Times New Roman"/>
          <w:szCs w:val="24"/>
        </w:rPr>
      </w:pPr>
    </w:p>
    <w:p w14:paraId="6D512301" w14:textId="77777777" w:rsidR="0086288C" w:rsidRPr="002442CD" w:rsidRDefault="0086288C" w:rsidP="0086288C">
      <w:pPr>
        <w:rPr>
          <w:rFonts w:ascii="Times New Roman" w:hAnsi="Times New Roman"/>
          <w:b/>
          <w:sz w:val="20"/>
        </w:rPr>
      </w:pPr>
      <w:r w:rsidRPr="002442CD">
        <w:rPr>
          <w:rFonts w:ascii="Times New Roman" w:hAnsi="Times New Roman"/>
          <w:b/>
          <w:sz w:val="20"/>
        </w:rPr>
        <w:t>Figure 13</w:t>
      </w:r>
    </w:p>
    <w:p w14:paraId="5CB8DCF7" w14:textId="3DA1DC07" w:rsidR="0086288C" w:rsidRPr="000410F3" w:rsidRDefault="0086288C" w:rsidP="0086288C">
      <w:pPr>
        <w:rPr>
          <w:rFonts w:ascii="Times New Roman" w:hAnsi="Times New Roman"/>
          <w:szCs w:val="24"/>
        </w:rPr>
      </w:pPr>
      <w:r w:rsidRPr="0086288C">
        <w:rPr>
          <w:rFonts w:ascii="Times New Roman" w:hAnsi="Times New Roman"/>
          <w:noProof/>
          <w:szCs w:val="24"/>
        </w:rPr>
        <w:drawing>
          <wp:inline distT="0" distB="0" distL="0" distR="0" wp14:anchorId="27E5D8D6" wp14:editId="3560AC27">
            <wp:extent cx="3657600" cy="2679192"/>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2679192"/>
                    </a:xfrm>
                    <a:prstGeom prst="rect">
                      <a:avLst/>
                    </a:prstGeom>
                    <a:noFill/>
                    <a:ln>
                      <a:noFill/>
                    </a:ln>
                  </pic:spPr>
                </pic:pic>
              </a:graphicData>
            </a:graphic>
          </wp:inline>
        </w:drawing>
      </w:r>
    </w:p>
    <w:p w14:paraId="3B01D675"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In addition to the overall method, the Board also duels over different methodologies. Each case can have multiple methodologies; for instance, both the majority and dissent may “duel” on legislative history, text and policy. We see that the majority and the dissent duel in most cases, at least in part, on policy (86%), though in most cases policy considerations are a secondary factor to consider to buttress either a text-based or precedent-based argument.  But they also often “duel” on textual meaning (33%), at least in part. Dueling over text almost always occurs if there is a Republican majority. In most cases these duels on textual meaning take one of three forms: 1) one side argues for an expansionist interpretation of a term while another side contends that the term should be interpreted more narrowly or argues that policy considerations should predominate; 2) one side argues that certain Latin/language canons should be applied to inform the textual meaning of the term while the dissent feels the opposite; or 3) one side feels that the text’s meaning is plain while the other feels that it is ambiguous. </w:t>
      </w:r>
    </w:p>
    <w:p w14:paraId="508D2177"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For instance, in </w:t>
      </w:r>
      <w:r w:rsidRPr="000410F3">
        <w:rPr>
          <w:rFonts w:ascii="Times New Roman" w:hAnsi="Times New Roman"/>
          <w:i/>
          <w:szCs w:val="24"/>
        </w:rPr>
        <w:t>Alexandria Clinic, P.A.,</w:t>
      </w:r>
      <w:r w:rsidRPr="000410F3">
        <w:rPr>
          <w:rFonts w:ascii="Times New Roman" w:hAnsi="Times New Roman"/>
          <w:szCs w:val="24"/>
        </w:rPr>
        <w:t xml:space="preserve"> discussed above, the Republican-dominated made clear that the text was “clear and unambiguous” and that the Board’s earlier decision in </w:t>
      </w:r>
      <w:r w:rsidRPr="000410F3">
        <w:rPr>
          <w:rFonts w:ascii="Times New Roman" w:hAnsi="Times New Roman"/>
          <w:i/>
          <w:szCs w:val="24"/>
        </w:rPr>
        <w:t>Greater New Orleans</w:t>
      </w:r>
      <w:r w:rsidRPr="000410F3">
        <w:rPr>
          <w:rFonts w:ascii="Times New Roman" w:hAnsi="Times New Roman"/>
          <w:szCs w:val="24"/>
        </w:rPr>
        <w:t xml:space="preserve"> to rely on the </w:t>
      </w:r>
      <w:r w:rsidRPr="000410F3">
        <w:rPr>
          <w:rFonts w:ascii="Times New Roman" w:hAnsi="Times New Roman"/>
          <w:szCs w:val="24"/>
        </w:rPr>
        <w:lastRenderedPageBreak/>
        <w:t>legislative history to inform meaning concerning the scope of the notice provision of section 8(g) was inappropriate.</w:t>
      </w:r>
      <w:r w:rsidRPr="000410F3">
        <w:rPr>
          <w:rStyle w:val="FootnoteReference"/>
          <w:rFonts w:ascii="Times New Roman" w:hAnsi="Times New Roman"/>
          <w:szCs w:val="24"/>
        </w:rPr>
        <w:footnoteReference w:id="273"/>
      </w:r>
      <w:r w:rsidRPr="000410F3">
        <w:rPr>
          <w:rFonts w:ascii="Times New Roman" w:hAnsi="Times New Roman"/>
          <w:szCs w:val="24"/>
        </w:rPr>
        <w:t xml:space="preserve"> The Democratic dissenters, however, said the opposite, arguing that the text was “ambiguous” and that the statute is “unclear.”</w:t>
      </w:r>
      <w:r>
        <w:rPr>
          <w:rStyle w:val="FootnoteReference"/>
          <w:rFonts w:ascii="Times New Roman" w:hAnsi="Times New Roman"/>
          <w:szCs w:val="24"/>
        </w:rPr>
        <w:footnoteReference w:id="274"/>
      </w:r>
      <w:r>
        <w:rPr>
          <w:rFonts w:ascii="Times New Roman" w:hAnsi="Times New Roman"/>
          <w:szCs w:val="24"/>
        </w:rPr>
        <w:t xml:space="preserve"> </w:t>
      </w:r>
      <w:r w:rsidRPr="000410F3">
        <w:rPr>
          <w:rFonts w:ascii="Times New Roman" w:hAnsi="Times New Roman"/>
          <w:szCs w:val="24"/>
        </w:rPr>
        <w:t xml:space="preserve">The three graduate student TA cases likewise show how the Board flip-flops, with the majority and dissent following different approaches. Democratic Board members in </w:t>
      </w:r>
      <w:r w:rsidRPr="000168C3">
        <w:rPr>
          <w:rFonts w:ascii="Times New Roman" w:hAnsi="Times New Roman"/>
          <w:i/>
          <w:szCs w:val="24"/>
        </w:rPr>
        <w:t>NYU</w:t>
      </w:r>
      <w:r w:rsidRPr="000410F3">
        <w:rPr>
          <w:rFonts w:ascii="Times New Roman" w:hAnsi="Times New Roman"/>
          <w:szCs w:val="24"/>
        </w:rPr>
        <w:t xml:space="preserve">, </w:t>
      </w:r>
      <w:r w:rsidRPr="000168C3">
        <w:rPr>
          <w:rFonts w:ascii="Times New Roman" w:hAnsi="Times New Roman"/>
          <w:i/>
          <w:szCs w:val="24"/>
        </w:rPr>
        <w:t>Brown</w:t>
      </w:r>
      <w:r w:rsidRPr="000410F3">
        <w:rPr>
          <w:rFonts w:ascii="Times New Roman" w:hAnsi="Times New Roman"/>
          <w:szCs w:val="24"/>
        </w:rPr>
        <w:t xml:space="preserve"> and </w:t>
      </w:r>
      <w:r w:rsidRPr="000168C3">
        <w:rPr>
          <w:rFonts w:ascii="Times New Roman" w:hAnsi="Times New Roman"/>
          <w:i/>
          <w:szCs w:val="24"/>
        </w:rPr>
        <w:t xml:space="preserve">Columbia </w:t>
      </w:r>
      <w:r w:rsidRPr="000410F3">
        <w:rPr>
          <w:rFonts w:ascii="Times New Roman" w:hAnsi="Times New Roman"/>
          <w:szCs w:val="24"/>
        </w:rPr>
        <w:t xml:space="preserve">all favored an expansionist, textual approach, while Republican Board members relied on policy considerations to contend that graduate students were not TAs, contending that the non-economic nature of the relationship necessitated that TAs fall outside the coverage of the Act. </w:t>
      </w:r>
    </w:p>
    <w:p w14:paraId="5149BFB3"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 Likewise, about 20% of cases involve direct dueling over legislative history and another 30% on top of the 20% of the cases are ones in which one side cites legislative history and another does not. In most cases in which the sides “duel” over legislative history, the majority and dissent cite to different statements of the legislative history to illustrate contrasting points. Again, the nature of dueling over legislative history can take a few forms: 1) one side argues that legislative history informs meaning while the other side disputes this characterization; 2) both sides feel legislative history aids in interpretation but they disagree about its purpose or the sources that should be employed; or 3) as mentioned above, one side cites to legislative history and the other side completely ignores the opposing side’s reference to it (which happens a plurality of the time). As some examples, in </w:t>
      </w:r>
      <w:r w:rsidRPr="000410F3">
        <w:rPr>
          <w:rFonts w:ascii="Times New Roman" w:hAnsi="Times New Roman"/>
          <w:i/>
          <w:szCs w:val="24"/>
        </w:rPr>
        <w:t>Alexandria Clinic, P.A</w:t>
      </w:r>
      <w:r w:rsidRPr="000410F3">
        <w:rPr>
          <w:rFonts w:ascii="Times New Roman" w:hAnsi="Times New Roman"/>
          <w:szCs w:val="24"/>
        </w:rPr>
        <w:t>., the striking nurses case, the Board found the text clear while the Democratic dissenters relied in part on policy and legislative history to guide its interpretation.</w:t>
      </w:r>
      <w:r w:rsidRPr="000410F3">
        <w:rPr>
          <w:rStyle w:val="FootnoteReference"/>
          <w:rFonts w:ascii="Times New Roman" w:hAnsi="Times New Roman"/>
          <w:szCs w:val="24"/>
        </w:rPr>
        <w:footnoteReference w:id="275"/>
      </w:r>
      <w:r w:rsidRPr="000410F3">
        <w:rPr>
          <w:rFonts w:ascii="Times New Roman" w:hAnsi="Times New Roman"/>
          <w:szCs w:val="24"/>
        </w:rPr>
        <w:t xml:space="preserve"> The dissenters noted that the House Committee on Education and Labor and the Senate Committee on Labor and Public Welfare expressly stated that “[i]t is not the intention of the Committee that a labor organization shall be required to commence a strike or picketing at the precise time specified in the notice…”</w:t>
      </w:r>
      <w:r w:rsidRPr="000410F3">
        <w:rPr>
          <w:rStyle w:val="FootnoteReference"/>
          <w:rFonts w:ascii="Times New Roman" w:hAnsi="Times New Roman"/>
          <w:szCs w:val="24"/>
        </w:rPr>
        <w:footnoteReference w:id="276"/>
      </w:r>
      <w:r w:rsidRPr="000410F3">
        <w:rPr>
          <w:rFonts w:ascii="Times New Roman" w:hAnsi="Times New Roman"/>
          <w:szCs w:val="24"/>
        </w:rPr>
        <w:t xml:space="preserve"> As such, they argued that the Board should abandon its text-based approach and adopt a rule of reason analysis.</w:t>
      </w:r>
      <w:r w:rsidRPr="000410F3">
        <w:rPr>
          <w:rStyle w:val="FootnoteReference"/>
          <w:rFonts w:ascii="Times New Roman" w:hAnsi="Times New Roman"/>
          <w:szCs w:val="24"/>
        </w:rPr>
        <w:footnoteReference w:id="277"/>
      </w:r>
    </w:p>
    <w:p w14:paraId="154C1E55"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Likewise, majorities and dissents battle over the use of policy. In the case about the notice requirement for striking nurses, the Board and the dissent battled over the primacy of text over policy.</w:t>
      </w:r>
      <w:r w:rsidRPr="000410F3">
        <w:rPr>
          <w:rStyle w:val="FootnoteReference"/>
          <w:rFonts w:ascii="Times New Roman" w:hAnsi="Times New Roman"/>
          <w:szCs w:val="24"/>
        </w:rPr>
        <w:footnoteReference w:id="278"/>
      </w:r>
      <w:r w:rsidRPr="000410F3">
        <w:rPr>
          <w:rFonts w:ascii="Times New Roman" w:hAnsi="Times New Roman"/>
          <w:szCs w:val="24"/>
        </w:rPr>
        <w:t xml:space="preserve"> Although the Board majority discussed the policy considerations that animated its interpretation, it made clear that the text alone was dispositive in that the striking nurses had </w:t>
      </w:r>
      <w:r w:rsidRPr="000410F3">
        <w:rPr>
          <w:rFonts w:ascii="Times New Roman" w:hAnsi="Times New Roman"/>
          <w:szCs w:val="24"/>
        </w:rPr>
        <w:lastRenderedPageBreak/>
        <w:t>a mandatory duty to give notice under the plain language of the text.</w:t>
      </w:r>
      <w:r w:rsidRPr="000410F3">
        <w:rPr>
          <w:rStyle w:val="FootnoteReference"/>
          <w:rFonts w:ascii="Times New Roman" w:hAnsi="Times New Roman"/>
          <w:szCs w:val="24"/>
        </w:rPr>
        <w:footnoteReference w:id="279"/>
      </w:r>
      <w:r w:rsidRPr="000410F3">
        <w:rPr>
          <w:rFonts w:ascii="Times New Roman" w:hAnsi="Times New Roman"/>
          <w:szCs w:val="24"/>
        </w:rPr>
        <w:t xml:space="preserve"> It reiterated its own policy argument that Congress deliberately created the notice requirement to be mandatory so as to ensure that a sudden strike did not impair patient health.</w:t>
      </w:r>
      <w:r w:rsidRPr="000410F3">
        <w:rPr>
          <w:rStyle w:val="FootnoteReference"/>
          <w:rFonts w:ascii="Times New Roman" w:hAnsi="Times New Roman"/>
          <w:szCs w:val="24"/>
        </w:rPr>
        <w:footnoteReference w:id="280"/>
      </w:r>
      <w:r w:rsidRPr="000410F3">
        <w:rPr>
          <w:rFonts w:ascii="Times New Roman" w:hAnsi="Times New Roman"/>
          <w:szCs w:val="24"/>
        </w:rPr>
        <w:t xml:space="preserve"> The Democratic dissenters, on the other hand, wanted to interpret the Act more loosely, arguing that it is “[l]ooking beyond the text [of a statute] for guidance is perfectly proper when the result it apparently decrees is difficult to fathom or where it seems inconsistent with Congress’ intent.”</w:t>
      </w:r>
      <w:r w:rsidRPr="000410F3">
        <w:rPr>
          <w:rStyle w:val="FootnoteReference"/>
          <w:rFonts w:ascii="Times New Roman" w:hAnsi="Times New Roman"/>
          <w:szCs w:val="24"/>
        </w:rPr>
        <w:footnoteReference w:id="281"/>
      </w:r>
      <w:r w:rsidRPr="000410F3">
        <w:rPr>
          <w:rFonts w:ascii="Times New Roman" w:hAnsi="Times New Roman"/>
          <w:szCs w:val="24"/>
        </w:rPr>
        <w:t xml:space="preserve"> The dissenters thought it “absurd” that Congress “intended to put employees’ jobs in peril simply because their union was not absolutely punctual.”</w:t>
      </w:r>
      <w:r w:rsidRPr="000410F3">
        <w:rPr>
          <w:rStyle w:val="FootnoteReference"/>
          <w:rFonts w:ascii="Times New Roman" w:hAnsi="Times New Roman"/>
          <w:szCs w:val="24"/>
        </w:rPr>
        <w:footnoteReference w:id="282"/>
      </w:r>
      <w:r w:rsidRPr="000410F3">
        <w:rPr>
          <w:rFonts w:ascii="Times New Roman" w:hAnsi="Times New Roman"/>
          <w:szCs w:val="24"/>
        </w:rPr>
        <w:t xml:space="preserve"> As such, they advanced a rule of reason approach to guide interpretation of section 8(g).</w:t>
      </w:r>
      <w:r w:rsidRPr="000410F3">
        <w:rPr>
          <w:rStyle w:val="FootnoteReference"/>
          <w:rFonts w:ascii="Times New Roman" w:hAnsi="Times New Roman"/>
          <w:szCs w:val="24"/>
        </w:rPr>
        <w:footnoteReference w:id="283"/>
      </w:r>
      <w:r w:rsidRPr="000410F3">
        <w:rPr>
          <w:rFonts w:ascii="Times New Roman" w:hAnsi="Times New Roman"/>
          <w:szCs w:val="24"/>
        </w:rPr>
        <w:t xml:space="preserve"> They argued that the majority could not advance any reason why a short delay would impair patient care: “Where a union’s delay in striking is so short that an institution’s arrangements for continuity of care are almost certainly still in place… application of the loss-of-statute provision is simply punitive.”</w:t>
      </w:r>
      <w:r w:rsidRPr="000410F3">
        <w:rPr>
          <w:rStyle w:val="FootnoteReference"/>
          <w:rFonts w:ascii="Times New Roman" w:hAnsi="Times New Roman"/>
          <w:szCs w:val="24"/>
        </w:rPr>
        <w:footnoteReference w:id="284"/>
      </w:r>
      <w:r w:rsidRPr="000410F3">
        <w:rPr>
          <w:rFonts w:ascii="Times New Roman" w:hAnsi="Times New Roman"/>
          <w:szCs w:val="24"/>
        </w:rPr>
        <w:t xml:space="preserve"> They ended with the notion that “Congress made the policy choice” in advancing a “rule of reason” and as such the Board was duty bound to honor that choice.</w:t>
      </w:r>
      <w:r w:rsidRPr="000410F3">
        <w:rPr>
          <w:rStyle w:val="FootnoteReference"/>
          <w:rFonts w:ascii="Times New Roman" w:hAnsi="Times New Roman"/>
          <w:szCs w:val="24"/>
        </w:rPr>
        <w:footnoteReference w:id="285"/>
      </w:r>
    </w:p>
    <w:p w14:paraId="2434505D"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 xml:space="preserve">Both majority and dissent duel over practical considerations. To 95% confidence, there has been an increase over time with the Board more frequently dueling over practical considerations than it did during the Clinton administration.  Part of this may be due to the fact that the Board seems to interpret cases more with a policy-based focus, and as such, the dissent tends to use practical reasoning to attack the policy-based focus of the majority opinion. Another reason may be due to the personal proclivities of the Obama Board, as Board members Miscimarra and Johnson frequently write long dissents where they discuss practical consideration, as one among many reasons for their dispute with the majority. </w:t>
      </w:r>
    </w:p>
    <w:p w14:paraId="05FBBD15" w14:textId="77777777" w:rsidR="0086288C" w:rsidRDefault="0086288C" w:rsidP="0086288C">
      <w:pPr>
        <w:ind w:firstLine="720"/>
        <w:rPr>
          <w:rFonts w:ascii="Times New Roman" w:hAnsi="Times New Roman"/>
          <w:szCs w:val="24"/>
        </w:rPr>
      </w:pPr>
      <w:r w:rsidRPr="000410F3">
        <w:rPr>
          <w:rFonts w:ascii="Times New Roman" w:hAnsi="Times New Roman"/>
          <w:szCs w:val="24"/>
        </w:rPr>
        <w:t xml:space="preserve">Finally, both the majority and dissent duel over the use of precedent, and whether higher court precedent should govern a given case. In 12% of cases, the majority cites a given precedent but the dissent comes back making either a policy argument or contending that the text and/or the text and legislative history dictate the outcome. Board members also bicker over which precedent to apply. In 18% of cases, one side argues that Board precedent applies while the other side argues that either the Supreme Court or the higher level court of appeals should govern the outcome of the case. </w:t>
      </w:r>
      <w:r w:rsidRPr="000410F3">
        <w:rPr>
          <w:rFonts w:ascii="Times New Roman" w:hAnsi="Times New Roman"/>
          <w:szCs w:val="24"/>
        </w:rPr>
        <w:lastRenderedPageBreak/>
        <w:t>Further, in 28% of cases, the Board’s battle con</w:t>
      </w:r>
      <w:r>
        <w:rPr>
          <w:rFonts w:ascii="Times New Roman" w:hAnsi="Times New Roman"/>
          <w:szCs w:val="24"/>
        </w:rPr>
        <w:t xml:space="preserve">cerning precedent is internal  — </w:t>
      </w:r>
      <w:r w:rsidRPr="000410F3">
        <w:rPr>
          <w:rFonts w:ascii="Times New Roman" w:hAnsi="Times New Roman"/>
          <w:szCs w:val="24"/>
        </w:rPr>
        <w:t>both sides agree that Board precedent dictates the outcome but the two sides quarrel over how the precedent should be applied. For instance, the Board frequently argues whether Railway Act cases should apply to provide insight into a given dispute. In such a way, the Board’s disagreements about precedent might be seen somewhat as disagreement about policy.</w:t>
      </w:r>
    </w:p>
    <w:p w14:paraId="602A3094" w14:textId="77777777" w:rsidR="005D6AFE" w:rsidRPr="000410F3" w:rsidRDefault="005D6AFE" w:rsidP="0086288C">
      <w:pPr>
        <w:ind w:firstLine="720"/>
        <w:rPr>
          <w:rFonts w:ascii="Times New Roman" w:hAnsi="Times New Roman"/>
          <w:szCs w:val="24"/>
        </w:rPr>
      </w:pPr>
    </w:p>
    <w:p w14:paraId="25917212" w14:textId="77777777" w:rsidR="0086288C" w:rsidRDefault="0086288C" w:rsidP="001A4D77">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How Should the Board Interpret Statutes?</w:t>
      </w:r>
    </w:p>
    <w:p w14:paraId="4D9691C1" w14:textId="77777777" w:rsidR="005D6AFE" w:rsidRPr="002442CD" w:rsidRDefault="005D6AFE" w:rsidP="005D6AFE">
      <w:pPr>
        <w:pStyle w:val="ListParagraph"/>
        <w:spacing w:after="0" w:line="240" w:lineRule="auto"/>
        <w:ind w:left="1080"/>
        <w:rPr>
          <w:rFonts w:ascii="Times New Roman" w:hAnsi="Times New Roman"/>
          <w:b/>
          <w:sz w:val="24"/>
          <w:szCs w:val="24"/>
        </w:rPr>
      </w:pPr>
    </w:p>
    <w:p w14:paraId="57D1F328" w14:textId="77777777" w:rsidR="0086288C" w:rsidRDefault="0086288C" w:rsidP="0086288C">
      <w:pPr>
        <w:ind w:firstLine="720"/>
        <w:rPr>
          <w:rFonts w:ascii="Times New Roman" w:hAnsi="Times New Roman"/>
          <w:szCs w:val="24"/>
        </w:rPr>
      </w:pPr>
      <w:r w:rsidRPr="000410F3">
        <w:rPr>
          <w:rFonts w:ascii="Times New Roman" w:hAnsi="Times New Roman"/>
          <w:szCs w:val="24"/>
        </w:rPr>
        <w:t xml:space="preserve">What can we say about how the Board interprets statutes and what lessons </w:t>
      </w:r>
      <w:r>
        <w:rPr>
          <w:rFonts w:ascii="Times New Roman" w:hAnsi="Times New Roman"/>
          <w:szCs w:val="24"/>
        </w:rPr>
        <w:t xml:space="preserve">from the analysis of the NLRB </w:t>
      </w:r>
      <w:r w:rsidRPr="000410F3">
        <w:rPr>
          <w:rFonts w:ascii="Times New Roman" w:hAnsi="Times New Roman"/>
          <w:szCs w:val="24"/>
        </w:rPr>
        <w:t xml:space="preserve">can we glean for administrative agencies more generally? </w:t>
      </w:r>
      <w:r>
        <w:rPr>
          <w:rFonts w:ascii="Times New Roman" w:hAnsi="Times New Roman"/>
          <w:szCs w:val="24"/>
        </w:rPr>
        <w:t xml:space="preserve">The </w:t>
      </w:r>
      <w:r w:rsidRPr="000410F3">
        <w:rPr>
          <w:rFonts w:ascii="Times New Roman" w:hAnsi="Times New Roman"/>
          <w:szCs w:val="24"/>
        </w:rPr>
        <w:t>results here provide support to the Llewellyn view that since the canons do not constrain voting against preferences, Board members may not be basing their decisions on neutral legal rules.</w:t>
      </w:r>
      <w:r w:rsidRPr="000410F3">
        <w:rPr>
          <w:rStyle w:val="FootnoteReference"/>
          <w:rFonts w:ascii="Times New Roman" w:hAnsi="Times New Roman"/>
          <w:szCs w:val="24"/>
        </w:rPr>
        <w:footnoteReference w:id="286"/>
      </w:r>
      <w:r w:rsidRPr="000410F3">
        <w:rPr>
          <w:rFonts w:ascii="Times New Roman" w:hAnsi="Times New Roman"/>
          <w:szCs w:val="24"/>
        </w:rPr>
        <w:t xml:space="preserve"> In all, it seems that Bo</w:t>
      </w:r>
      <w:r>
        <w:rPr>
          <w:rFonts w:ascii="Times New Roman" w:hAnsi="Times New Roman"/>
          <w:szCs w:val="24"/>
        </w:rPr>
        <w:t>ard members have no rhyme or reason in using canons to</w:t>
      </w:r>
      <w:r w:rsidRPr="000410F3">
        <w:rPr>
          <w:rFonts w:ascii="Times New Roman" w:hAnsi="Times New Roman"/>
          <w:szCs w:val="24"/>
        </w:rPr>
        <w:t xml:space="preserve"> advance policy views.</w:t>
      </w:r>
      <w:r w:rsidRPr="000410F3">
        <w:rPr>
          <w:rStyle w:val="FootnoteReference"/>
          <w:rFonts w:ascii="Times New Roman" w:hAnsi="Times New Roman"/>
          <w:szCs w:val="24"/>
        </w:rPr>
        <w:footnoteReference w:id="287"/>
      </w:r>
      <w:r w:rsidRPr="000410F3">
        <w:rPr>
          <w:rFonts w:ascii="Times New Roman" w:hAnsi="Times New Roman"/>
          <w:szCs w:val="24"/>
        </w:rPr>
        <w:t xml:space="preserve"> The fact that Board members often use the same statutory methodology to advance opposing points lends support to textualists who bemoan the unpredictability that purposive interpretive canons imply. But the results here undermine the textualist approach as well; a statute can be read so that its terms are construed broadly or narrowly.</w:t>
      </w:r>
      <w:r w:rsidRPr="000410F3">
        <w:rPr>
          <w:rStyle w:val="FootnoteReference"/>
          <w:rFonts w:ascii="Times New Roman" w:hAnsi="Times New Roman"/>
          <w:szCs w:val="24"/>
        </w:rPr>
        <w:footnoteReference w:id="288"/>
      </w:r>
      <w:r w:rsidRPr="000410F3">
        <w:rPr>
          <w:rFonts w:ascii="Times New Roman" w:hAnsi="Times New Roman"/>
          <w:szCs w:val="24"/>
        </w:rPr>
        <w:t xml:space="preserve"> This leads to the question: How should the Board (and policy-oriented administrative agencies in general) interpret statutes? </w:t>
      </w:r>
      <w:r>
        <w:rPr>
          <w:rFonts w:ascii="Times New Roman" w:hAnsi="Times New Roman"/>
          <w:szCs w:val="24"/>
        </w:rPr>
        <w:t>It interprets statutes much like a court would.</w:t>
      </w:r>
      <w:r w:rsidRPr="00477122">
        <w:rPr>
          <w:rStyle w:val="FootnoteReference"/>
          <w:rFonts w:ascii="Times New Roman" w:hAnsi="Times New Roman"/>
          <w:szCs w:val="24"/>
        </w:rPr>
        <w:t xml:space="preserve"> </w:t>
      </w:r>
      <w:r w:rsidRPr="000410F3">
        <w:rPr>
          <w:rStyle w:val="FootnoteReference"/>
          <w:rFonts w:ascii="Times New Roman" w:hAnsi="Times New Roman"/>
          <w:szCs w:val="24"/>
        </w:rPr>
        <w:footnoteReference w:id="289"/>
      </w:r>
      <w:r>
        <w:rPr>
          <w:rFonts w:ascii="Times New Roman" w:hAnsi="Times New Roman"/>
          <w:szCs w:val="24"/>
        </w:rPr>
        <w:t xml:space="preserve"> In this section, in Part III.A, I first discuss some of the pitfalls that agencies face when interpreting statutes the way courts do. Then, in Part III.B, I  echo the reasoning of other scholars who argue that agencies advance a purposive method of interpretation. In doing so, however, I talk specifically on how a purposive approach may work in practice at the NLRB, arguing that agencies should leverage their considerable expertise in interpreting statutes using relevant social science data available to them. I then make the case for why rulemaking may be the best vehicle for agencies to advance important statutory interpretation so as to best balance the competing objectives of policy coherence, stability and democratic accountability.  </w:t>
      </w:r>
    </w:p>
    <w:p w14:paraId="246279D9" w14:textId="77777777" w:rsidR="005D6AFE" w:rsidRDefault="005D6AFE" w:rsidP="0086288C">
      <w:pPr>
        <w:ind w:firstLine="720"/>
        <w:rPr>
          <w:rFonts w:ascii="Times New Roman" w:hAnsi="Times New Roman"/>
          <w:szCs w:val="24"/>
        </w:rPr>
      </w:pPr>
    </w:p>
    <w:p w14:paraId="2C6A1E79" w14:textId="77777777" w:rsidR="0086288C" w:rsidRDefault="0086288C" w:rsidP="001A4D77">
      <w:pPr>
        <w:pStyle w:val="ListParagraph"/>
        <w:numPr>
          <w:ilvl w:val="0"/>
          <w:numId w:val="15"/>
        </w:numPr>
        <w:spacing w:after="0" w:line="240" w:lineRule="auto"/>
        <w:rPr>
          <w:rFonts w:ascii="Times New Roman" w:hAnsi="Times New Roman"/>
          <w:b/>
          <w:sz w:val="24"/>
          <w:szCs w:val="24"/>
        </w:rPr>
      </w:pPr>
      <w:r w:rsidRPr="00A44133">
        <w:rPr>
          <w:rFonts w:ascii="Times New Roman" w:hAnsi="Times New Roman"/>
          <w:b/>
          <w:sz w:val="24"/>
          <w:szCs w:val="24"/>
        </w:rPr>
        <w:lastRenderedPageBreak/>
        <w:t>Pitfalls in Construing Statutes Like Courts</w:t>
      </w:r>
    </w:p>
    <w:p w14:paraId="241FDACD" w14:textId="77777777" w:rsidR="001E2B74" w:rsidRPr="00A44133" w:rsidRDefault="001E2B74" w:rsidP="001E2B74">
      <w:pPr>
        <w:pStyle w:val="ListParagraph"/>
        <w:spacing w:after="0" w:line="240" w:lineRule="auto"/>
        <w:rPr>
          <w:rFonts w:ascii="Times New Roman" w:hAnsi="Times New Roman"/>
          <w:b/>
          <w:sz w:val="24"/>
          <w:szCs w:val="24"/>
        </w:rPr>
      </w:pPr>
    </w:p>
    <w:p w14:paraId="25E45AC7" w14:textId="16F9C457" w:rsidR="0086288C" w:rsidRDefault="0086288C" w:rsidP="005D6AFE">
      <w:pPr>
        <w:ind w:firstLine="720"/>
        <w:rPr>
          <w:rFonts w:ascii="Times New Roman" w:hAnsi="Times New Roman"/>
          <w:szCs w:val="24"/>
        </w:rPr>
      </w:pPr>
      <w:r w:rsidRPr="00570E38">
        <w:rPr>
          <w:rFonts w:ascii="Times New Roman" w:hAnsi="Times New Roman"/>
          <w:szCs w:val="24"/>
        </w:rPr>
        <w:t xml:space="preserve">The results of this study underscore possible problems with how agencies may interpret statutes. </w:t>
      </w:r>
      <w:r>
        <w:rPr>
          <w:rFonts w:ascii="Times New Roman" w:hAnsi="Times New Roman"/>
          <w:szCs w:val="24"/>
        </w:rPr>
        <w:t>While scholars have long contended that agencies should interpret statutes differently than courts do, in practice, agencies interpret statutes like courts</w:t>
      </w:r>
      <w:r w:rsidR="00D57B0C">
        <w:rPr>
          <w:rFonts w:ascii="Times New Roman" w:hAnsi="Times New Roman"/>
          <w:szCs w:val="24"/>
        </w:rPr>
        <w:t xml:space="preserve"> as this study reveals</w:t>
      </w:r>
      <w:r>
        <w:rPr>
          <w:rFonts w:ascii="Times New Roman" w:hAnsi="Times New Roman"/>
          <w:szCs w:val="24"/>
        </w:rPr>
        <w:t xml:space="preserve">. </w:t>
      </w:r>
      <w:r w:rsidRPr="00570E38">
        <w:rPr>
          <w:rFonts w:ascii="Times New Roman" w:hAnsi="Times New Roman"/>
          <w:szCs w:val="24"/>
        </w:rPr>
        <w:t>Administrative statutory interpretation may simply be too judicialized.</w:t>
      </w:r>
      <w:r>
        <w:rPr>
          <w:rFonts w:ascii="Times New Roman" w:hAnsi="Times New Roman"/>
          <w:szCs w:val="24"/>
        </w:rPr>
        <w:t xml:space="preserve"> This judicialization extends to all aspects of the litigation process.</w:t>
      </w:r>
      <w:r>
        <w:rPr>
          <w:rStyle w:val="FootnoteReference"/>
          <w:rFonts w:ascii="Times New Roman" w:hAnsi="Times New Roman"/>
          <w:szCs w:val="24"/>
        </w:rPr>
        <w:footnoteReference w:id="290"/>
      </w:r>
      <w:r w:rsidRPr="00570E38">
        <w:rPr>
          <w:rFonts w:ascii="Times New Roman" w:hAnsi="Times New Roman"/>
          <w:szCs w:val="24"/>
        </w:rPr>
        <w:t xml:space="preserve"> </w:t>
      </w:r>
      <w:r>
        <w:rPr>
          <w:rFonts w:ascii="Times New Roman" w:hAnsi="Times New Roman"/>
          <w:szCs w:val="24"/>
        </w:rPr>
        <w:t xml:space="preserve">In particular, the empirical results of this study point to three potential problems in how the NLRB interprets statutes. First, its reliance on precedent to justify decisions may simply be a veil to disguise its policymaking. Second, the Board’s overreliance on certain textual canons — in  particular the whole code rule and the whole act rule — may result in the Board making decisions on statutes that bear little relationship to congressional intent about statutory purpose. Finally, the Board’s selective use of legislative history — especially when it uses history as a limiter on the text — results in the Board making decisions that may stray from its statutory directive. </w:t>
      </w:r>
    </w:p>
    <w:p w14:paraId="1E5BE07D" w14:textId="77777777" w:rsidR="005D6AFE" w:rsidRDefault="005D6AFE" w:rsidP="005D6AFE">
      <w:pPr>
        <w:ind w:firstLine="720"/>
        <w:rPr>
          <w:rFonts w:ascii="Times New Roman" w:hAnsi="Times New Roman"/>
          <w:szCs w:val="24"/>
        </w:rPr>
      </w:pPr>
    </w:p>
    <w:p w14:paraId="447B4E19" w14:textId="43520B40" w:rsidR="0086288C" w:rsidRPr="001E2B74" w:rsidRDefault="0086288C" w:rsidP="001E2B74">
      <w:pPr>
        <w:pStyle w:val="ListParagraph"/>
        <w:numPr>
          <w:ilvl w:val="0"/>
          <w:numId w:val="28"/>
        </w:numPr>
        <w:rPr>
          <w:rFonts w:ascii="Times New Roman" w:hAnsi="Times New Roman"/>
          <w:b/>
          <w:szCs w:val="24"/>
        </w:rPr>
      </w:pPr>
      <w:r w:rsidRPr="001E2B74">
        <w:rPr>
          <w:rFonts w:ascii="Times New Roman" w:hAnsi="Times New Roman"/>
          <w:b/>
          <w:szCs w:val="24"/>
        </w:rPr>
        <w:t>Use of Precedent to Hide Policymaking</w:t>
      </w:r>
    </w:p>
    <w:p w14:paraId="3FFF91B6" w14:textId="77777777" w:rsidR="005D6AFE" w:rsidRPr="00E31682" w:rsidRDefault="005D6AFE" w:rsidP="005D6AFE">
      <w:pPr>
        <w:pStyle w:val="ListParagraph"/>
        <w:spacing w:after="0" w:line="240" w:lineRule="auto"/>
        <w:ind w:left="1440"/>
        <w:rPr>
          <w:rFonts w:ascii="Times New Roman" w:hAnsi="Times New Roman"/>
          <w:b/>
          <w:sz w:val="24"/>
          <w:szCs w:val="24"/>
        </w:rPr>
      </w:pPr>
    </w:p>
    <w:p w14:paraId="496FEBB3" w14:textId="74A4DD80" w:rsidR="0086288C" w:rsidRDefault="0086288C" w:rsidP="0086288C">
      <w:pPr>
        <w:ind w:firstLine="720"/>
        <w:rPr>
          <w:rFonts w:ascii="Times New Roman" w:hAnsi="Times New Roman"/>
          <w:szCs w:val="24"/>
        </w:rPr>
      </w:pPr>
      <w:r>
        <w:rPr>
          <w:rFonts w:ascii="Times New Roman" w:hAnsi="Times New Roman"/>
          <w:szCs w:val="24"/>
        </w:rPr>
        <w:t>A</w:t>
      </w:r>
      <w:r w:rsidRPr="00570E38">
        <w:rPr>
          <w:rFonts w:ascii="Times New Roman" w:hAnsi="Times New Roman"/>
          <w:szCs w:val="24"/>
        </w:rPr>
        <w:t>gencies may rely too much on precedent</w:t>
      </w:r>
      <w:r>
        <w:rPr>
          <w:rFonts w:ascii="Times New Roman" w:hAnsi="Times New Roman"/>
          <w:szCs w:val="24"/>
        </w:rPr>
        <w:t xml:space="preserve"> created by judicial bodies</w:t>
      </w:r>
      <w:r w:rsidRPr="00570E38">
        <w:rPr>
          <w:rFonts w:ascii="Times New Roman" w:hAnsi="Times New Roman"/>
          <w:szCs w:val="24"/>
        </w:rPr>
        <w:t xml:space="preserve"> to assist in interpreting</w:t>
      </w:r>
      <w:r>
        <w:rPr>
          <w:rFonts w:ascii="Times New Roman" w:hAnsi="Times New Roman"/>
          <w:szCs w:val="24"/>
        </w:rPr>
        <w:t xml:space="preserve"> their own governing</w:t>
      </w:r>
      <w:r w:rsidRPr="00570E38">
        <w:rPr>
          <w:rFonts w:ascii="Times New Roman" w:hAnsi="Times New Roman"/>
          <w:szCs w:val="24"/>
        </w:rPr>
        <w:t xml:space="preserve"> statutes. In a large percentage of cases the NLRB makes its statutory interpretation by cobbling together snippets of caselaw in its “quest for coherence… to advance[] a narrative that is…part of the American legal tradition.”</w:t>
      </w:r>
      <w:r w:rsidRPr="000410F3">
        <w:rPr>
          <w:rStyle w:val="FootnoteReference"/>
          <w:rFonts w:ascii="Times New Roman" w:hAnsi="Times New Roman"/>
          <w:szCs w:val="24"/>
        </w:rPr>
        <w:footnoteReference w:id="291"/>
      </w:r>
      <w:r>
        <w:rPr>
          <w:rFonts w:ascii="Times New Roman" w:hAnsi="Times New Roman"/>
          <w:szCs w:val="24"/>
        </w:rPr>
        <w:t xml:space="preserve"> </w:t>
      </w:r>
      <w:r w:rsidRPr="00570E38">
        <w:rPr>
          <w:rFonts w:ascii="Times New Roman" w:hAnsi="Times New Roman"/>
          <w:szCs w:val="24"/>
        </w:rPr>
        <w:t>But using precedent to ground first impression statutory decisions may not be appropriate in the administrative law context.</w:t>
      </w:r>
      <w:r w:rsidRPr="000410F3">
        <w:rPr>
          <w:rStyle w:val="FootnoteReference"/>
          <w:rFonts w:ascii="Times New Roman" w:hAnsi="Times New Roman"/>
          <w:szCs w:val="24"/>
        </w:rPr>
        <w:footnoteReference w:id="292"/>
      </w:r>
      <w:r w:rsidRPr="00570E38">
        <w:rPr>
          <w:rFonts w:ascii="Times New Roman" w:hAnsi="Times New Roman"/>
          <w:szCs w:val="24"/>
        </w:rPr>
        <w:t xml:space="preserve"> </w:t>
      </w:r>
      <w:r>
        <w:rPr>
          <w:rFonts w:ascii="Times New Roman" w:hAnsi="Times New Roman"/>
          <w:szCs w:val="24"/>
        </w:rPr>
        <w:t>In addition to the fact that there is rarely one precedent that mandates a given result, law is not as path dependent in the administrative context.</w:t>
      </w:r>
      <w:r>
        <w:rPr>
          <w:rStyle w:val="FootnoteReference"/>
          <w:rFonts w:ascii="Times New Roman" w:hAnsi="Times New Roman"/>
          <w:szCs w:val="24"/>
        </w:rPr>
        <w:footnoteReference w:id="293"/>
      </w:r>
      <w:r>
        <w:rPr>
          <w:rFonts w:ascii="Times New Roman" w:hAnsi="Times New Roman"/>
          <w:szCs w:val="24"/>
        </w:rPr>
        <w:t xml:space="preserve"> </w:t>
      </w:r>
      <w:r w:rsidRPr="000410F3">
        <w:rPr>
          <w:rFonts w:ascii="Times New Roman" w:hAnsi="Times New Roman"/>
          <w:szCs w:val="24"/>
        </w:rPr>
        <w:t>Indeed, Karl N. Llewellyn noted there were at least 64 ways in which courts can apply prior precedent.</w:t>
      </w:r>
      <w:r w:rsidRPr="000410F3">
        <w:rPr>
          <w:rStyle w:val="FootnoteReference"/>
          <w:rFonts w:ascii="Times New Roman" w:hAnsi="Times New Roman"/>
          <w:szCs w:val="24"/>
        </w:rPr>
        <w:footnoteReference w:id="294"/>
      </w:r>
      <w:r>
        <w:rPr>
          <w:rFonts w:ascii="Times New Roman" w:hAnsi="Times New Roman"/>
          <w:szCs w:val="24"/>
        </w:rPr>
        <w:t xml:space="preserve"> </w:t>
      </w:r>
      <w:r w:rsidRPr="00570E38">
        <w:rPr>
          <w:rFonts w:ascii="Times New Roman" w:hAnsi="Times New Roman"/>
          <w:szCs w:val="24"/>
        </w:rPr>
        <w:t>In particular, agencies’ citation of federal courts may be especially problematic.</w:t>
      </w:r>
      <w:r w:rsidRPr="000410F3">
        <w:rPr>
          <w:rStyle w:val="FootnoteReference"/>
          <w:rFonts w:ascii="Times New Roman" w:hAnsi="Times New Roman"/>
          <w:szCs w:val="24"/>
        </w:rPr>
        <w:footnoteReference w:id="295"/>
      </w:r>
      <w:r w:rsidRPr="00570E38">
        <w:rPr>
          <w:rFonts w:ascii="Times New Roman" w:hAnsi="Times New Roman"/>
          <w:szCs w:val="24"/>
        </w:rPr>
        <w:t xml:space="preserve"> The NLRB</w:t>
      </w:r>
      <w:r w:rsidR="00D57B0C">
        <w:rPr>
          <w:rFonts w:ascii="Times New Roman" w:hAnsi="Times New Roman"/>
          <w:szCs w:val="24"/>
        </w:rPr>
        <w:t xml:space="preserve"> </w:t>
      </w:r>
      <w:r w:rsidRPr="00570E38">
        <w:rPr>
          <w:rFonts w:ascii="Times New Roman" w:hAnsi="Times New Roman"/>
          <w:szCs w:val="24"/>
        </w:rPr>
        <w:t xml:space="preserve">may cite a Sixth Circuit case as the basis for its statutory construction, even though </w:t>
      </w:r>
      <w:r w:rsidRPr="00570E38">
        <w:rPr>
          <w:rFonts w:ascii="Times New Roman" w:hAnsi="Times New Roman"/>
          <w:szCs w:val="24"/>
        </w:rPr>
        <w:lastRenderedPageBreak/>
        <w:t xml:space="preserve">that particular precedent has no bearing as far as precedent and the NLBR in general has long had a policy of nonacquiescence to appellate decisions. Board members </w:t>
      </w:r>
      <w:r>
        <w:rPr>
          <w:rFonts w:ascii="Times New Roman" w:hAnsi="Times New Roman"/>
          <w:szCs w:val="24"/>
        </w:rPr>
        <w:t>should</w:t>
      </w:r>
      <w:r w:rsidRPr="00570E38">
        <w:rPr>
          <w:rFonts w:ascii="Times New Roman" w:hAnsi="Times New Roman"/>
          <w:szCs w:val="24"/>
        </w:rPr>
        <w:t xml:space="preserve"> be more circumspect in the use of precedent to justify statutory</w:t>
      </w:r>
      <w:r>
        <w:rPr>
          <w:rFonts w:ascii="Times New Roman" w:hAnsi="Times New Roman"/>
          <w:szCs w:val="24"/>
        </w:rPr>
        <w:t xml:space="preserve"> reasoning. They</w:t>
      </w:r>
      <w:r w:rsidRPr="00570E38">
        <w:rPr>
          <w:rFonts w:ascii="Times New Roman" w:hAnsi="Times New Roman"/>
          <w:szCs w:val="24"/>
        </w:rPr>
        <w:t xml:space="preserve"> should make a distinction between citing cases simply because they must be adhered to as opposed to being simply persuasive authority.</w:t>
      </w:r>
      <w:r w:rsidRPr="000410F3">
        <w:rPr>
          <w:rStyle w:val="FootnoteReference"/>
          <w:rFonts w:ascii="Times New Roman" w:hAnsi="Times New Roman"/>
          <w:szCs w:val="24"/>
        </w:rPr>
        <w:footnoteReference w:id="296"/>
      </w:r>
      <w:r>
        <w:rPr>
          <w:rFonts w:ascii="Times New Roman" w:hAnsi="Times New Roman"/>
          <w:szCs w:val="24"/>
        </w:rPr>
        <w:t xml:space="preserve"> </w:t>
      </w:r>
    </w:p>
    <w:p w14:paraId="65B20AF7" w14:textId="68E98219" w:rsidR="0086288C" w:rsidRDefault="0086288C" w:rsidP="0086288C">
      <w:pPr>
        <w:ind w:firstLine="720"/>
        <w:rPr>
          <w:rFonts w:ascii="Times New Roman" w:hAnsi="Times New Roman"/>
          <w:szCs w:val="24"/>
        </w:rPr>
      </w:pPr>
      <w:r w:rsidRPr="00AA4D70">
        <w:rPr>
          <w:rFonts w:ascii="Times New Roman" w:hAnsi="Times New Roman"/>
          <w:szCs w:val="24"/>
        </w:rPr>
        <w:t xml:space="preserve">Moreover, </w:t>
      </w:r>
      <w:r>
        <w:rPr>
          <w:rFonts w:ascii="Times New Roman" w:hAnsi="Times New Roman"/>
          <w:szCs w:val="24"/>
        </w:rPr>
        <w:t>t</w:t>
      </w:r>
      <w:r w:rsidRPr="00AA4D70">
        <w:rPr>
          <w:rFonts w:ascii="Times New Roman" w:hAnsi="Times New Roman"/>
          <w:szCs w:val="24"/>
        </w:rPr>
        <w:t xml:space="preserve">here is necessarily a tension between statutory </w:t>
      </w:r>
      <w:r w:rsidRPr="000168C3">
        <w:rPr>
          <w:rFonts w:ascii="Times New Roman" w:hAnsi="Times New Roman"/>
          <w:i/>
          <w:szCs w:val="24"/>
        </w:rPr>
        <w:t>stare decisis</w:t>
      </w:r>
      <w:r w:rsidRPr="00AA4D70">
        <w:rPr>
          <w:rFonts w:ascii="Times New Roman" w:hAnsi="Times New Roman"/>
          <w:szCs w:val="24"/>
        </w:rPr>
        <w:t xml:space="preserve"> and the benefit that ensures in ensuring that the meaning of a statute is settled and can be consistently relied upon.</w:t>
      </w:r>
      <w:r w:rsidRPr="000410F3">
        <w:rPr>
          <w:rStyle w:val="FootnoteReference"/>
          <w:rFonts w:ascii="Times New Roman" w:hAnsi="Times New Roman"/>
          <w:szCs w:val="24"/>
        </w:rPr>
        <w:footnoteReference w:id="297"/>
      </w:r>
      <w:r>
        <w:rPr>
          <w:rFonts w:ascii="Times New Roman" w:hAnsi="Times New Roman"/>
          <w:szCs w:val="24"/>
        </w:rPr>
        <w:t xml:space="preserve"> </w:t>
      </w:r>
      <w:r w:rsidRPr="00AA4D70">
        <w:rPr>
          <w:rFonts w:ascii="Times New Roman" w:hAnsi="Times New Roman"/>
          <w:szCs w:val="24"/>
        </w:rPr>
        <w:t xml:space="preserve">As Justice Brandeis explained, adherence to statutory </w:t>
      </w:r>
      <w:r w:rsidRPr="000168C3">
        <w:rPr>
          <w:rFonts w:ascii="Times New Roman" w:hAnsi="Times New Roman"/>
          <w:i/>
          <w:szCs w:val="24"/>
        </w:rPr>
        <w:t>stare decisis</w:t>
      </w:r>
      <w:r w:rsidRPr="00AA4D70">
        <w:rPr>
          <w:rFonts w:ascii="Times New Roman" w:hAnsi="Times New Roman"/>
          <w:szCs w:val="24"/>
        </w:rPr>
        <w:t xml:space="preserve"> may be especially important in cases when it is more important that the law be settled than be settled right. In constitutional cases, for instance, the legislature lacks an effective means to override a displeasing statutory construction.</w:t>
      </w:r>
      <w:r w:rsidRPr="000410F3">
        <w:rPr>
          <w:rStyle w:val="FootnoteReference"/>
          <w:rFonts w:ascii="Times New Roman" w:hAnsi="Times New Roman"/>
          <w:szCs w:val="24"/>
        </w:rPr>
        <w:footnoteReference w:id="298"/>
      </w:r>
      <w:r w:rsidRPr="00AA4D70">
        <w:rPr>
          <w:rFonts w:ascii="Times New Roman" w:hAnsi="Times New Roman"/>
          <w:szCs w:val="24"/>
        </w:rPr>
        <w:t xml:space="preserve"> The same rationale, however, does not apply to administrative agencies. Indeed, statutory </w:t>
      </w:r>
      <w:r w:rsidRPr="000168C3">
        <w:rPr>
          <w:rFonts w:ascii="Times New Roman" w:hAnsi="Times New Roman"/>
          <w:i/>
          <w:szCs w:val="24"/>
        </w:rPr>
        <w:t>stare decisis</w:t>
      </w:r>
      <w:r w:rsidRPr="00AA4D70">
        <w:rPr>
          <w:rFonts w:ascii="Times New Roman" w:hAnsi="Times New Roman"/>
          <w:szCs w:val="24"/>
        </w:rPr>
        <w:t xml:space="preserve"> can be seen as being on a continuum, with it being most important in constitutional cases, where the legislature lacks an effective means to override a displeasing interpretation, to a “middle ground” in common law adjudication, to possibly an even lower level of deference in agency interpretation cases, where the legislature has numerous means at its disposal to right a statutory interpretation it finds troubling.</w:t>
      </w:r>
      <w:r w:rsidRPr="000410F3">
        <w:rPr>
          <w:rStyle w:val="FootnoteReference"/>
          <w:rFonts w:ascii="Times New Roman" w:hAnsi="Times New Roman"/>
          <w:szCs w:val="24"/>
        </w:rPr>
        <w:footnoteReference w:id="299"/>
      </w:r>
      <w:r w:rsidRPr="00AA4D70">
        <w:rPr>
          <w:rFonts w:ascii="Times New Roman" w:hAnsi="Times New Roman"/>
          <w:szCs w:val="24"/>
        </w:rPr>
        <w:t xml:space="preserve"> If a statutory interpretation can fairly be seen as akin to policymaking, it is best left up to the executive branch, with the judiciary being confined to merely questioning whether the interp</w:t>
      </w:r>
      <w:r w:rsidR="00673BF9">
        <w:rPr>
          <w:rFonts w:ascii="Times New Roman" w:hAnsi="Times New Roman"/>
          <w:szCs w:val="24"/>
        </w:rPr>
        <w:t>retation is a reasonable one</w:t>
      </w:r>
      <w:r w:rsidRPr="00AA4D70">
        <w:rPr>
          <w:rFonts w:ascii="Times New Roman" w:hAnsi="Times New Roman"/>
          <w:szCs w:val="24"/>
        </w:rPr>
        <w:t xml:space="preserve"> upheld by evidence</w:t>
      </w:r>
      <w:r>
        <w:rPr>
          <w:rFonts w:ascii="Times New Roman" w:hAnsi="Times New Roman"/>
          <w:szCs w:val="24"/>
        </w:rPr>
        <w:t>.</w:t>
      </w:r>
      <w:r w:rsidRPr="000410F3">
        <w:rPr>
          <w:rStyle w:val="FootnoteReference"/>
          <w:rFonts w:ascii="Times New Roman" w:hAnsi="Times New Roman"/>
          <w:szCs w:val="24"/>
        </w:rPr>
        <w:footnoteReference w:id="300"/>
      </w:r>
      <w:r w:rsidRPr="00AA4D70">
        <w:rPr>
          <w:rFonts w:ascii="Times New Roman" w:hAnsi="Times New Roman"/>
          <w:szCs w:val="24"/>
        </w:rPr>
        <w:t xml:space="preserve"> </w:t>
      </w:r>
      <w:r>
        <w:rPr>
          <w:rFonts w:ascii="Times New Roman" w:hAnsi="Times New Roman"/>
          <w:szCs w:val="24"/>
        </w:rPr>
        <w:t xml:space="preserve"> </w:t>
      </w:r>
    </w:p>
    <w:p w14:paraId="106F1729" w14:textId="77777777" w:rsidR="005D6AFE" w:rsidRDefault="005D6AFE" w:rsidP="0086288C">
      <w:pPr>
        <w:ind w:firstLine="720"/>
        <w:rPr>
          <w:rFonts w:ascii="Times New Roman" w:hAnsi="Times New Roman"/>
          <w:szCs w:val="24"/>
        </w:rPr>
      </w:pPr>
    </w:p>
    <w:p w14:paraId="7A5B96DE" w14:textId="766240CA" w:rsidR="0086288C" w:rsidRPr="001E2B74" w:rsidRDefault="0086288C" w:rsidP="001E2B74">
      <w:pPr>
        <w:pStyle w:val="ListParagraph"/>
        <w:numPr>
          <w:ilvl w:val="0"/>
          <w:numId w:val="28"/>
        </w:numPr>
        <w:rPr>
          <w:rFonts w:ascii="Times New Roman" w:hAnsi="Times New Roman"/>
          <w:b/>
          <w:szCs w:val="24"/>
        </w:rPr>
      </w:pPr>
      <w:r w:rsidRPr="001E2B74">
        <w:rPr>
          <w:rFonts w:ascii="Times New Roman" w:hAnsi="Times New Roman"/>
          <w:b/>
          <w:szCs w:val="24"/>
        </w:rPr>
        <w:t>Overreliance on Whole Act Rule and Whole Code Rule</w:t>
      </w:r>
    </w:p>
    <w:p w14:paraId="10D841B0" w14:textId="77777777" w:rsidR="005D6AFE" w:rsidRPr="0005443E" w:rsidRDefault="005D6AFE" w:rsidP="005D6AFE">
      <w:pPr>
        <w:pStyle w:val="ListParagraph"/>
        <w:spacing w:after="0" w:line="240" w:lineRule="auto"/>
        <w:ind w:left="1440"/>
        <w:rPr>
          <w:rFonts w:ascii="Times New Roman" w:hAnsi="Times New Roman"/>
          <w:b/>
          <w:sz w:val="24"/>
          <w:szCs w:val="24"/>
        </w:rPr>
      </w:pPr>
    </w:p>
    <w:p w14:paraId="26B7CD7E" w14:textId="6130E8E0" w:rsidR="0086288C" w:rsidRDefault="0086288C" w:rsidP="0086288C">
      <w:pPr>
        <w:ind w:firstLine="720"/>
        <w:rPr>
          <w:rFonts w:ascii="Times New Roman" w:hAnsi="Times New Roman"/>
          <w:szCs w:val="24"/>
        </w:rPr>
      </w:pPr>
      <w:r w:rsidRPr="00570E38">
        <w:rPr>
          <w:rFonts w:ascii="Times New Roman" w:hAnsi="Times New Roman"/>
          <w:szCs w:val="24"/>
        </w:rPr>
        <w:t xml:space="preserve">In addition, the Board’s </w:t>
      </w:r>
      <w:r>
        <w:rPr>
          <w:rFonts w:ascii="Times New Roman" w:hAnsi="Times New Roman"/>
          <w:szCs w:val="24"/>
        </w:rPr>
        <w:t>over</w:t>
      </w:r>
      <w:r w:rsidRPr="00570E38">
        <w:rPr>
          <w:rFonts w:ascii="Times New Roman" w:hAnsi="Times New Roman"/>
          <w:szCs w:val="24"/>
        </w:rPr>
        <w:t>reliance on textual canons like the whole code rule or the whole act rule may not be appropriate given the realities of statutory drafting</w:t>
      </w:r>
      <w:r>
        <w:rPr>
          <w:rFonts w:ascii="Times New Roman" w:hAnsi="Times New Roman"/>
          <w:szCs w:val="24"/>
        </w:rPr>
        <w:t xml:space="preserve">. Statutory drafting is a lot more fragmented than previously realized. </w:t>
      </w:r>
      <w:r w:rsidRPr="00570E38">
        <w:rPr>
          <w:rFonts w:ascii="Times New Roman" w:hAnsi="Times New Roman"/>
          <w:szCs w:val="24"/>
        </w:rPr>
        <w:t>As detailed by the comprehensive study by Gluck and Bressman and Walker, false assumptions about the legislative process abound, especially with respect to the roles that agencies play in the drafting process.</w:t>
      </w:r>
      <w:bookmarkStart w:id="36" w:name="_Ref489474745"/>
      <w:r w:rsidRPr="000410F3">
        <w:rPr>
          <w:rStyle w:val="FootnoteReference"/>
          <w:rFonts w:ascii="Times New Roman" w:hAnsi="Times New Roman"/>
          <w:szCs w:val="24"/>
        </w:rPr>
        <w:footnoteReference w:id="301"/>
      </w:r>
      <w:bookmarkEnd w:id="36"/>
      <w:r>
        <w:rPr>
          <w:rFonts w:ascii="Times New Roman" w:hAnsi="Times New Roman"/>
          <w:szCs w:val="24"/>
        </w:rPr>
        <w:t xml:space="preserve"> In </w:t>
      </w:r>
      <w:r>
        <w:rPr>
          <w:rFonts w:ascii="Times New Roman" w:hAnsi="Times New Roman"/>
          <w:szCs w:val="24"/>
        </w:rPr>
        <w:lastRenderedPageBreak/>
        <w:t>practice, application of the whole code rule may depend on the agency itself, with agencies having their own terms of art with specific meaning.</w:t>
      </w:r>
      <w:r>
        <w:rPr>
          <w:rStyle w:val="FootnoteReference"/>
          <w:rFonts w:ascii="Times New Roman" w:hAnsi="Times New Roman"/>
          <w:szCs w:val="24"/>
        </w:rPr>
        <w:footnoteReference w:id="302"/>
      </w:r>
      <w:r>
        <w:rPr>
          <w:rFonts w:ascii="Times New Roman" w:hAnsi="Times New Roman"/>
          <w:szCs w:val="24"/>
        </w:rPr>
        <w:t xml:space="preserve"> Moreover, interpretation of like terms in the same statute may not be consistent. Gluck and Bressman argue usage may be more</w:t>
      </w:r>
      <w:r w:rsidRPr="00570E38">
        <w:rPr>
          <w:rFonts w:ascii="Times New Roman" w:hAnsi="Times New Roman"/>
          <w:szCs w:val="24"/>
        </w:rPr>
        <w:t xml:space="preserve"> consistent across commi</w:t>
      </w:r>
      <w:r>
        <w:rPr>
          <w:rFonts w:ascii="Times New Roman" w:hAnsi="Times New Roman"/>
          <w:szCs w:val="24"/>
        </w:rPr>
        <w:t>ttee overseeing the drafting as opposed to consistency in the act as a whole.</w:t>
      </w:r>
      <w:r>
        <w:rPr>
          <w:rStyle w:val="FootnoteReference"/>
          <w:rFonts w:ascii="Times New Roman" w:hAnsi="Times New Roman"/>
          <w:szCs w:val="24"/>
        </w:rPr>
        <w:footnoteReference w:id="303"/>
      </w:r>
      <w:r>
        <w:rPr>
          <w:rFonts w:ascii="Times New Roman" w:hAnsi="Times New Roman"/>
          <w:szCs w:val="24"/>
        </w:rPr>
        <w:t xml:space="preserve"> As Abbe Gluck argues, “[t]he idea that similar phrases mean the same thing across statutes or that variation of terms is meaningful even across multiple statutes does not comport with the structural separation of committees and the lack of communication between them, even when they work on the same statute.”</w:t>
      </w:r>
      <w:r>
        <w:rPr>
          <w:rStyle w:val="FootnoteReference"/>
          <w:rFonts w:ascii="Times New Roman" w:hAnsi="Times New Roman"/>
          <w:szCs w:val="24"/>
        </w:rPr>
        <w:footnoteReference w:id="304"/>
      </w:r>
    </w:p>
    <w:p w14:paraId="34AF1862" w14:textId="438ECF54" w:rsidR="0086288C" w:rsidRDefault="0086288C" w:rsidP="005D6AFE">
      <w:pPr>
        <w:ind w:firstLine="720"/>
        <w:rPr>
          <w:rFonts w:ascii="Times New Roman" w:hAnsi="Times New Roman"/>
          <w:szCs w:val="24"/>
        </w:rPr>
      </w:pPr>
      <w:r>
        <w:rPr>
          <w:rFonts w:ascii="Times New Roman" w:hAnsi="Times New Roman"/>
          <w:szCs w:val="24"/>
        </w:rPr>
        <w:t>The empirical study here reveals that the Board frequently uses the whole code and whole act rules to interpret the NLRA. In many cases, the Board relies on interpretation and legislative history of other statutory sections drafted by different Congresses in different time p</w:t>
      </w:r>
      <w:r w:rsidR="005D6AFE">
        <w:rPr>
          <w:rFonts w:ascii="Times New Roman" w:hAnsi="Times New Roman"/>
          <w:szCs w:val="24"/>
        </w:rPr>
        <w:t xml:space="preserve">eriods to advance a narrative. </w:t>
      </w:r>
      <w:r>
        <w:rPr>
          <w:rFonts w:ascii="Times New Roman" w:hAnsi="Times New Roman"/>
          <w:szCs w:val="24"/>
        </w:rPr>
        <w:t xml:space="preserve">The Board also frequently refers to the Supreme Court’s interpretation of an entirely different statutes — the Railway Labor Act — to interpret section 8(b) cases. </w:t>
      </w:r>
      <w:r w:rsidRPr="000410F3">
        <w:rPr>
          <w:rFonts w:ascii="Times New Roman" w:hAnsi="Times New Roman"/>
          <w:szCs w:val="24"/>
        </w:rPr>
        <w:t>Concern over using the whole act rule may be especially problematic when the Board uses parts of the law directed at union abuses to inform meaning about employer abuses. The legislative history of those sections were written at different times in dramatically different political climates, and as such, the Board should be cautious in extrapolating from one section to another.</w:t>
      </w:r>
      <w:r w:rsidRPr="000410F3">
        <w:rPr>
          <w:rStyle w:val="FootnoteReference"/>
          <w:rFonts w:ascii="Times New Roman" w:hAnsi="Times New Roman"/>
          <w:szCs w:val="24"/>
        </w:rPr>
        <w:footnoteReference w:id="305"/>
      </w:r>
      <w:r>
        <w:rPr>
          <w:rFonts w:ascii="Times New Roman" w:hAnsi="Times New Roman"/>
          <w:szCs w:val="24"/>
        </w:rPr>
        <w:t>As such, reliance on such canons as the primary vehicle of interpretation lacks any relation to real-world practicalities. More attention to the realities of congressional drafting process would do much to improve interpretive assumptions.</w:t>
      </w:r>
      <w:r>
        <w:rPr>
          <w:rStyle w:val="FootnoteReference"/>
          <w:rFonts w:ascii="Times New Roman" w:hAnsi="Times New Roman"/>
          <w:szCs w:val="24"/>
        </w:rPr>
        <w:footnoteReference w:id="306"/>
      </w:r>
    </w:p>
    <w:p w14:paraId="58B490C5" w14:textId="77777777" w:rsidR="005D6AFE" w:rsidRDefault="005D6AFE" w:rsidP="005D6AFE">
      <w:pPr>
        <w:rPr>
          <w:rFonts w:ascii="Times New Roman" w:hAnsi="Times New Roman"/>
          <w:szCs w:val="24"/>
        </w:rPr>
      </w:pPr>
    </w:p>
    <w:p w14:paraId="3C47408B" w14:textId="77777777" w:rsidR="0086288C" w:rsidRDefault="0086288C" w:rsidP="001E2B74">
      <w:pPr>
        <w:pStyle w:val="ListParagraph"/>
        <w:numPr>
          <w:ilvl w:val="0"/>
          <w:numId w:val="28"/>
        </w:numPr>
        <w:spacing w:after="0" w:line="240" w:lineRule="auto"/>
        <w:rPr>
          <w:rFonts w:ascii="Times New Roman" w:hAnsi="Times New Roman"/>
          <w:b/>
          <w:sz w:val="24"/>
          <w:szCs w:val="24"/>
        </w:rPr>
      </w:pPr>
      <w:r w:rsidRPr="0005443E">
        <w:rPr>
          <w:rFonts w:ascii="Times New Roman" w:hAnsi="Times New Roman"/>
          <w:b/>
          <w:sz w:val="24"/>
          <w:szCs w:val="24"/>
        </w:rPr>
        <w:t>Selective Reliance on Legislative History</w:t>
      </w:r>
    </w:p>
    <w:p w14:paraId="6766D217" w14:textId="77777777" w:rsidR="005D6AFE" w:rsidRPr="0005443E" w:rsidRDefault="005D6AFE" w:rsidP="005D6AFE">
      <w:pPr>
        <w:pStyle w:val="ListParagraph"/>
        <w:spacing w:after="0" w:line="240" w:lineRule="auto"/>
        <w:ind w:left="1440"/>
        <w:rPr>
          <w:rFonts w:ascii="Times New Roman" w:hAnsi="Times New Roman"/>
          <w:b/>
          <w:sz w:val="24"/>
          <w:szCs w:val="24"/>
        </w:rPr>
      </w:pPr>
    </w:p>
    <w:p w14:paraId="1483DF47" w14:textId="203FE383" w:rsidR="0086288C" w:rsidRDefault="0086288C" w:rsidP="0086288C">
      <w:pPr>
        <w:ind w:firstLine="720"/>
        <w:rPr>
          <w:rFonts w:ascii="Times New Roman" w:hAnsi="Times New Roman"/>
          <w:szCs w:val="24"/>
        </w:rPr>
      </w:pPr>
      <w:r>
        <w:rPr>
          <w:rFonts w:ascii="Times New Roman" w:hAnsi="Times New Roman"/>
          <w:szCs w:val="24"/>
        </w:rPr>
        <w:t>Finally, the Board’s selective reliance on legislative history — particularly its use occasionally to cite legislative history to limit the clear langua</w:t>
      </w:r>
      <w:r w:rsidR="00673BF9">
        <w:rPr>
          <w:rFonts w:ascii="Times New Roman" w:hAnsi="Times New Roman"/>
          <w:szCs w:val="24"/>
        </w:rPr>
        <w:t xml:space="preserve">ge of the text — is misplaced.  </w:t>
      </w:r>
      <w:r>
        <w:rPr>
          <w:rFonts w:ascii="Times New Roman" w:hAnsi="Times New Roman"/>
          <w:szCs w:val="24"/>
        </w:rPr>
        <w:t>On the one hand, as Peter Strauss argues, agencies may be in a better position than courts to  understand and absorb the legislative history.</w:t>
      </w:r>
      <w:r>
        <w:rPr>
          <w:rStyle w:val="FootnoteReference"/>
          <w:rFonts w:ascii="Times New Roman" w:hAnsi="Times New Roman"/>
          <w:szCs w:val="24"/>
        </w:rPr>
        <w:footnoteReference w:id="307"/>
      </w:r>
      <w:r>
        <w:rPr>
          <w:rFonts w:ascii="Times New Roman" w:hAnsi="Times New Roman"/>
          <w:szCs w:val="24"/>
        </w:rPr>
        <w:t xml:space="preserve"> This may be particularly the case for statutes enacted before the professionalization of Congress began in earnest in the </w:t>
      </w:r>
      <w:r>
        <w:rPr>
          <w:rFonts w:ascii="Times New Roman" w:hAnsi="Times New Roman"/>
          <w:szCs w:val="24"/>
        </w:rPr>
        <w:lastRenderedPageBreak/>
        <w:t xml:space="preserve">1960s and 1970s. </w:t>
      </w:r>
      <w:r w:rsidRPr="00570E38">
        <w:rPr>
          <w:rFonts w:ascii="Times New Roman" w:hAnsi="Times New Roman"/>
          <w:szCs w:val="24"/>
        </w:rPr>
        <w:t>Congress did not even have its own internal administrative capacity until the passage of the Legisla</w:t>
      </w:r>
      <w:r w:rsidR="00673BF9">
        <w:rPr>
          <w:rFonts w:ascii="Times New Roman" w:hAnsi="Times New Roman"/>
          <w:szCs w:val="24"/>
        </w:rPr>
        <w:t>tive Reorganization Act of 1946</w:t>
      </w:r>
      <w:r w:rsidRPr="00570E38">
        <w:rPr>
          <w:rFonts w:ascii="Times New Roman" w:hAnsi="Times New Roman"/>
          <w:szCs w:val="24"/>
        </w:rPr>
        <w:t xml:space="preserve"> and up to that time, House and Senate standing committees had no regular professional staff.</w:t>
      </w:r>
      <w:r w:rsidRPr="000410F3">
        <w:rPr>
          <w:rStyle w:val="FootnoteReference"/>
          <w:rFonts w:ascii="Times New Roman" w:hAnsi="Times New Roman"/>
          <w:szCs w:val="24"/>
        </w:rPr>
        <w:footnoteReference w:id="308"/>
      </w:r>
      <w:r>
        <w:rPr>
          <w:rFonts w:ascii="Times New Roman" w:hAnsi="Times New Roman"/>
          <w:szCs w:val="24"/>
        </w:rPr>
        <w:t xml:space="preserve"> During the time period of the NLRA’s drafting, Congressman and committees were almost completely reliant on the agencies themselves to provide advice on drafting and legislative history.</w:t>
      </w:r>
      <w:r>
        <w:rPr>
          <w:rStyle w:val="FootnoteReference"/>
          <w:rFonts w:ascii="Times New Roman" w:hAnsi="Times New Roman"/>
          <w:szCs w:val="24"/>
        </w:rPr>
        <w:footnoteReference w:id="309"/>
      </w:r>
      <w:r w:rsidRPr="00AA4D70">
        <w:rPr>
          <w:rFonts w:ascii="Times New Roman" w:hAnsi="Times New Roman"/>
          <w:szCs w:val="24"/>
        </w:rPr>
        <w:t xml:space="preserve"> </w:t>
      </w:r>
      <w:r>
        <w:rPr>
          <w:rFonts w:ascii="Times New Roman" w:hAnsi="Times New Roman"/>
          <w:szCs w:val="24"/>
        </w:rPr>
        <w:t>Indeed, for many statutes during this period, scholars hypothesize that agencies essentially “ghost-wrote” the statute and/or its legislative history, even going so far as to draft mock debates to put into the Congressional Record. So there is a strong argument to make that agency’s intimate relationship with the legislative history makes it uniquely qualified — much more than courts — to fully understand the nuances of the statute and congressional intent on what it means.</w:t>
      </w:r>
    </w:p>
    <w:p w14:paraId="69C0370C" w14:textId="77777777" w:rsidR="00673BF9" w:rsidRDefault="0086288C" w:rsidP="0086288C">
      <w:pPr>
        <w:ind w:firstLine="720"/>
        <w:rPr>
          <w:rFonts w:ascii="Times New Roman" w:hAnsi="Times New Roman"/>
          <w:szCs w:val="24"/>
        </w:rPr>
      </w:pPr>
      <w:r>
        <w:rPr>
          <w:rFonts w:ascii="Times New Roman" w:hAnsi="Times New Roman"/>
          <w:szCs w:val="24"/>
        </w:rPr>
        <w:t>However,</w:t>
      </w:r>
      <w:r w:rsidR="00673BF9">
        <w:rPr>
          <w:rFonts w:ascii="Times New Roman" w:hAnsi="Times New Roman"/>
          <w:szCs w:val="24"/>
        </w:rPr>
        <w:t xml:space="preserve"> reliance on legislative history to the exclusion of other methods comes wih its own set of pitfalls</w:t>
      </w:r>
      <w:r>
        <w:rPr>
          <w:rFonts w:ascii="Times New Roman" w:hAnsi="Times New Roman"/>
          <w:szCs w:val="24"/>
        </w:rPr>
        <w:t>. W</w:t>
      </w:r>
      <w:r w:rsidRPr="000410F3">
        <w:rPr>
          <w:rFonts w:ascii="Times New Roman" w:hAnsi="Times New Roman"/>
          <w:szCs w:val="24"/>
        </w:rPr>
        <w:t>hat would be the purpose of letting politics play some role in NLRB decision-making if NLRB members were slaves to the original understanding of the NLRA? Why not just have a federal court do it? The Taft-Hartley Act is, at its heart, anti-union in some respects and t</w:t>
      </w:r>
      <w:r>
        <w:rPr>
          <w:rFonts w:ascii="Times New Roman" w:hAnsi="Times New Roman"/>
          <w:szCs w:val="24"/>
        </w:rPr>
        <w:t>he long history preceding Taft-</w:t>
      </w:r>
      <w:r w:rsidRPr="000410F3">
        <w:rPr>
          <w:rFonts w:ascii="Times New Roman" w:hAnsi="Times New Roman"/>
          <w:szCs w:val="24"/>
        </w:rPr>
        <w:t>Hartley underscores how it was actually fear of the labor movement that motivated Congress to change the Board’s structure and to change the statutory scheme. Congress specifically wanted agencies to do the work, because they believed courts had done a poor job, and were not flexible enough to adopt to changing circumstances.</w:t>
      </w:r>
      <w:r w:rsidRPr="000410F3">
        <w:rPr>
          <w:rStyle w:val="FootnoteReference"/>
          <w:rFonts w:ascii="Times New Roman" w:hAnsi="Times New Roman"/>
          <w:szCs w:val="24"/>
        </w:rPr>
        <w:footnoteReference w:id="310"/>
      </w:r>
      <w:r>
        <w:rPr>
          <w:rFonts w:ascii="Times New Roman" w:hAnsi="Times New Roman"/>
          <w:szCs w:val="24"/>
        </w:rPr>
        <w:t xml:space="preserve"> </w:t>
      </w:r>
      <w:r w:rsidRPr="000410F3">
        <w:rPr>
          <w:rFonts w:ascii="Times New Roman" w:hAnsi="Times New Roman"/>
          <w:szCs w:val="24"/>
        </w:rPr>
        <w:t xml:space="preserve">As such, in this particular statutory scheme, advocates of labor may find it very troubling to rely on legislative history as a means to informing the NLBR about adjudicating labor practice disputes. </w:t>
      </w:r>
    </w:p>
    <w:p w14:paraId="221964E9" w14:textId="0E0CA7A5" w:rsidR="0086288C" w:rsidRDefault="0086288C" w:rsidP="0086288C">
      <w:pPr>
        <w:ind w:firstLine="720"/>
        <w:rPr>
          <w:rFonts w:ascii="Times New Roman" w:hAnsi="Times New Roman"/>
          <w:szCs w:val="24"/>
        </w:rPr>
      </w:pPr>
      <w:r w:rsidRPr="000410F3">
        <w:rPr>
          <w:rFonts w:ascii="Times New Roman" w:hAnsi="Times New Roman"/>
          <w:szCs w:val="24"/>
        </w:rPr>
        <w:t>Moreover, the Board occasionally uses legislative history to preclude the Board from updating itself to modern times. For instance, why should a provision be interpreted with respect to what the standard was in the construction industry in 1959</w:t>
      </w:r>
      <w:r>
        <w:rPr>
          <w:rFonts w:ascii="Times New Roman" w:hAnsi="Times New Roman"/>
          <w:szCs w:val="24"/>
        </w:rPr>
        <w:t>, a result that some Board decisions argued was shaped by the legislative history? T</w:t>
      </w:r>
      <w:r w:rsidRPr="000410F3">
        <w:rPr>
          <w:rFonts w:ascii="Times New Roman" w:hAnsi="Times New Roman"/>
          <w:szCs w:val="24"/>
        </w:rPr>
        <w:t>he Board should not use legislative history to hamstring it to employment practices of a bygone era.</w:t>
      </w:r>
      <w:r>
        <w:rPr>
          <w:rFonts w:ascii="Times New Roman" w:hAnsi="Times New Roman"/>
          <w:szCs w:val="24"/>
        </w:rPr>
        <w:t xml:space="preserve"> To do so subverts the role of the agency as the living, breathing embodiment of statutory interpretation. Further, all legislative history is not the same. In a majority of </w:t>
      </w:r>
      <w:r>
        <w:rPr>
          <w:rFonts w:ascii="Times New Roman" w:hAnsi="Times New Roman"/>
          <w:szCs w:val="24"/>
        </w:rPr>
        <w:lastRenderedPageBreak/>
        <w:t>cases, the NLRB relied on legislative history other than the conference committee mark-up, which often can be the most “illumining” part of the legislative history.</w:t>
      </w:r>
      <w:r>
        <w:rPr>
          <w:rStyle w:val="FootnoteReference"/>
          <w:rFonts w:ascii="Times New Roman" w:hAnsi="Times New Roman"/>
          <w:szCs w:val="24"/>
        </w:rPr>
        <w:footnoteReference w:id="311"/>
      </w:r>
      <w:r>
        <w:rPr>
          <w:rFonts w:ascii="Times New Roman" w:hAnsi="Times New Roman"/>
          <w:szCs w:val="24"/>
        </w:rPr>
        <w:t xml:space="preserve"> Moreover, while some of the statements cited were scripted colloquies — which are often seen as important to demonstrate a “shared understanding of statutory meaning — most citations were to random statements by single Congressman in the Congressional Record.</w:t>
      </w:r>
      <w:r>
        <w:rPr>
          <w:rStyle w:val="FootnoteReference"/>
          <w:rFonts w:ascii="Times New Roman" w:hAnsi="Times New Roman"/>
          <w:szCs w:val="24"/>
        </w:rPr>
        <w:footnoteReference w:id="312"/>
      </w:r>
      <w:r>
        <w:rPr>
          <w:rFonts w:ascii="Times New Roman" w:hAnsi="Times New Roman"/>
          <w:szCs w:val="24"/>
        </w:rPr>
        <w:t xml:space="preserve"> This lack of reliance on “consensus legislative history” is troubling since it may not necessarily refer to clear congressional intent about statutory purpose.</w:t>
      </w:r>
    </w:p>
    <w:p w14:paraId="3A438454" w14:textId="00765785" w:rsidR="001E2B74" w:rsidRDefault="0086288C" w:rsidP="00673BF9">
      <w:pPr>
        <w:ind w:firstLine="720"/>
        <w:rPr>
          <w:rFonts w:ascii="Times New Roman" w:hAnsi="Times New Roman"/>
          <w:szCs w:val="24"/>
        </w:rPr>
      </w:pPr>
      <w:r w:rsidRPr="00D9098F">
        <w:rPr>
          <w:rFonts w:ascii="Times New Roman" w:hAnsi="Times New Roman"/>
          <w:szCs w:val="24"/>
        </w:rPr>
        <w:t>Legislative history can be a useful tool to get a sense of the statute’s purpose, but the Board at present probably relies too much on legislative history as a shield for disguising policymaking. The Board focuses almost exclusively on the wishes of the enacting Congress of 75 years ago. Instead of looking at the original enacting coalitions’ purpose, we must instead look to the role of the agency in the present world with the legislative history as a starting point to inform understanding. Even more significant that the legislative history, the Board should instead rely on its current dealings with Congress and the President to inform its understanding of what they envision of labor policy. Labor policy need not have a fixed and coherent framework; it is intrinsic to the nature of having a specialized administrative agency that the agency change along with the ebb and flow of changing administrations. At the same time, however, the legislative history should, in one sense, serve as an anchor for the agency to use to base its understanding as it is the “guardian or custodian of the legislative scheme as enacted.”</w:t>
      </w:r>
      <w:r w:rsidRPr="00D9098F">
        <w:rPr>
          <w:rStyle w:val="FootnoteReference"/>
          <w:rFonts w:ascii="Times New Roman" w:hAnsi="Times New Roman"/>
          <w:szCs w:val="24"/>
        </w:rPr>
        <w:t xml:space="preserve"> </w:t>
      </w:r>
      <w:r w:rsidRPr="000410F3">
        <w:rPr>
          <w:rStyle w:val="FootnoteReference"/>
          <w:rFonts w:ascii="Times New Roman" w:hAnsi="Times New Roman"/>
          <w:szCs w:val="24"/>
        </w:rPr>
        <w:footnoteReference w:id="313"/>
      </w:r>
      <w:r w:rsidRPr="00D9098F">
        <w:rPr>
          <w:rFonts w:ascii="Times New Roman" w:hAnsi="Times New Roman"/>
          <w:szCs w:val="24"/>
        </w:rPr>
        <w:t xml:space="preserve"> Instead of relying on “text parsing, dictionary definitions, and a search for a fixed intent of the enacting Congress” legislative history should instead be used as the beginning inflection point to examine “policy and expert considerations, pressures from the current Congress or White House, and bureaucratic management concerns.”</w:t>
      </w:r>
      <w:bookmarkStart w:id="37" w:name="_Ref489475494"/>
      <w:r w:rsidRPr="000410F3">
        <w:rPr>
          <w:rStyle w:val="FootnoteReference"/>
          <w:rFonts w:ascii="Times New Roman" w:hAnsi="Times New Roman"/>
          <w:szCs w:val="24"/>
        </w:rPr>
        <w:footnoteReference w:id="314"/>
      </w:r>
      <w:bookmarkEnd w:id="37"/>
      <w:r w:rsidRPr="00D9098F">
        <w:rPr>
          <w:rFonts w:ascii="Times New Roman" w:hAnsi="Times New Roman"/>
          <w:szCs w:val="24"/>
        </w:rPr>
        <w:t xml:space="preserve"> </w:t>
      </w:r>
    </w:p>
    <w:p w14:paraId="4511635A" w14:textId="77777777" w:rsidR="00BA3B6D" w:rsidRPr="000168C3" w:rsidRDefault="00BA3B6D" w:rsidP="0086288C">
      <w:pPr>
        <w:ind w:firstLine="720"/>
        <w:rPr>
          <w:rFonts w:ascii="Times New Roman" w:hAnsi="Times New Roman"/>
          <w:szCs w:val="24"/>
        </w:rPr>
      </w:pPr>
    </w:p>
    <w:p w14:paraId="30EB1A86" w14:textId="7870760C" w:rsidR="0086288C" w:rsidRPr="001E2B74" w:rsidRDefault="001E2B74" w:rsidP="001E2B74">
      <w:pPr>
        <w:pStyle w:val="ListParagraph"/>
        <w:numPr>
          <w:ilvl w:val="0"/>
          <w:numId w:val="15"/>
        </w:numPr>
        <w:rPr>
          <w:rFonts w:ascii="Times New Roman" w:hAnsi="Times New Roman"/>
          <w:b/>
          <w:szCs w:val="24"/>
        </w:rPr>
      </w:pPr>
      <w:r>
        <w:rPr>
          <w:rFonts w:ascii="Times New Roman" w:hAnsi="Times New Roman"/>
          <w:b/>
          <w:szCs w:val="24"/>
        </w:rPr>
        <w:t>Purpovisim at the NLRB and Propossals for Reform</w:t>
      </w:r>
    </w:p>
    <w:p w14:paraId="471D490A" w14:textId="77777777" w:rsidR="00BA3B6D" w:rsidRPr="00AE143E" w:rsidRDefault="00BA3B6D" w:rsidP="00BA3B6D">
      <w:pPr>
        <w:pStyle w:val="ListParagraph"/>
        <w:spacing w:after="0" w:line="240" w:lineRule="auto"/>
        <w:rPr>
          <w:rFonts w:ascii="Times New Roman" w:hAnsi="Times New Roman"/>
          <w:b/>
          <w:sz w:val="24"/>
          <w:szCs w:val="24"/>
        </w:rPr>
      </w:pPr>
    </w:p>
    <w:p w14:paraId="466563BE"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Given the</w:t>
      </w:r>
      <w:r>
        <w:rPr>
          <w:rFonts w:ascii="Times New Roman" w:hAnsi="Times New Roman"/>
          <w:szCs w:val="24"/>
        </w:rPr>
        <w:t xml:space="preserve"> results of this study</w:t>
      </w:r>
      <w:r w:rsidRPr="000410F3">
        <w:rPr>
          <w:rFonts w:ascii="Times New Roman" w:hAnsi="Times New Roman"/>
          <w:szCs w:val="24"/>
        </w:rPr>
        <w:t xml:space="preserve">, what can we say about how statutory interpretation should ideally be done at the Board? The answer may come down to what one views as the role of a given administrative agency. Should it be a faithful delegate of the political principals or should it be the </w:t>
      </w:r>
      <w:r w:rsidRPr="000410F3">
        <w:rPr>
          <w:rFonts w:ascii="Times New Roman" w:hAnsi="Times New Roman"/>
          <w:szCs w:val="24"/>
        </w:rPr>
        <w:lastRenderedPageBreak/>
        <w:t xml:space="preserve">“guardian” of the interpretation of the relevant overarching statute or is the answer lie in some mixture of the two? </w:t>
      </w:r>
    </w:p>
    <w:p w14:paraId="3AB03A6E" w14:textId="1EC1A7CF" w:rsidR="0086288C" w:rsidRPr="000410F3" w:rsidRDefault="0086288C" w:rsidP="0086288C">
      <w:pPr>
        <w:ind w:firstLine="720"/>
        <w:rPr>
          <w:rFonts w:ascii="Times New Roman" w:hAnsi="Times New Roman"/>
          <w:szCs w:val="24"/>
        </w:rPr>
      </w:pPr>
      <w:r w:rsidRPr="000410F3">
        <w:rPr>
          <w:rFonts w:ascii="Times New Roman" w:hAnsi="Times New Roman"/>
          <w:szCs w:val="24"/>
        </w:rPr>
        <w:t>A pure textualist reading of the NLRA seems at odds with the NLRB’s structure and purpose. If the text itself were the primary criteria for interpreting the NLRB, what indeed would be the purpose of having a specialized body? Why not just have the cases heard in the regular district courts? If the political system is not going to take advantage of the specialized expertise of the NLRB, it would seem superfluous for the NLRB to interpret statutes in ways that are inconsistent with its very being. Strict adherence to a text constructed by congressional leaders who intended to curb a labor-friendly Board 75 years ago may constrain the Board in how it approaches policymaking and updating labor policy to current economic conditions.</w:t>
      </w:r>
      <w:r w:rsidRPr="000410F3">
        <w:rPr>
          <w:rStyle w:val="FootnoteReference"/>
          <w:rFonts w:ascii="Times New Roman" w:hAnsi="Times New Roman"/>
          <w:szCs w:val="24"/>
        </w:rPr>
        <w:footnoteReference w:id="315"/>
      </w:r>
      <w:r w:rsidRPr="000410F3">
        <w:rPr>
          <w:rFonts w:ascii="Times New Roman" w:hAnsi="Times New Roman"/>
          <w:szCs w:val="24"/>
        </w:rPr>
        <w:t xml:space="preserve"> Moreover, a textualist approach seems at odds with the Board’s frequent flip-flops on important issues of policy. If the few words of the NLRA actually have a clear and unambiguous meaning, once the five-member Board interprets a term, it would be unnecessary for the Board to engage in statutory interpretation of that term again. The issue would be settled, and there would be no flips-flops. Frequent flip flops seem only compatible with a purposive approach. Moreover, Cass Sunstein and Adrian Vermeule have argued that attention to institutional considerations shows why agencies should be given authority to abandon textualism even if the courts use it.</w:t>
      </w:r>
      <w:r w:rsidRPr="000410F3">
        <w:rPr>
          <w:rStyle w:val="FootnoteReference"/>
          <w:rFonts w:ascii="Times New Roman" w:hAnsi="Times New Roman"/>
          <w:szCs w:val="24"/>
        </w:rPr>
        <w:footnoteReference w:id="316"/>
      </w:r>
      <w:r w:rsidRPr="000410F3">
        <w:rPr>
          <w:rFonts w:ascii="Times New Roman" w:hAnsi="Times New Roman"/>
          <w:szCs w:val="24"/>
        </w:rPr>
        <w:t xml:space="preserve"> To the extent the Board engages in a textualist approach, it should look to the text to </w:t>
      </w:r>
      <w:r w:rsidRPr="000410F3">
        <w:rPr>
          <w:rFonts w:ascii="Times New Roman" w:hAnsi="Times New Roman"/>
          <w:i/>
          <w:szCs w:val="24"/>
        </w:rPr>
        <w:t>permit</w:t>
      </w:r>
      <w:r w:rsidRPr="000410F3">
        <w:rPr>
          <w:rFonts w:ascii="Times New Roman" w:hAnsi="Times New Roman"/>
          <w:szCs w:val="24"/>
        </w:rPr>
        <w:t xml:space="preserve"> a construction, as opposed to a narrowing constraint on policy choices, as many of the Board’s textualism cases reveals. </w:t>
      </w:r>
    </w:p>
    <w:p w14:paraId="15BE4F9A" w14:textId="77777777" w:rsidR="0086288C" w:rsidRDefault="0086288C" w:rsidP="0086288C">
      <w:pPr>
        <w:ind w:firstLine="720"/>
        <w:rPr>
          <w:rFonts w:ascii="Times New Roman" w:hAnsi="Times New Roman"/>
          <w:szCs w:val="24"/>
        </w:rPr>
      </w:pPr>
      <w:r w:rsidRPr="000410F3">
        <w:rPr>
          <w:rFonts w:ascii="Times New Roman" w:hAnsi="Times New Roman"/>
          <w:szCs w:val="24"/>
        </w:rPr>
        <w:t>As such, a statutory construction method focused on purposivism with a faithful rendering to the text when clear seems to be the only method of statutory interpretation consistent with the purposes, aims and history of the NLRB, and indeed, administrative agencies generally.</w:t>
      </w:r>
      <w:r w:rsidRPr="000410F3">
        <w:rPr>
          <w:rStyle w:val="FootnoteReference"/>
          <w:rFonts w:ascii="Times New Roman" w:hAnsi="Times New Roman"/>
          <w:szCs w:val="24"/>
        </w:rPr>
        <w:footnoteReference w:id="317"/>
      </w:r>
      <w:r w:rsidRPr="000410F3">
        <w:rPr>
          <w:rFonts w:ascii="Times New Roman" w:hAnsi="Times New Roman"/>
          <w:szCs w:val="24"/>
        </w:rPr>
        <w:t xml:space="preserve"> </w:t>
      </w:r>
      <w:r>
        <w:rPr>
          <w:rFonts w:ascii="Times New Roman" w:hAnsi="Times New Roman"/>
          <w:szCs w:val="24"/>
        </w:rPr>
        <w:t>Agencies are in a unique institutional position to best understand the agency’s purpose, even when its conflicting.</w:t>
      </w:r>
      <w:r>
        <w:rPr>
          <w:rStyle w:val="FootnoteReference"/>
          <w:rFonts w:ascii="Times New Roman" w:hAnsi="Times New Roman"/>
          <w:szCs w:val="24"/>
        </w:rPr>
        <w:footnoteReference w:id="318"/>
      </w:r>
      <w:r>
        <w:rPr>
          <w:rFonts w:ascii="Times New Roman" w:hAnsi="Times New Roman"/>
          <w:szCs w:val="24"/>
        </w:rPr>
        <w:t xml:space="preserve"> </w:t>
      </w:r>
      <w:r w:rsidRPr="000410F3">
        <w:rPr>
          <w:rFonts w:ascii="Times New Roman" w:hAnsi="Times New Roman"/>
          <w:szCs w:val="24"/>
        </w:rPr>
        <w:t>Formed during the New Deal, the NLRB was charged to be an expert body to fashion labor policy. Its founders deliberately isolated the NLRB from the reach of the federal courts due to the long-standing tension between labor and the courts regarding labor policy. Agencies like the NLRB should use that expertise to update the statute to reflec</w:t>
      </w:r>
      <w:r>
        <w:rPr>
          <w:rFonts w:ascii="Times New Roman" w:hAnsi="Times New Roman"/>
          <w:szCs w:val="24"/>
        </w:rPr>
        <w:t>t current realities. W</w:t>
      </w:r>
      <w:r w:rsidRPr="000410F3">
        <w:rPr>
          <w:rFonts w:ascii="Times New Roman" w:hAnsi="Times New Roman"/>
          <w:szCs w:val="24"/>
        </w:rPr>
        <w:t>ith changing times and shifting economic winds, the Board, advancing a purposive approach, would be best able to effectuate the purposes and aims of an expert labor body to do what is best for society.</w:t>
      </w:r>
      <w:r w:rsidRPr="000410F3">
        <w:rPr>
          <w:rStyle w:val="FootnoteReference"/>
          <w:rFonts w:ascii="Times New Roman" w:hAnsi="Times New Roman"/>
          <w:szCs w:val="24"/>
        </w:rPr>
        <w:footnoteReference w:id="319"/>
      </w:r>
      <w:r w:rsidRPr="000410F3">
        <w:rPr>
          <w:rFonts w:ascii="Times New Roman" w:hAnsi="Times New Roman"/>
          <w:szCs w:val="24"/>
        </w:rPr>
        <w:t xml:space="preserve"> </w:t>
      </w:r>
    </w:p>
    <w:p w14:paraId="41007EEB" w14:textId="77777777" w:rsidR="0086288C" w:rsidRDefault="0086288C" w:rsidP="0086288C">
      <w:pPr>
        <w:ind w:firstLine="720"/>
        <w:rPr>
          <w:rFonts w:ascii="Times New Roman" w:hAnsi="Times New Roman"/>
          <w:szCs w:val="24"/>
        </w:rPr>
      </w:pPr>
      <w:r>
        <w:rPr>
          <w:rFonts w:ascii="Times New Roman" w:hAnsi="Times New Roman"/>
          <w:szCs w:val="24"/>
        </w:rPr>
        <w:lastRenderedPageBreak/>
        <w:t xml:space="preserve">In this section, I propose three solutions for reform. First, </w:t>
      </w:r>
      <w:r w:rsidRPr="00AE143E">
        <w:rPr>
          <w:rFonts w:ascii="Times New Roman" w:hAnsi="Times New Roman"/>
          <w:szCs w:val="24"/>
        </w:rPr>
        <w:t xml:space="preserve">the Board should use its expertise to buttress its policy arguments with real facts. Rather than merely opine that a given decision will have a certain effect on policy, the Board should use empirics to competently evaluate the ramifications of its decisions. </w:t>
      </w:r>
      <w:r>
        <w:rPr>
          <w:rFonts w:ascii="Times New Roman" w:hAnsi="Times New Roman"/>
          <w:szCs w:val="24"/>
        </w:rPr>
        <w:t>Second, the Board should make decisions in line with background principles of substantive law. Third</w:t>
      </w:r>
      <w:r w:rsidRPr="00AE143E">
        <w:rPr>
          <w:rFonts w:ascii="Times New Roman" w:hAnsi="Times New Roman"/>
          <w:szCs w:val="24"/>
        </w:rPr>
        <w:t>, the time is ripe to discuss whether the Board should engage more in rulemaking or issue binding policy statements to guide statutory decisions.</w:t>
      </w:r>
    </w:p>
    <w:p w14:paraId="61576F5E" w14:textId="77777777" w:rsidR="00BA3B6D" w:rsidRPr="00AE143E" w:rsidRDefault="00BA3B6D" w:rsidP="00BA3B6D">
      <w:pPr>
        <w:rPr>
          <w:rFonts w:ascii="Times New Roman" w:hAnsi="Times New Roman"/>
          <w:szCs w:val="24"/>
        </w:rPr>
      </w:pPr>
    </w:p>
    <w:p w14:paraId="4B11CB25" w14:textId="45C94731" w:rsidR="0086288C" w:rsidRPr="001E2B74" w:rsidRDefault="001E2B74" w:rsidP="001E2B74">
      <w:pPr>
        <w:pStyle w:val="ListParagraph"/>
        <w:numPr>
          <w:ilvl w:val="0"/>
          <w:numId w:val="29"/>
        </w:numPr>
        <w:rPr>
          <w:rFonts w:ascii="Times New Roman" w:hAnsi="Times New Roman"/>
          <w:b/>
          <w:szCs w:val="24"/>
        </w:rPr>
      </w:pPr>
      <w:r>
        <w:rPr>
          <w:rFonts w:ascii="Times New Roman" w:hAnsi="Times New Roman"/>
          <w:b/>
          <w:szCs w:val="24"/>
        </w:rPr>
        <w:t xml:space="preserve">Leverage NLRB </w:t>
      </w:r>
      <w:r w:rsidR="0086288C" w:rsidRPr="001E2B74">
        <w:rPr>
          <w:rFonts w:ascii="Times New Roman" w:hAnsi="Times New Roman"/>
          <w:b/>
          <w:szCs w:val="24"/>
        </w:rPr>
        <w:t>Expertise Grounded in Real-World Implications</w:t>
      </w:r>
    </w:p>
    <w:p w14:paraId="725860A8" w14:textId="77777777" w:rsidR="00BA3B6D" w:rsidRPr="00AA4D70" w:rsidRDefault="00BA3B6D" w:rsidP="00BA3B6D">
      <w:pPr>
        <w:pStyle w:val="ListParagraph"/>
        <w:spacing w:after="0" w:line="240" w:lineRule="auto"/>
        <w:ind w:left="1440"/>
        <w:rPr>
          <w:rFonts w:ascii="Times New Roman" w:hAnsi="Times New Roman"/>
          <w:b/>
          <w:sz w:val="24"/>
          <w:szCs w:val="24"/>
        </w:rPr>
      </w:pPr>
    </w:p>
    <w:p w14:paraId="04AB391D" w14:textId="77777777" w:rsidR="0086288C" w:rsidRDefault="0086288C" w:rsidP="0086288C">
      <w:pPr>
        <w:ind w:firstLine="720"/>
        <w:rPr>
          <w:rFonts w:ascii="Times New Roman" w:hAnsi="Times New Roman"/>
          <w:szCs w:val="24"/>
        </w:rPr>
      </w:pPr>
      <w:r>
        <w:rPr>
          <w:rFonts w:ascii="Times New Roman" w:hAnsi="Times New Roman"/>
          <w:szCs w:val="24"/>
        </w:rPr>
        <w:t>T</w:t>
      </w:r>
      <w:r w:rsidRPr="000410F3">
        <w:rPr>
          <w:rFonts w:ascii="Times New Roman" w:hAnsi="Times New Roman"/>
          <w:szCs w:val="24"/>
        </w:rPr>
        <w:t>he Board should use its expertise to craft legal doctrine that advances the agency’s purpose, collecting evidence on policy and pragmatic consequences for a given decision.</w:t>
      </w:r>
      <w:r w:rsidRPr="000410F3">
        <w:rPr>
          <w:rStyle w:val="FootnoteReference"/>
          <w:rFonts w:ascii="Times New Roman" w:hAnsi="Times New Roman"/>
          <w:szCs w:val="24"/>
        </w:rPr>
        <w:footnoteReference w:id="320"/>
      </w:r>
      <w:r w:rsidRPr="000410F3">
        <w:rPr>
          <w:rFonts w:ascii="Times New Roman" w:hAnsi="Times New Roman"/>
          <w:szCs w:val="24"/>
        </w:rPr>
        <w:t xml:space="preserve"> As Mashaw argues, “[a]gency control of …its interpretive agenda argues for an interpretive approach that engages in a wider-ranging set of policy considerations and a more straightforward approach to political context than would be constitutionally appropriate for the judiciary.”</w:t>
      </w:r>
      <w:r w:rsidRPr="000410F3">
        <w:rPr>
          <w:rStyle w:val="FootnoteReference"/>
          <w:rFonts w:ascii="Times New Roman" w:hAnsi="Times New Roman"/>
          <w:szCs w:val="24"/>
        </w:rPr>
        <w:footnoteReference w:id="321"/>
      </w:r>
      <w:r w:rsidRPr="000410F3">
        <w:rPr>
          <w:rFonts w:ascii="Times New Roman" w:hAnsi="Times New Roman"/>
          <w:szCs w:val="24"/>
        </w:rPr>
        <w:t>At present, the NLRB chooses between “competing constructions…within the range of meanings that the statutory language can support” when interpreting statutes.</w:t>
      </w:r>
      <w:r w:rsidRPr="000410F3">
        <w:rPr>
          <w:rStyle w:val="FootnoteReference"/>
          <w:rFonts w:ascii="Times New Roman" w:hAnsi="Times New Roman"/>
          <w:szCs w:val="24"/>
        </w:rPr>
        <w:footnoteReference w:id="322"/>
      </w:r>
      <w:r w:rsidRPr="000410F3">
        <w:rPr>
          <w:rFonts w:ascii="Times New Roman" w:hAnsi="Times New Roman"/>
          <w:szCs w:val="24"/>
        </w:rPr>
        <w:t xml:space="preserve"> </w:t>
      </w:r>
      <w:r>
        <w:rPr>
          <w:rFonts w:ascii="Times New Roman" w:hAnsi="Times New Roman"/>
          <w:szCs w:val="24"/>
        </w:rPr>
        <w:t xml:space="preserve">In essence, the conflict boils down to one side advocating that a term be construed broadly while the other arguing for a narrow construction. For instance, in the case of whether graduate student TAs qualify as “employees” under the NLRA, the battle can basically be stripped down to whether you think that the statutory purpose of the NLRA is best effectuated by a broad or narrow reading of the statute. Traditional methods of statutory interpretation like the text or legislative are simply of no consequence in answering that question since the answer boils down to a political calculation of whether you think that the NLRA should be interpreted broadly to cover a broader array of workers in disadvantaged positions. </w:t>
      </w:r>
    </w:p>
    <w:p w14:paraId="37BACBE0" w14:textId="005B2978" w:rsidR="0086288C" w:rsidRPr="000410F3" w:rsidRDefault="0086288C" w:rsidP="0086288C">
      <w:pPr>
        <w:ind w:firstLine="720"/>
        <w:rPr>
          <w:rFonts w:ascii="Times New Roman" w:hAnsi="Times New Roman"/>
          <w:szCs w:val="24"/>
        </w:rPr>
      </w:pPr>
      <w:r>
        <w:rPr>
          <w:rFonts w:ascii="Times New Roman" w:hAnsi="Times New Roman"/>
          <w:szCs w:val="24"/>
        </w:rPr>
        <w:t>I</w:t>
      </w:r>
      <w:r w:rsidRPr="000410F3">
        <w:rPr>
          <w:rFonts w:ascii="Times New Roman" w:hAnsi="Times New Roman"/>
          <w:szCs w:val="24"/>
        </w:rPr>
        <w:t>f the NLRB is truly going to serve its founding mission, it needs to start acting more like a policymaking court rather than a court who does policymaking on the side.</w:t>
      </w:r>
      <w:r w:rsidRPr="000410F3">
        <w:rPr>
          <w:rStyle w:val="FootnoteReference"/>
          <w:rFonts w:ascii="Times New Roman" w:hAnsi="Times New Roman"/>
          <w:szCs w:val="24"/>
        </w:rPr>
        <w:footnoteReference w:id="323"/>
      </w:r>
      <w:r w:rsidRPr="000410F3">
        <w:rPr>
          <w:rFonts w:ascii="Times New Roman" w:hAnsi="Times New Roman"/>
          <w:szCs w:val="24"/>
        </w:rPr>
        <w:t xml:space="preserve"> Board decisions often predict dire consequences of a given decision, yet never lay out the empirical evidence to back it up. </w:t>
      </w:r>
      <w:r w:rsidRPr="000410F3">
        <w:rPr>
          <w:rFonts w:ascii="Times New Roman" w:hAnsi="Times New Roman"/>
          <w:szCs w:val="24"/>
        </w:rPr>
        <w:lastRenderedPageBreak/>
        <w:t xml:space="preserve">For instance, in </w:t>
      </w:r>
      <w:r w:rsidRPr="000410F3">
        <w:rPr>
          <w:rFonts w:ascii="Times New Roman" w:hAnsi="Times New Roman"/>
          <w:i/>
          <w:szCs w:val="24"/>
        </w:rPr>
        <w:t>Browning-Ferris Industries, Inc.</w:t>
      </w:r>
      <w:r w:rsidRPr="000410F3">
        <w:rPr>
          <w:rFonts w:ascii="Times New Roman" w:hAnsi="Times New Roman"/>
          <w:szCs w:val="24"/>
        </w:rPr>
        <w:t>, Board members Miscimarra and Johnson argued that the Board’s revamp of the “joint employer” test would wreck havoc on the workplace as it would “subject countess entities to unprecedented new joint-bargaining obligations that most do not know have, to potential joint liability for unfair labor practices and breaches of collective bargaining agreements, and to economic protest activity, including what have heretofore been unlawful secondary strikes, boycotts, and picketing.”</w:t>
      </w:r>
      <w:r w:rsidRPr="000410F3">
        <w:rPr>
          <w:rStyle w:val="FootnoteReference"/>
          <w:rFonts w:ascii="Times New Roman" w:hAnsi="Times New Roman"/>
          <w:szCs w:val="24"/>
        </w:rPr>
        <w:footnoteReference w:id="324"/>
      </w:r>
      <w:r>
        <w:rPr>
          <w:rFonts w:ascii="Times New Roman" w:hAnsi="Times New Roman"/>
          <w:szCs w:val="24"/>
        </w:rPr>
        <w:t xml:space="preserve"> </w:t>
      </w:r>
      <w:r w:rsidRPr="000410F3">
        <w:rPr>
          <w:rFonts w:ascii="Times New Roman" w:hAnsi="Times New Roman"/>
          <w:szCs w:val="24"/>
        </w:rPr>
        <w:t>The dissenters spent page after page bemoaning the negative consequences that could ensure, but they offer no social scientific evidence to back up the claims, nor for the most part do they make any citations at all to buttress the claims about the decision’s ramifications. In all, the majority and dissent come down to a policy dispute over how broadly t</w:t>
      </w:r>
      <w:r>
        <w:rPr>
          <w:rFonts w:ascii="Times New Roman" w:hAnsi="Times New Roman"/>
          <w:szCs w:val="24"/>
        </w:rPr>
        <w:t>o interpret the word “employee.” This same pattern</w:t>
      </w:r>
      <w:r w:rsidR="00103F75">
        <w:rPr>
          <w:rFonts w:ascii="Times New Roman" w:hAnsi="Times New Roman"/>
          <w:szCs w:val="24"/>
        </w:rPr>
        <w:t xml:space="preserve"> </w:t>
      </w:r>
      <w:r>
        <w:rPr>
          <w:rFonts w:ascii="Times New Roman" w:hAnsi="Times New Roman"/>
          <w:szCs w:val="24"/>
        </w:rPr>
        <w:t>—</w:t>
      </w:r>
      <w:r w:rsidR="00103F75">
        <w:rPr>
          <w:rFonts w:ascii="Times New Roman" w:hAnsi="Times New Roman"/>
          <w:szCs w:val="24"/>
        </w:rPr>
        <w:t xml:space="preserve"> </w:t>
      </w:r>
      <w:r>
        <w:rPr>
          <w:rFonts w:ascii="Times New Roman" w:hAnsi="Times New Roman"/>
          <w:szCs w:val="24"/>
        </w:rPr>
        <w:t>of both the majority and dissent making arguments without citation on the consequences of a given decision</w:t>
      </w:r>
      <w:r w:rsidR="00103F75">
        <w:rPr>
          <w:rFonts w:ascii="Times New Roman" w:hAnsi="Times New Roman"/>
          <w:szCs w:val="24"/>
        </w:rPr>
        <w:t xml:space="preserve"> </w:t>
      </w:r>
      <w:r>
        <w:rPr>
          <w:rFonts w:ascii="Times New Roman" w:hAnsi="Times New Roman"/>
          <w:szCs w:val="24"/>
        </w:rPr>
        <w:t>—</w:t>
      </w:r>
      <w:r w:rsidR="00103F75">
        <w:rPr>
          <w:rFonts w:ascii="Times New Roman" w:hAnsi="Times New Roman"/>
          <w:szCs w:val="24"/>
        </w:rPr>
        <w:t xml:space="preserve"> </w:t>
      </w:r>
      <w:r>
        <w:rPr>
          <w:rFonts w:ascii="Times New Roman" w:hAnsi="Times New Roman"/>
          <w:szCs w:val="24"/>
        </w:rPr>
        <w:t>is prevalent throughout the statutory interpretation cases studied.</w:t>
      </w:r>
    </w:p>
    <w:p w14:paraId="142C2F03" w14:textId="77777777" w:rsidR="0086288C" w:rsidRPr="000410F3" w:rsidRDefault="0086288C" w:rsidP="0086288C">
      <w:pPr>
        <w:ind w:firstLine="720"/>
        <w:rPr>
          <w:rFonts w:ascii="Times New Roman" w:hAnsi="Times New Roman"/>
          <w:szCs w:val="24"/>
        </w:rPr>
      </w:pPr>
      <w:r w:rsidRPr="000410F3">
        <w:rPr>
          <w:rFonts w:ascii="Times New Roman" w:hAnsi="Times New Roman"/>
          <w:szCs w:val="24"/>
        </w:rPr>
        <w:t>In these and other cases, the NLRB can be reformed to give it more power to engage in policymaking in a more explicit (and fairer) way</w:t>
      </w:r>
      <w:r>
        <w:rPr>
          <w:rFonts w:ascii="Times New Roman" w:hAnsi="Times New Roman"/>
          <w:szCs w:val="24"/>
        </w:rPr>
        <w:t xml:space="preserve">. </w:t>
      </w:r>
      <w:r w:rsidRPr="000410F3">
        <w:rPr>
          <w:rFonts w:ascii="Times New Roman" w:hAnsi="Times New Roman"/>
          <w:szCs w:val="24"/>
        </w:rPr>
        <w:t>For instance, if the NLRB were to truly embrace its policymaking role, it would ask parties that appear before it to brief the economic effects that could ensure should the Board rule one way or another</w:t>
      </w:r>
      <w:r>
        <w:rPr>
          <w:rFonts w:ascii="Times New Roman" w:hAnsi="Times New Roman"/>
          <w:szCs w:val="24"/>
        </w:rPr>
        <w:t xml:space="preserve"> or even better yet the Board could have its own internal nonpartisan research arm to guide decision-making</w:t>
      </w:r>
      <w:r w:rsidRPr="000410F3">
        <w:rPr>
          <w:rFonts w:ascii="Times New Roman" w:hAnsi="Times New Roman"/>
          <w:szCs w:val="24"/>
        </w:rPr>
        <w:t>. Rather than mere vague assertions of “policy” or pontifications about a given case’s possible ramifications, the Board can consider different viewpoints of experts so as to be able to have a solid foundation in which to use its expertise to make labor policy to serve the aim of 1) avoiding strikes; and 2) increasing wages</w:t>
      </w:r>
      <w:r>
        <w:rPr>
          <w:rFonts w:ascii="Times New Roman" w:hAnsi="Times New Roman"/>
          <w:szCs w:val="24"/>
        </w:rPr>
        <w:t>, the twin aims that Congress states as the underlying purpose of the NLRA</w:t>
      </w:r>
      <w:r w:rsidRPr="000410F3">
        <w:rPr>
          <w:rFonts w:ascii="Times New Roman" w:hAnsi="Times New Roman"/>
          <w:szCs w:val="24"/>
        </w:rPr>
        <w:t xml:space="preserve">. Appellate courts would then not have to guess on the standard of review. For instance, in the </w:t>
      </w:r>
      <w:r w:rsidRPr="000410F3">
        <w:rPr>
          <w:rFonts w:ascii="Times New Roman" w:hAnsi="Times New Roman"/>
          <w:i/>
          <w:szCs w:val="24"/>
        </w:rPr>
        <w:t>Columbia University</w:t>
      </w:r>
      <w:r w:rsidRPr="000410F3">
        <w:rPr>
          <w:rFonts w:ascii="Times New Roman" w:hAnsi="Times New Roman"/>
          <w:szCs w:val="24"/>
        </w:rPr>
        <w:t xml:space="preserve"> graduate TA case, the Board would consider what impact on strikes or collective bargaining would expansion of the pool to include students as employees actually have.</w:t>
      </w:r>
    </w:p>
    <w:p w14:paraId="7E14495F" w14:textId="2C8C04CB" w:rsidR="0086288C" w:rsidRPr="000410F3" w:rsidRDefault="0086288C" w:rsidP="0086288C">
      <w:pPr>
        <w:rPr>
          <w:rFonts w:ascii="Times New Roman" w:hAnsi="Times New Roman"/>
          <w:szCs w:val="24"/>
        </w:rPr>
      </w:pPr>
      <w:r w:rsidRPr="000410F3">
        <w:rPr>
          <w:rFonts w:ascii="Times New Roman" w:hAnsi="Times New Roman"/>
          <w:szCs w:val="24"/>
        </w:rPr>
        <w:t xml:space="preserve"> </w:t>
      </w:r>
      <w:r w:rsidRPr="000410F3">
        <w:rPr>
          <w:rFonts w:ascii="Times New Roman" w:hAnsi="Times New Roman"/>
          <w:szCs w:val="24"/>
        </w:rPr>
        <w:tab/>
        <w:t>New Dealers envisioned agencies as being based on expertise and professionalism so that they could analyze social and economic problems and rely on scientific and empirical information that courts and legislatures could not otherwise consider.</w:t>
      </w:r>
      <w:r w:rsidRPr="000410F3">
        <w:rPr>
          <w:rStyle w:val="FootnoteReference"/>
          <w:rFonts w:ascii="Times New Roman" w:hAnsi="Times New Roman"/>
          <w:szCs w:val="24"/>
        </w:rPr>
        <w:footnoteReference w:id="325"/>
      </w:r>
      <w:r w:rsidRPr="000410F3">
        <w:rPr>
          <w:rFonts w:ascii="Times New Roman" w:hAnsi="Times New Roman"/>
          <w:szCs w:val="24"/>
        </w:rPr>
        <w:t xml:space="preserve"> The Board never developed the kind of non-legal expertise that administrative agencies were supposed to have due to historical </w:t>
      </w:r>
      <w:r w:rsidRPr="000410F3">
        <w:rPr>
          <w:rFonts w:ascii="Times New Roman" w:hAnsi="Times New Roman"/>
          <w:szCs w:val="24"/>
        </w:rPr>
        <w:lastRenderedPageBreak/>
        <w:t>circumstances.</w:t>
      </w:r>
      <w:r w:rsidRPr="000410F3">
        <w:rPr>
          <w:rStyle w:val="FootnoteReference"/>
          <w:rFonts w:ascii="Times New Roman" w:hAnsi="Times New Roman"/>
          <w:szCs w:val="24"/>
        </w:rPr>
        <w:footnoteReference w:id="326"/>
      </w:r>
      <w:r w:rsidRPr="000410F3">
        <w:rPr>
          <w:rFonts w:ascii="Times New Roman" w:hAnsi="Times New Roman"/>
          <w:szCs w:val="24"/>
        </w:rPr>
        <w:t xml:space="preserve"> In the 1940s, widespread opposition to the Board resulted in Congress gutting the Board’s Division of Economic Research, which had gotten a reputation as being “biased” for labor.</w:t>
      </w:r>
      <w:r w:rsidRPr="000410F3">
        <w:rPr>
          <w:rStyle w:val="FootnoteReference"/>
          <w:rFonts w:ascii="Times New Roman" w:hAnsi="Times New Roman"/>
          <w:szCs w:val="24"/>
        </w:rPr>
        <w:footnoteReference w:id="327"/>
      </w:r>
      <w:r w:rsidRPr="000410F3">
        <w:rPr>
          <w:rFonts w:ascii="Times New Roman" w:hAnsi="Times New Roman"/>
          <w:szCs w:val="24"/>
        </w:rPr>
        <w:t xml:space="preserve"> Further, an early turf war with the Department of Labor (“DOL”) resulted in the Board not having access to DOL’s empirical research on labor.</w:t>
      </w:r>
      <w:r w:rsidRPr="000410F3">
        <w:rPr>
          <w:rStyle w:val="FootnoteReference"/>
          <w:rFonts w:ascii="Times New Roman" w:hAnsi="Times New Roman"/>
          <w:szCs w:val="24"/>
        </w:rPr>
        <w:footnoteReference w:id="328"/>
      </w:r>
      <w:r w:rsidRPr="000410F3">
        <w:rPr>
          <w:rFonts w:ascii="Times New Roman" w:hAnsi="Times New Roman"/>
          <w:szCs w:val="24"/>
        </w:rPr>
        <w:t xml:space="preserve"> The DOL has the ability to produce “high quality empirical analysis of the myriad questions that arise in NLRB cases”</w:t>
      </w:r>
      <w:r w:rsidRPr="000410F3">
        <w:rPr>
          <w:rStyle w:val="FootnoteReference"/>
          <w:rFonts w:ascii="Times New Roman" w:hAnsi="Times New Roman"/>
          <w:szCs w:val="24"/>
        </w:rPr>
        <w:footnoteReference w:id="329"/>
      </w:r>
      <w:r w:rsidRPr="000410F3">
        <w:rPr>
          <w:rFonts w:ascii="Times New Roman" w:hAnsi="Times New Roman"/>
          <w:szCs w:val="24"/>
        </w:rPr>
        <w:t xml:space="preserve"> yet currently the Board has no access to this valued information. Moreover, the Board is not able to coordinate data gathering and </w:t>
      </w:r>
      <w:r w:rsidR="00103F75">
        <w:rPr>
          <w:rFonts w:ascii="Times New Roman" w:hAnsi="Times New Roman"/>
          <w:szCs w:val="24"/>
        </w:rPr>
        <w:t>policy analysis with DOL, Equal Employment Opportunity Commission</w:t>
      </w:r>
      <w:r w:rsidRPr="000410F3">
        <w:rPr>
          <w:rFonts w:ascii="Times New Roman" w:hAnsi="Times New Roman"/>
          <w:szCs w:val="24"/>
        </w:rPr>
        <w:t xml:space="preserve"> or state labor agencies.</w:t>
      </w:r>
      <w:r w:rsidRPr="000410F3">
        <w:rPr>
          <w:rStyle w:val="FootnoteReference"/>
          <w:rFonts w:ascii="Times New Roman" w:hAnsi="Times New Roman"/>
          <w:szCs w:val="24"/>
        </w:rPr>
        <w:footnoteReference w:id="330"/>
      </w:r>
      <w:r w:rsidRPr="000410F3">
        <w:rPr>
          <w:rFonts w:ascii="Times New Roman" w:hAnsi="Times New Roman"/>
          <w:szCs w:val="24"/>
        </w:rPr>
        <w:t xml:space="preserve"> Giving NLRB back its policy tools would do much to make its statutory interpretation more reasoned and more consistent. </w:t>
      </w:r>
    </w:p>
    <w:p w14:paraId="6D43C2B7" w14:textId="77777777" w:rsidR="00103F75" w:rsidRDefault="0086288C" w:rsidP="0086288C">
      <w:pPr>
        <w:rPr>
          <w:rFonts w:ascii="Times New Roman" w:hAnsi="Times New Roman"/>
          <w:szCs w:val="24"/>
        </w:rPr>
      </w:pPr>
      <w:r>
        <w:rPr>
          <w:rFonts w:ascii="Times New Roman" w:hAnsi="Times New Roman"/>
          <w:szCs w:val="24"/>
        </w:rPr>
        <w:tab/>
        <w:t>Of course, critics of this approach may argue that social science data may itself be tinged with political calcula</w:t>
      </w:r>
      <w:r w:rsidR="00103F75">
        <w:rPr>
          <w:rFonts w:ascii="Times New Roman" w:hAnsi="Times New Roman"/>
          <w:szCs w:val="24"/>
        </w:rPr>
        <w:t xml:space="preserve">tions. Each side </w:t>
      </w:r>
      <w:r>
        <w:rPr>
          <w:rFonts w:ascii="Times New Roman" w:hAnsi="Times New Roman"/>
          <w:szCs w:val="24"/>
        </w:rPr>
        <w:t>could surely hire experts to advance their preferred policy position. However, by creating a nonpartisan body within the NLRB akin to the Congressional Budget Office to offer economic advice on the economic ramifications of a given decision would do much to allow the agency to leverage its expertise to make stable and consistent policymaking. Statutory directives often have cross-cutting purposes, but if it happens to be the case that the “story” of a given statute is “rewritten” to emphasize different factors during different time periods, that may not necessarily be a “bad thing” from a democratic accountability perspective.</w:t>
      </w:r>
      <w:r>
        <w:rPr>
          <w:rStyle w:val="FootnoteReference"/>
          <w:rFonts w:ascii="Times New Roman" w:hAnsi="Times New Roman"/>
          <w:szCs w:val="24"/>
        </w:rPr>
        <w:footnoteReference w:id="331"/>
      </w:r>
      <w:r w:rsidR="00103F75">
        <w:rPr>
          <w:rFonts w:ascii="Times New Roman" w:hAnsi="Times New Roman"/>
          <w:szCs w:val="24"/>
        </w:rPr>
        <w:t xml:space="preserve"> </w:t>
      </w:r>
    </w:p>
    <w:p w14:paraId="6B4FC60F" w14:textId="5B91C6E9" w:rsidR="0086288C" w:rsidRDefault="0086288C" w:rsidP="00103F75">
      <w:pPr>
        <w:ind w:firstLine="720"/>
        <w:rPr>
          <w:rFonts w:ascii="Times New Roman" w:hAnsi="Times New Roman"/>
          <w:szCs w:val="24"/>
        </w:rPr>
      </w:pPr>
      <w:r>
        <w:rPr>
          <w:rFonts w:ascii="Times New Roman" w:hAnsi="Times New Roman"/>
          <w:szCs w:val="24"/>
        </w:rPr>
        <w:t xml:space="preserve">The problem thus far is that the NLRB changes its interpretation too much with changing political realities. Since 2000, the NLRB has changed who qualifies as a graduate TA three times. While such a change may on occasion be something that may be preferential or mandated from a democratic accountability perspective, too much change —  especially when such change is not grounded in sound social science </w:t>
      </w:r>
      <w:r w:rsidRPr="00720199">
        <w:rPr>
          <w:rFonts w:ascii="Times New Roman" w:hAnsi="Times New Roman"/>
          <w:szCs w:val="24"/>
        </w:rPr>
        <w:t>data</w:t>
      </w:r>
      <w:r>
        <w:rPr>
          <w:rFonts w:ascii="Times New Roman" w:hAnsi="Times New Roman"/>
          <w:szCs w:val="24"/>
        </w:rPr>
        <w:t xml:space="preserve"> </w:t>
      </w:r>
      <w:r w:rsidRPr="00720199">
        <w:rPr>
          <w:rFonts w:ascii="Times New Roman" w:hAnsi="Times New Roman"/>
          <w:szCs w:val="24"/>
        </w:rPr>
        <w:t>—</w:t>
      </w:r>
      <w:r>
        <w:rPr>
          <w:rFonts w:ascii="Times New Roman" w:hAnsi="Times New Roman"/>
          <w:szCs w:val="24"/>
        </w:rPr>
        <w:t xml:space="preserve"> </w:t>
      </w:r>
      <w:r w:rsidRPr="00720199">
        <w:rPr>
          <w:rFonts w:ascii="Times New Roman" w:hAnsi="Times New Roman"/>
          <w:szCs w:val="24"/>
        </w:rPr>
        <w:t>results in</w:t>
      </w:r>
      <w:r>
        <w:rPr>
          <w:rFonts w:ascii="Times New Roman" w:hAnsi="Times New Roman"/>
          <w:szCs w:val="24"/>
        </w:rPr>
        <w:t xml:space="preserve"> lack of stability in interpreting the labor laws. Mandating some empirical evidence to back up claims about policy increases the transaction cost for policy </w:t>
      </w:r>
      <w:r>
        <w:rPr>
          <w:rFonts w:ascii="Times New Roman" w:hAnsi="Times New Roman"/>
          <w:szCs w:val="24"/>
        </w:rPr>
        <w:lastRenderedPageBreak/>
        <w:t xml:space="preserve">change, making it less likely that agencies make frivolous or unsubstantiated policy changes. Requiring any change in interpretation to at least be minimally grounded in evidence that the decision accomplishes the statute’s purpose would do much to ensure that decisions affecting the everyday lives of millions of people are not grounded simply in the ideological preferences of a given presidentially-appointed Board member. It prevents the executive from getting too much power at the expense of the other branches. In essence, reforming the process to include more voices would be a better alternative than the present system to best balance the goals of policy coherence, stability and democratic accountability. </w:t>
      </w:r>
    </w:p>
    <w:p w14:paraId="717560B6" w14:textId="77777777" w:rsidR="00BA3B6D" w:rsidRDefault="00BA3B6D" w:rsidP="0086288C">
      <w:pPr>
        <w:rPr>
          <w:rFonts w:ascii="Times New Roman" w:hAnsi="Times New Roman"/>
          <w:szCs w:val="24"/>
        </w:rPr>
      </w:pPr>
    </w:p>
    <w:p w14:paraId="6E6E13B9" w14:textId="7EC6818A" w:rsidR="0086288C" w:rsidRPr="001E2B74" w:rsidRDefault="001E2B74" w:rsidP="001E2B74">
      <w:pPr>
        <w:pStyle w:val="ListParagraph"/>
        <w:numPr>
          <w:ilvl w:val="0"/>
          <w:numId w:val="29"/>
        </w:numPr>
        <w:rPr>
          <w:rFonts w:ascii="Times New Roman" w:hAnsi="Times New Roman"/>
          <w:b/>
          <w:szCs w:val="24"/>
        </w:rPr>
      </w:pPr>
      <w:r>
        <w:rPr>
          <w:rFonts w:ascii="Times New Roman" w:hAnsi="Times New Roman"/>
          <w:b/>
          <w:szCs w:val="24"/>
        </w:rPr>
        <w:t>Ground Statutory Interpretation in Substantive Background Principles</w:t>
      </w:r>
    </w:p>
    <w:p w14:paraId="3F0C141D" w14:textId="77777777" w:rsidR="00BA3B6D" w:rsidRPr="00477122" w:rsidRDefault="00BA3B6D" w:rsidP="00BA3B6D">
      <w:pPr>
        <w:pStyle w:val="ListParagraph"/>
        <w:spacing w:after="0" w:line="240" w:lineRule="auto"/>
        <w:ind w:left="1440"/>
        <w:rPr>
          <w:rFonts w:ascii="Times New Roman" w:hAnsi="Times New Roman"/>
          <w:b/>
          <w:sz w:val="24"/>
          <w:szCs w:val="24"/>
        </w:rPr>
      </w:pPr>
    </w:p>
    <w:p w14:paraId="0FF79E2A" w14:textId="4C8CF75C" w:rsidR="0086288C" w:rsidRDefault="0086288C" w:rsidP="0086288C">
      <w:pPr>
        <w:ind w:firstLine="720"/>
        <w:rPr>
          <w:rFonts w:ascii="Times New Roman" w:hAnsi="Times New Roman"/>
          <w:szCs w:val="24"/>
        </w:rPr>
      </w:pPr>
      <w:r>
        <w:rPr>
          <w:rFonts w:ascii="Times New Roman" w:hAnsi="Times New Roman"/>
          <w:szCs w:val="24"/>
        </w:rPr>
        <w:t>As part of using its expertise to interpret statutes</w:t>
      </w:r>
      <w:r w:rsidRPr="00477122">
        <w:rPr>
          <w:rFonts w:ascii="Times New Roman" w:hAnsi="Times New Roman"/>
          <w:szCs w:val="24"/>
        </w:rPr>
        <w:t>, agencies should interpret statutes to make sense in light of background principles of substantive law.</w:t>
      </w:r>
      <w:r w:rsidRPr="000410F3">
        <w:rPr>
          <w:rStyle w:val="FootnoteReference"/>
          <w:rFonts w:ascii="Times New Roman" w:hAnsi="Times New Roman"/>
          <w:szCs w:val="24"/>
        </w:rPr>
        <w:footnoteReference w:id="332"/>
      </w:r>
      <w:r w:rsidRPr="00477122">
        <w:rPr>
          <w:rFonts w:ascii="Times New Roman" w:hAnsi="Times New Roman"/>
          <w:szCs w:val="24"/>
        </w:rPr>
        <w:t xml:space="preserve"> As Jonathan Siegal argues, “this distinctive degree of knowledge puts agencies in a particularly good position to utilize an interpretive method which gives special weight to substantive background principles of law and which understands the meaning of statutory text in light of such background principles.” These substantive </w:t>
      </w:r>
      <w:r w:rsidR="00BF7B72">
        <w:rPr>
          <w:rFonts w:ascii="Times New Roman" w:hAnsi="Times New Roman"/>
          <w:szCs w:val="24"/>
        </w:rPr>
        <w:t xml:space="preserve">principles </w:t>
      </w:r>
      <w:r w:rsidRPr="00477122">
        <w:rPr>
          <w:rFonts w:ascii="Times New Roman" w:hAnsi="Times New Roman"/>
          <w:szCs w:val="24"/>
        </w:rPr>
        <w:t>may tilt the result toward a given result, in line with how the law is usually interpreted in similar cases.</w:t>
      </w:r>
      <w:r>
        <w:rPr>
          <w:rStyle w:val="FootnoteReference"/>
          <w:rFonts w:ascii="Times New Roman" w:hAnsi="Times New Roman"/>
          <w:szCs w:val="24"/>
        </w:rPr>
        <w:footnoteReference w:id="333"/>
      </w:r>
      <w:r w:rsidRPr="00477122">
        <w:rPr>
          <w:rFonts w:ascii="Times New Roman" w:hAnsi="Times New Roman"/>
          <w:szCs w:val="24"/>
        </w:rPr>
        <w:t xml:space="preserve"> For instance, in an environmental law cases, in interpreting whether a substance is “hazardous,”</w:t>
      </w:r>
      <w:r>
        <w:rPr>
          <w:rFonts w:ascii="Times New Roman" w:hAnsi="Times New Roman"/>
          <w:szCs w:val="24"/>
        </w:rPr>
        <w:t xml:space="preserve"> the EPA may give</w:t>
      </w:r>
      <w:r w:rsidRPr="00477122">
        <w:rPr>
          <w:rFonts w:ascii="Times New Roman" w:hAnsi="Times New Roman"/>
          <w:szCs w:val="24"/>
        </w:rPr>
        <w:t xml:space="preserve"> particular weight to the concentration of the chemical, because of the background principle that as a substantive matter, knowing the concentration is an important consideration in determining whether something is hazardous, even if the statutory text is unclear or ambiguous on the topic.</w:t>
      </w:r>
      <w:r>
        <w:rPr>
          <w:rStyle w:val="FootnoteReference"/>
          <w:rFonts w:ascii="Times New Roman" w:hAnsi="Times New Roman"/>
          <w:szCs w:val="24"/>
        </w:rPr>
        <w:footnoteReference w:id="334"/>
      </w:r>
      <w:r w:rsidRPr="00477122">
        <w:rPr>
          <w:rFonts w:ascii="Times New Roman" w:hAnsi="Times New Roman"/>
          <w:szCs w:val="24"/>
        </w:rPr>
        <w:t xml:space="preserve"> These “field specific canons of construction” </w:t>
      </w:r>
      <w:r>
        <w:rPr>
          <w:rFonts w:ascii="Times New Roman" w:hAnsi="Times New Roman"/>
          <w:szCs w:val="24"/>
        </w:rPr>
        <w:t>are based on scientific study</w:t>
      </w:r>
      <w:r>
        <w:rPr>
          <w:rStyle w:val="FootnoteReference"/>
          <w:rFonts w:ascii="Times New Roman" w:hAnsi="Times New Roman"/>
          <w:szCs w:val="24"/>
        </w:rPr>
        <w:footnoteReference w:id="335"/>
      </w:r>
      <w:r w:rsidRPr="00477122">
        <w:rPr>
          <w:rFonts w:ascii="Times New Roman" w:hAnsi="Times New Roman"/>
          <w:szCs w:val="24"/>
        </w:rPr>
        <w:t xml:space="preserve"> </w:t>
      </w:r>
      <w:r>
        <w:rPr>
          <w:rFonts w:ascii="Times New Roman" w:hAnsi="Times New Roman"/>
          <w:szCs w:val="24"/>
        </w:rPr>
        <w:t xml:space="preserve">and their usage </w:t>
      </w:r>
      <w:r w:rsidRPr="00477122">
        <w:rPr>
          <w:rFonts w:ascii="Times New Roman" w:hAnsi="Times New Roman"/>
          <w:szCs w:val="24"/>
        </w:rPr>
        <w:t>would do much to ensure that statutes within substantive areas are interpreted consistently and in line with the expertise of the agency.</w:t>
      </w:r>
    </w:p>
    <w:p w14:paraId="297B71C6" w14:textId="77777777" w:rsidR="0086288C" w:rsidRDefault="0086288C" w:rsidP="0086288C">
      <w:pPr>
        <w:ind w:firstLine="720"/>
        <w:rPr>
          <w:rFonts w:ascii="Times New Roman" w:hAnsi="Times New Roman"/>
          <w:szCs w:val="24"/>
        </w:rPr>
      </w:pPr>
      <w:r>
        <w:rPr>
          <w:rFonts w:ascii="Times New Roman" w:hAnsi="Times New Roman"/>
          <w:szCs w:val="24"/>
        </w:rPr>
        <w:t xml:space="preserve">The NLRB is uniquely positioned to understand the nuances of workplace discrimination and harassment. For instance, in interpreting whether conduct is “protected” under the statute or whether the employer or union acts in a “concerted” fashion, the NLRB can apply background norms of labor laws to elucidate understanding of those terms. The experience of </w:t>
      </w:r>
      <w:r>
        <w:rPr>
          <w:rFonts w:ascii="Times New Roman" w:hAnsi="Times New Roman"/>
          <w:szCs w:val="24"/>
        </w:rPr>
        <w:lastRenderedPageBreak/>
        <w:t>hearing and ruling on thousands of cases gives the NLRB the unique perspective to understand when employer or union conduct directed at employees is truly egregious enough to warrant reprimand under the NLRA.</w:t>
      </w:r>
    </w:p>
    <w:p w14:paraId="206477D2" w14:textId="77777777" w:rsidR="001E2B74" w:rsidRPr="00477122" w:rsidRDefault="001E2B74" w:rsidP="0086288C">
      <w:pPr>
        <w:ind w:firstLine="720"/>
        <w:rPr>
          <w:rFonts w:ascii="Times New Roman" w:hAnsi="Times New Roman"/>
          <w:szCs w:val="24"/>
        </w:rPr>
      </w:pPr>
    </w:p>
    <w:p w14:paraId="5B7FE9EE" w14:textId="330E9665" w:rsidR="00BA3B6D" w:rsidRDefault="001E2B74" w:rsidP="001E2B74">
      <w:pPr>
        <w:pStyle w:val="ListParagraph"/>
        <w:numPr>
          <w:ilvl w:val="0"/>
          <w:numId w:val="29"/>
        </w:numPr>
        <w:spacing w:after="0" w:line="240" w:lineRule="auto"/>
        <w:rPr>
          <w:rFonts w:ascii="Times New Roman" w:hAnsi="Times New Roman"/>
          <w:b/>
          <w:sz w:val="24"/>
          <w:szCs w:val="24"/>
        </w:rPr>
      </w:pPr>
      <w:r>
        <w:rPr>
          <w:rFonts w:ascii="Times New Roman" w:hAnsi="Times New Roman"/>
          <w:b/>
          <w:sz w:val="24"/>
          <w:szCs w:val="24"/>
        </w:rPr>
        <w:t xml:space="preserve">Use </w:t>
      </w:r>
      <w:r w:rsidR="0086288C" w:rsidRPr="00477122">
        <w:rPr>
          <w:rFonts w:ascii="Times New Roman" w:hAnsi="Times New Roman"/>
          <w:b/>
          <w:sz w:val="24"/>
          <w:szCs w:val="24"/>
        </w:rPr>
        <w:t>Rulemaking</w:t>
      </w:r>
      <w:r w:rsidR="0086288C">
        <w:rPr>
          <w:rFonts w:ascii="Times New Roman" w:hAnsi="Times New Roman"/>
          <w:b/>
          <w:sz w:val="24"/>
          <w:szCs w:val="24"/>
        </w:rPr>
        <w:t xml:space="preserve"> as a Tool to Advance</w:t>
      </w:r>
      <w:r>
        <w:rPr>
          <w:rFonts w:ascii="Times New Roman" w:hAnsi="Times New Roman"/>
          <w:b/>
          <w:sz w:val="24"/>
          <w:szCs w:val="24"/>
        </w:rPr>
        <w:t xml:space="preserve"> Key Statutory Inte</w:t>
      </w:r>
      <w:r w:rsidR="00BA3B6D">
        <w:rPr>
          <w:rFonts w:ascii="Times New Roman" w:hAnsi="Times New Roman"/>
          <w:b/>
          <w:sz w:val="24"/>
          <w:szCs w:val="24"/>
        </w:rPr>
        <w:t>rpretations</w:t>
      </w:r>
    </w:p>
    <w:p w14:paraId="744DB683" w14:textId="77777777" w:rsidR="00BA3B6D" w:rsidRPr="00BA3B6D" w:rsidRDefault="00BA3B6D" w:rsidP="00BA3B6D">
      <w:pPr>
        <w:pStyle w:val="ListParagraph"/>
        <w:spacing w:after="0" w:line="240" w:lineRule="auto"/>
        <w:ind w:left="1440"/>
        <w:rPr>
          <w:rFonts w:ascii="Times New Roman" w:hAnsi="Times New Roman"/>
          <w:b/>
          <w:sz w:val="24"/>
          <w:szCs w:val="24"/>
        </w:rPr>
      </w:pPr>
    </w:p>
    <w:p w14:paraId="211B96A1" w14:textId="67C16ADD" w:rsidR="0086288C" w:rsidRPr="000410F3" w:rsidRDefault="0086288C" w:rsidP="00BA3B6D">
      <w:pPr>
        <w:ind w:firstLine="720"/>
        <w:rPr>
          <w:rFonts w:ascii="Times New Roman" w:hAnsi="Times New Roman"/>
          <w:szCs w:val="24"/>
        </w:rPr>
      </w:pPr>
      <w:r>
        <w:rPr>
          <w:rFonts w:ascii="Times New Roman" w:hAnsi="Times New Roman"/>
          <w:szCs w:val="24"/>
        </w:rPr>
        <w:t xml:space="preserve">Finally, it is also time </w:t>
      </w:r>
      <w:r w:rsidRPr="00841217">
        <w:rPr>
          <w:rFonts w:ascii="Times New Roman" w:hAnsi="Times New Roman"/>
          <w:szCs w:val="24"/>
        </w:rPr>
        <w:t xml:space="preserve">to consider whether the Board should change its method of </w:t>
      </w:r>
      <w:r w:rsidRPr="000410F3">
        <w:rPr>
          <w:rFonts w:ascii="Times New Roman" w:hAnsi="Times New Roman"/>
          <w:szCs w:val="24"/>
        </w:rPr>
        <w:t>policymaking and rely more on rulemaking or guidance documents</w:t>
      </w:r>
      <w:r>
        <w:rPr>
          <w:rFonts w:ascii="Times New Roman" w:hAnsi="Times New Roman"/>
          <w:szCs w:val="24"/>
        </w:rPr>
        <w:t xml:space="preserve"> to advance statutory directives</w:t>
      </w:r>
      <w:r w:rsidRPr="000410F3">
        <w:rPr>
          <w:rFonts w:ascii="Times New Roman" w:hAnsi="Times New Roman"/>
          <w:szCs w:val="24"/>
        </w:rPr>
        <w:t>.</w:t>
      </w:r>
      <w:bookmarkStart w:id="38" w:name="_Ref460689224"/>
      <w:r w:rsidRPr="000410F3">
        <w:rPr>
          <w:rStyle w:val="FootnoteReference"/>
          <w:rFonts w:ascii="Times New Roman" w:hAnsi="Times New Roman"/>
          <w:szCs w:val="24"/>
        </w:rPr>
        <w:footnoteReference w:id="336"/>
      </w:r>
      <w:bookmarkEnd w:id="38"/>
      <w:r w:rsidRPr="000410F3">
        <w:rPr>
          <w:rFonts w:ascii="Times New Roman" w:hAnsi="Times New Roman"/>
          <w:szCs w:val="24"/>
        </w:rPr>
        <w:t xml:space="preserve"> The Board needs to engage in policymaking, and one questions whether an institutional body acting like a court can ever really be a policymaking body through</w:t>
      </w:r>
      <w:r>
        <w:rPr>
          <w:rFonts w:ascii="Times New Roman" w:hAnsi="Times New Roman"/>
          <w:szCs w:val="24"/>
        </w:rPr>
        <w:t xml:space="preserve"> case-by-case adjudications. Scholars have argued that an agency’s statutory interpretation is probably not invariant to forum.</w:t>
      </w:r>
      <w:r>
        <w:rPr>
          <w:rStyle w:val="FootnoteReference"/>
          <w:rFonts w:ascii="Times New Roman" w:hAnsi="Times New Roman"/>
          <w:szCs w:val="24"/>
        </w:rPr>
        <w:footnoteReference w:id="337"/>
      </w:r>
      <w:r>
        <w:rPr>
          <w:rFonts w:ascii="Times New Roman" w:hAnsi="Times New Roman"/>
          <w:szCs w:val="24"/>
        </w:rPr>
        <w:t xml:space="preserve"> A</w:t>
      </w:r>
      <w:r w:rsidRPr="00A30E7F">
        <w:rPr>
          <w:rFonts w:ascii="Times New Roman" w:hAnsi="Times New Roman"/>
          <w:szCs w:val="24"/>
        </w:rPr>
        <w:t xml:space="preserve">n agency’s ability to incorporate political preferences and budgetary concerns into decisions may be greater in </w:t>
      </w:r>
      <w:r w:rsidR="001E2B74">
        <w:rPr>
          <w:rFonts w:ascii="Times New Roman" w:hAnsi="Times New Roman"/>
          <w:szCs w:val="24"/>
        </w:rPr>
        <w:t xml:space="preserve">rulemaking </w:t>
      </w:r>
      <w:r w:rsidRPr="00A30E7F">
        <w:rPr>
          <w:rFonts w:ascii="Times New Roman" w:hAnsi="Times New Roman"/>
          <w:szCs w:val="24"/>
        </w:rPr>
        <w:t>as opposed to adjudication</w:t>
      </w:r>
      <w:r>
        <w:rPr>
          <w:rFonts w:ascii="Times New Roman" w:hAnsi="Times New Roman"/>
          <w:szCs w:val="24"/>
        </w:rPr>
        <w:t>, a consideration that is particularly relevant to statutory interpretation</w:t>
      </w:r>
      <w:r w:rsidRPr="00A30E7F">
        <w:rPr>
          <w:rFonts w:ascii="Times New Roman" w:hAnsi="Times New Roman"/>
          <w:szCs w:val="24"/>
        </w:rPr>
        <w:t>.</w:t>
      </w:r>
      <w:r w:rsidRPr="000410F3">
        <w:rPr>
          <w:rStyle w:val="FootnoteReference"/>
          <w:rFonts w:ascii="Times New Roman" w:hAnsi="Times New Roman"/>
          <w:szCs w:val="24"/>
        </w:rPr>
        <w:footnoteReference w:id="338"/>
      </w:r>
      <w:r>
        <w:rPr>
          <w:rFonts w:ascii="Times New Roman" w:hAnsi="Times New Roman"/>
          <w:szCs w:val="24"/>
        </w:rPr>
        <w:t xml:space="preserve"> When an agency interprets statutes, it acts like a court.</w:t>
      </w:r>
      <w:r>
        <w:rPr>
          <w:rStyle w:val="FootnoteReference"/>
          <w:rFonts w:ascii="Times New Roman" w:hAnsi="Times New Roman"/>
          <w:szCs w:val="24"/>
        </w:rPr>
        <w:footnoteReference w:id="339"/>
      </w:r>
      <w:r>
        <w:rPr>
          <w:rFonts w:ascii="Times New Roman" w:hAnsi="Times New Roman"/>
          <w:szCs w:val="24"/>
        </w:rPr>
        <w:t xml:space="preserve"> Yet, at the same time, agency adjudicators are not judges per se; rather they are political actors, and as such, their role is different.</w:t>
      </w:r>
      <w:r>
        <w:rPr>
          <w:rStyle w:val="FootnoteReference"/>
          <w:rFonts w:ascii="Times New Roman" w:hAnsi="Times New Roman"/>
          <w:szCs w:val="24"/>
        </w:rPr>
        <w:footnoteReference w:id="340"/>
      </w:r>
      <w:r>
        <w:rPr>
          <w:rFonts w:ascii="Times New Roman" w:hAnsi="Times New Roman"/>
          <w:szCs w:val="24"/>
        </w:rPr>
        <w:t xml:space="preserve"> </w:t>
      </w:r>
      <w:r w:rsidRPr="000410F3">
        <w:rPr>
          <w:rFonts w:ascii="Times New Roman" w:hAnsi="Times New Roman"/>
          <w:szCs w:val="24"/>
        </w:rPr>
        <w:t>Case decisions (and statutory interpretation)</w:t>
      </w:r>
      <w:r>
        <w:rPr>
          <w:rFonts w:ascii="Times New Roman" w:hAnsi="Times New Roman"/>
          <w:szCs w:val="24"/>
        </w:rPr>
        <w:t xml:space="preserve"> at the Board</w:t>
      </w:r>
      <w:r w:rsidRPr="000410F3">
        <w:rPr>
          <w:rFonts w:ascii="Times New Roman" w:hAnsi="Times New Roman"/>
          <w:szCs w:val="24"/>
        </w:rPr>
        <w:t xml:space="preserve"> is so intermixed with policymaking that it is almost impossible for the Board to have any precedents in which to rely on, resulting in confusion before the appellate courts, who frequently cite to NLRB caselaw only to find out later that the NLRB changed its law.</w:t>
      </w:r>
      <w:r w:rsidRPr="000410F3">
        <w:rPr>
          <w:rStyle w:val="FootnoteReference"/>
          <w:rFonts w:ascii="Times New Roman" w:hAnsi="Times New Roman"/>
          <w:szCs w:val="24"/>
        </w:rPr>
        <w:footnoteReference w:id="341"/>
      </w:r>
      <w:r w:rsidRPr="000410F3">
        <w:rPr>
          <w:rFonts w:ascii="Times New Roman" w:hAnsi="Times New Roman"/>
          <w:szCs w:val="24"/>
        </w:rPr>
        <w:t xml:space="preserve"> </w:t>
      </w:r>
    </w:p>
    <w:p w14:paraId="3A222AAA" w14:textId="53FE8FE2" w:rsidR="0086288C" w:rsidRDefault="0086288C" w:rsidP="00BA3B6D">
      <w:pPr>
        <w:ind w:firstLine="720"/>
        <w:rPr>
          <w:rFonts w:ascii="Times New Roman" w:hAnsi="Times New Roman"/>
          <w:szCs w:val="24"/>
        </w:rPr>
      </w:pPr>
      <w:r w:rsidRPr="000410F3">
        <w:rPr>
          <w:rFonts w:ascii="Times New Roman" w:hAnsi="Times New Roman"/>
          <w:szCs w:val="24"/>
        </w:rPr>
        <w:t>The Board could set up a clearer boundary between policymaking and case decisions</w:t>
      </w:r>
      <w:r w:rsidR="00BA3B6D">
        <w:rPr>
          <w:rFonts w:ascii="Times New Roman" w:hAnsi="Times New Roman"/>
          <w:szCs w:val="24"/>
        </w:rPr>
        <w:t xml:space="preserve"> </w:t>
      </w:r>
      <w:r w:rsidRPr="00A30E7F">
        <w:rPr>
          <w:rFonts w:ascii="Times New Roman" w:hAnsi="Times New Roman"/>
          <w:szCs w:val="24"/>
        </w:rPr>
        <w:t xml:space="preserve">if it relied more on rulemaking or guidance documents to set forth some of its policy-fused statutory interpretations. </w:t>
      </w:r>
      <w:r w:rsidRPr="000410F3">
        <w:rPr>
          <w:rFonts w:ascii="Times New Roman" w:hAnsi="Times New Roman"/>
          <w:szCs w:val="24"/>
        </w:rPr>
        <w:t xml:space="preserve">For instance, instead </w:t>
      </w:r>
      <w:r w:rsidRPr="000410F3">
        <w:rPr>
          <w:rFonts w:ascii="Times New Roman" w:hAnsi="Times New Roman"/>
          <w:szCs w:val="24"/>
        </w:rPr>
        <w:lastRenderedPageBreak/>
        <w:t>of relying on adjudication to define “employee,” the Board could engage in notice-and-comment rulemaking or issue policy statements to set forth clear standards on who falls within the coverage under the Act.</w:t>
      </w:r>
      <w:r w:rsidRPr="000410F3">
        <w:rPr>
          <w:rStyle w:val="FootnoteReference"/>
          <w:rFonts w:ascii="Times New Roman" w:hAnsi="Times New Roman"/>
          <w:szCs w:val="24"/>
        </w:rPr>
        <w:footnoteReference w:id="342"/>
      </w:r>
      <w:r w:rsidRPr="000410F3">
        <w:rPr>
          <w:rFonts w:ascii="Times New Roman" w:hAnsi="Times New Roman"/>
          <w:szCs w:val="24"/>
        </w:rPr>
        <w:t xml:space="preserve"> In so doing, the Board should adopt “evolving, iterative, [and] practical application[]”  to “effectuate a statutory program” by looking at inputs such as: “technical assessment of on-the ground facts; expert prediction; the policy views of administrators and staff; input from the public, especially from affected interests; political influence and control from the White House and the current Congress; the agency’s own understanding of the statutory provisions in its organic act; and the practical needs of the bureaucracy to manage and enforce a statutory program.”</w:t>
      </w:r>
      <w:r w:rsidRPr="000410F3">
        <w:rPr>
          <w:rStyle w:val="FootnoteReference"/>
          <w:rFonts w:ascii="Times New Roman" w:hAnsi="Times New Roman"/>
          <w:szCs w:val="24"/>
        </w:rPr>
        <w:footnoteReference w:id="343"/>
      </w:r>
      <w:r w:rsidRPr="000410F3">
        <w:rPr>
          <w:rFonts w:ascii="Times New Roman" w:hAnsi="Times New Roman"/>
          <w:szCs w:val="24"/>
        </w:rPr>
        <w:t xml:space="preserve"> Using rulemaking would also bring the NLRB more in line with how most other administrative agencies conduct their business, and offer a chance to use its expertise to collect and analyze information to foster best practices.</w:t>
      </w:r>
      <w:r w:rsidRPr="000410F3">
        <w:rPr>
          <w:rStyle w:val="FootnoteReference"/>
          <w:rFonts w:ascii="Times New Roman" w:hAnsi="Times New Roman"/>
          <w:szCs w:val="24"/>
        </w:rPr>
        <w:footnoteReference w:id="344"/>
      </w:r>
      <w:r>
        <w:rPr>
          <w:rFonts w:ascii="Times New Roman" w:hAnsi="Times New Roman"/>
          <w:szCs w:val="24"/>
        </w:rPr>
        <w:t xml:space="preserve"> </w:t>
      </w:r>
      <w:r w:rsidRPr="000410F3">
        <w:rPr>
          <w:rFonts w:ascii="Times New Roman" w:hAnsi="Times New Roman"/>
          <w:szCs w:val="24"/>
        </w:rPr>
        <w:t>Appellate courts may be more likely to defer to the rulemaking process because rulemaking by necessity is more inclusive.</w:t>
      </w:r>
      <w:r w:rsidRPr="000410F3">
        <w:rPr>
          <w:rStyle w:val="FootnoteReference"/>
          <w:rFonts w:ascii="Times New Roman" w:hAnsi="Times New Roman"/>
          <w:szCs w:val="24"/>
        </w:rPr>
        <w:footnoteReference w:id="345"/>
      </w:r>
      <w:r w:rsidRPr="000410F3">
        <w:rPr>
          <w:rFonts w:ascii="Times New Roman" w:hAnsi="Times New Roman"/>
          <w:szCs w:val="24"/>
        </w:rPr>
        <w:t xml:space="preserve"> In all, engaging in rulemaking would reduce the propensity of the Board to act like lawyers “balancing rights rather than policy analysis studying social and economic regulatory problems.”</w:t>
      </w:r>
      <w:r w:rsidRPr="000410F3">
        <w:rPr>
          <w:rStyle w:val="FootnoteReference"/>
          <w:rFonts w:ascii="Times New Roman" w:hAnsi="Times New Roman"/>
          <w:szCs w:val="24"/>
        </w:rPr>
        <w:footnoteReference w:id="346"/>
      </w:r>
    </w:p>
    <w:p w14:paraId="54F0874F" w14:textId="77777777" w:rsidR="00BA3B6D" w:rsidRPr="000410F3" w:rsidRDefault="00BA3B6D" w:rsidP="00BA3B6D">
      <w:pPr>
        <w:ind w:firstLine="720"/>
        <w:rPr>
          <w:rFonts w:ascii="Times New Roman" w:hAnsi="Times New Roman"/>
          <w:szCs w:val="24"/>
        </w:rPr>
      </w:pPr>
    </w:p>
    <w:p w14:paraId="7D21D6E4" w14:textId="5D5309FC" w:rsidR="00BA3B6D" w:rsidRDefault="00BA3B6D" w:rsidP="0086288C">
      <w:pPr>
        <w:ind w:firstLine="72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CONCLUSION</w:t>
      </w:r>
    </w:p>
    <w:p w14:paraId="163DD64D" w14:textId="77777777" w:rsidR="00BA3B6D" w:rsidRDefault="00BA3B6D" w:rsidP="0086288C">
      <w:pPr>
        <w:ind w:firstLine="720"/>
        <w:rPr>
          <w:rFonts w:ascii="Times New Roman" w:hAnsi="Times New Roman"/>
          <w:b/>
          <w:szCs w:val="24"/>
        </w:rPr>
      </w:pPr>
    </w:p>
    <w:p w14:paraId="1778603F" w14:textId="26B78C89" w:rsidR="00017D0A" w:rsidRPr="003D1E8D" w:rsidRDefault="0086288C" w:rsidP="003D1E8D">
      <w:pPr>
        <w:ind w:firstLine="720"/>
        <w:rPr>
          <w:rFonts w:ascii="Times New Roman" w:hAnsi="Times New Roman"/>
          <w:szCs w:val="24"/>
        </w:rPr>
      </w:pPr>
      <w:r w:rsidRPr="000410F3">
        <w:rPr>
          <w:rFonts w:ascii="Times New Roman" w:hAnsi="Times New Roman"/>
          <w:szCs w:val="24"/>
        </w:rPr>
        <w:t>Formed durin</w:t>
      </w:r>
      <w:r w:rsidR="00BF7B72">
        <w:rPr>
          <w:rFonts w:ascii="Times New Roman" w:hAnsi="Times New Roman"/>
          <w:szCs w:val="24"/>
        </w:rPr>
        <w:t>g the New Deal, the NLRB of 2017</w:t>
      </w:r>
      <w:r w:rsidRPr="000410F3">
        <w:rPr>
          <w:rFonts w:ascii="Times New Roman" w:hAnsi="Times New Roman"/>
          <w:szCs w:val="24"/>
        </w:rPr>
        <w:t xml:space="preserve"> is at its heart a policymaking body behaving like a court.</w:t>
      </w:r>
      <w:r>
        <w:rPr>
          <w:rFonts w:ascii="Times New Roman" w:hAnsi="Times New Roman"/>
          <w:szCs w:val="24"/>
        </w:rPr>
        <w:t xml:space="preserve"> There are several problems with this approach. The Board’s unique institutional position in the separation of powers system necessitates that it interpret statutes differently than a court might, taking into consideration the consequences of policy as opposed to simply engaging in a text-based analysis of the statute backed up by the legislative history. </w:t>
      </w:r>
      <w:r w:rsidRPr="000410F3">
        <w:rPr>
          <w:rFonts w:ascii="Times New Roman" w:hAnsi="Times New Roman"/>
          <w:szCs w:val="24"/>
        </w:rPr>
        <w:t>As such, we should embrace the NLRB (and administrative agencies general</w:t>
      </w:r>
      <w:r>
        <w:rPr>
          <w:rFonts w:ascii="Times New Roman" w:hAnsi="Times New Roman"/>
          <w:szCs w:val="24"/>
        </w:rPr>
        <w:t>ly) as policymakers. I</w:t>
      </w:r>
      <w:r w:rsidRPr="000410F3">
        <w:rPr>
          <w:rFonts w:ascii="Times New Roman" w:hAnsi="Times New Roman"/>
          <w:szCs w:val="24"/>
        </w:rPr>
        <w:t>n order to fulfill its role as a policymaking body, the Board should adapt its technique</w:t>
      </w:r>
      <w:r>
        <w:rPr>
          <w:rFonts w:ascii="Times New Roman" w:hAnsi="Times New Roman"/>
          <w:szCs w:val="24"/>
        </w:rPr>
        <w:t>s</w:t>
      </w:r>
      <w:r w:rsidRPr="000410F3">
        <w:rPr>
          <w:rFonts w:ascii="Times New Roman" w:hAnsi="Times New Roman"/>
          <w:szCs w:val="24"/>
        </w:rPr>
        <w:t xml:space="preserve"> of statutory interpretation to fully embrace its role as a policymaking body and to better guide judicial review. </w:t>
      </w:r>
      <w:r>
        <w:rPr>
          <w:rFonts w:ascii="Times New Roman" w:hAnsi="Times New Roman"/>
          <w:szCs w:val="24"/>
        </w:rPr>
        <w:t>It can do this by making its policymaking more explicit grounded in social science data and substantive background principles and by using the rulemaking process t</w:t>
      </w:r>
      <w:r w:rsidR="003D1E8D">
        <w:rPr>
          <w:rFonts w:ascii="Times New Roman" w:hAnsi="Times New Roman"/>
          <w:szCs w:val="24"/>
        </w:rPr>
        <w:t>o ensure transparency</w:t>
      </w:r>
      <w:r>
        <w:rPr>
          <w:rFonts w:ascii="Times New Roman" w:hAnsi="Times New Roman"/>
          <w:szCs w:val="24"/>
        </w:rPr>
        <w:t>. Doing so would allow agencies to better balance the aims of achieving stability, coherence and democratic accountability in statutory i</w:t>
      </w:r>
      <w:r w:rsidR="003D1E8D">
        <w:rPr>
          <w:rFonts w:ascii="Times New Roman" w:hAnsi="Times New Roman"/>
          <w:szCs w:val="24"/>
        </w:rPr>
        <w:t>nterpretation.</w:t>
      </w:r>
    </w:p>
    <w:sectPr w:rsidR="00017D0A" w:rsidRPr="003D1E8D" w:rsidSect="00DE478D">
      <w:headerReference w:type="even" r:id="rId20"/>
      <w:headerReference w:type="default" r:id="rId21"/>
      <w:pgSz w:w="12240" w:h="15840" w:code="1"/>
      <w:pgMar w:top="2016" w:right="2448" w:bottom="2016" w:left="2448" w:header="1512"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1E623" w14:textId="77777777" w:rsidR="003C2F36" w:rsidRDefault="003C2F36">
      <w:r>
        <w:separator/>
      </w:r>
    </w:p>
  </w:endnote>
  <w:endnote w:type="continuationSeparator" w:id="0">
    <w:p w14:paraId="584E8465" w14:textId="77777777" w:rsidR="003C2F36" w:rsidRDefault="003C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7F8C1" w14:textId="77777777" w:rsidR="003C2F36" w:rsidRDefault="003C2F36">
      <w:r>
        <w:separator/>
      </w:r>
    </w:p>
  </w:footnote>
  <w:footnote w:type="continuationSeparator" w:id="0">
    <w:p w14:paraId="05CA4B0B" w14:textId="77777777" w:rsidR="003C2F36" w:rsidRDefault="003C2F36">
      <w:r>
        <w:continuationSeparator/>
      </w:r>
    </w:p>
  </w:footnote>
  <w:footnote w:id="1">
    <w:p w14:paraId="2322363E" w14:textId="06C4D22B" w:rsidR="00CD3F94" w:rsidRDefault="00CD3F94" w:rsidP="001F1D99">
      <w:pPr>
        <w:pStyle w:val="FootnoteText"/>
      </w:pPr>
      <w:r>
        <w:rPr>
          <w:rStyle w:val="FootnoteReference"/>
        </w:rPr>
        <w:t>*</w:t>
      </w:r>
      <w:r>
        <w:t xml:space="preserve"> </w:t>
      </w:r>
      <w:r w:rsidRPr="00D851F9">
        <w:t>Center for the Study of Democratic Politics,</w:t>
      </w:r>
      <w:r>
        <w:t xml:space="preserve"> Woodrow Wilson School of Public and International Affairs,</w:t>
      </w:r>
      <w:r w:rsidRPr="00D851F9">
        <w:t xml:space="preserve"> Princeton University</w:t>
      </w:r>
      <w:r>
        <w:t>, Pstdoctoral Research Associate</w:t>
      </w:r>
      <w:r w:rsidRPr="00D851F9">
        <w:t>; J.D. Harvard Law School, Ph.D., Politic</w:t>
      </w:r>
      <w:r>
        <w:t>al Science Columbia University.</w:t>
      </w:r>
      <w:r w:rsidRPr="00674139">
        <w:t xml:space="preserve"> </w:t>
      </w:r>
      <w:r>
        <w:t xml:space="preserve">This paper was selected as one of six papers for inclusion in the AALS’s New Voices in Legislation program for which I received extensive comments on my paper from Aaron Bruhl, James Brudney and Mark Seidenfeld. I also presented this paper at the 2017 Quantlaw conference at the University of Arizona Law School as well as the Law and Society Conference, for which I received many comments from the audience that I incorporated.  </w:t>
      </w:r>
    </w:p>
    <w:p w14:paraId="29E61BC0" w14:textId="474AFEEA" w:rsidR="00CD3F94" w:rsidRDefault="00CD3F94" w:rsidP="0086288C">
      <w:pPr>
        <w:pStyle w:val="FootnoteText"/>
      </w:pPr>
    </w:p>
  </w:footnote>
  <w:footnote w:id="2">
    <w:p w14:paraId="0FEFD12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e.g., </w:t>
      </w:r>
      <w:r w:rsidRPr="00D851F9">
        <w:rPr>
          <w:rFonts w:ascii="Times New Roman" w:hAnsi="Times New Roman"/>
          <w:sz w:val="20"/>
        </w:rPr>
        <w:t xml:space="preserve">William N. Eskridge, Jr. et al, </w:t>
      </w:r>
      <w:r w:rsidRPr="00D851F9">
        <w:rPr>
          <w:rFonts w:ascii="Times New Roman" w:hAnsi="Times New Roman"/>
          <w:smallCaps/>
          <w:sz w:val="20"/>
        </w:rPr>
        <w:t>Legislation and Statutory Interpretation</w:t>
      </w:r>
      <w:r w:rsidRPr="00D851F9">
        <w:rPr>
          <w:rFonts w:ascii="Times New Roman" w:hAnsi="Times New Roman"/>
          <w:sz w:val="20"/>
        </w:rPr>
        <w:t xml:space="preserve"> 322-23 (2</w:t>
      </w:r>
      <w:r w:rsidRPr="00D851F9">
        <w:rPr>
          <w:rFonts w:ascii="Times New Roman" w:hAnsi="Times New Roman"/>
          <w:sz w:val="20"/>
          <w:vertAlign w:val="superscript"/>
        </w:rPr>
        <w:t>nd</w:t>
      </w:r>
      <w:r w:rsidRPr="00D851F9">
        <w:rPr>
          <w:rFonts w:ascii="Times New Roman" w:hAnsi="Times New Roman"/>
          <w:sz w:val="20"/>
        </w:rPr>
        <w:t xml:space="preserve"> ed. 2006) (“Most government-based statutory interpretations are nowadays tendered by administrative agencies and departments and courts are second-order interpreters…”); Jerry L. Mashaw, </w:t>
      </w:r>
      <w:r w:rsidRPr="00D851F9">
        <w:rPr>
          <w:rFonts w:ascii="Times New Roman" w:hAnsi="Times New Roman"/>
          <w:i/>
          <w:sz w:val="20"/>
        </w:rPr>
        <w:t xml:space="preserve">Norms, Practices and the Paradox of Deference: A Preliminary Inquiry into Agency Statutory Interpretation, </w:t>
      </w:r>
      <w:r w:rsidRPr="00D851F9">
        <w:rPr>
          <w:rFonts w:ascii="Times New Roman" w:hAnsi="Times New Roman"/>
          <w:sz w:val="20"/>
        </w:rPr>
        <w:t xml:space="preserve">57 </w:t>
      </w:r>
      <w:r w:rsidRPr="00D851F9">
        <w:rPr>
          <w:rFonts w:ascii="Times New Roman" w:hAnsi="Times New Roman"/>
          <w:smallCaps/>
          <w:sz w:val="20"/>
        </w:rPr>
        <w:t>Admin. L. Rev.</w:t>
      </w:r>
      <w:r w:rsidRPr="00D851F9">
        <w:rPr>
          <w:rFonts w:ascii="Times New Roman" w:hAnsi="Times New Roman"/>
          <w:sz w:val="20"/>
        </w:rPr>
        <w:t xml:space="preserve"> 501, 502-03 (2005) [hereinafter</w:t>
      </w:r>
      <w:r w:rsidRPr="00D851F9">
        <w:rPr>
          <w:rFonts w:ascii="Times New Roman" w:hAnsi="Times New Roman"/>
          <w:smallCaps/>
          <w:sz w:val="20"/>
        </w:rPr>
        <w:t xml:space="preserve"> </w:t>
      </w:r>
      <w:r w:rsidRPr="00D851F9">
        <w:rPr>
          <w:rFonts w:ascii="Times New Roman" w:hAnsi="Times New Roman"/>
          <w:i/>
          <w:sz w:val="20"/>
        </w:rPr>
        <w:t>Norms</w:t>
      </w:r>
      <w:r w:rsidRPr="00D851F9">
        <w:rPr>
          <w:rFonts w:ascii="Times New Roman" w:hAnsi="Times New Roman"/>
          <w:sz w:val="20"/>
        </w:rPr>
        <w:t xml:space="preserve">] (“[A]gencies are, by necessity, the primary official interpreters of federal statutes….”); Jerry F. Mashaw, </w:t>
      </w:r>
      <w:r w:rsidRPr="00D851F9">
        <w:rPr>
          <w:rFonts w:ascii="Times New Roman" w:hAnsi="Times New Roman"/>
          <w:i/>
          <w:sz w:val="20"/>
        </w:rPr>
        <w:t>Agency-Centered or Court-Centered Administrative Law? A Dialogue with Richard Pierce on Agency Statutory Interpretation</w:t>
      </w:r>
      <w:r w:rsidRPr="00D851F9">
        <w:rPr>
          <w:rFonts w:ascii="Times New Roman" w:hAnsi="Times New Roman"/>
          <w:sz w:val="20"/>
        </w:rPr>
        <w:t xml:space="preserve">, 59 </w:t>
      </w:r>
      <w:r w:rsidRPr="00D851F9">
        <w:rPr>
          <w:rFonts w:ascii="Times New Roman" w:hAnsi="Times New Roman"/>
          <w:smallCaps/>
          <w:sz w:val="20"/>
        </w:rPr>
        <w:t>Admin. L. Rev.</w:t>
      </w:r>
      <w:r w:rsidRPr="00D851F9">
        <w:rPr>
          <w:rFonts w:ascii="Times New Roman" w:hAnsi="Times New Roman"/>
          <w:sz w:val="20"/>
        </w:rPr>
        <w:t xml:space="preserve"> 889, 892 (2007)</w:t>
      </w:r>
      <w:r>
        <w:rPr>
          <w:rFonts w:ascii="Times New Roman" w:hAnsi="Times New Roman"/>
          <w:sz w:val="20"/>
        </w:rPr>
        <w:t xml:space="preserve"> [hereinafter, </w:t>
      </w:r>
      <w:r w:rsidRPr="00480EA5">
        <w:rPr>
          <w:rFonts w:ascii="Times New Roman" w:hAnsi="Times New Roman"/>
          <w:i/>
          <w:sz w:val="20"/>
        </w:rPr>
        <w:t>Agency-Centered</w:t>
      </w:r>
      <w:r>
        <w:rPr>
          <w:rFonts w:ascii="Times New Roman" w:hAnsi="Times New Roman"/>
          <w:sz w:val="20"/>
        </w:rPr>
        <w:t>]</w:t>
      </w:r>
      <w:r w:rsidRPr="00D851F9">
        <w:rPr>
          <w:rFonts w:ascii="Times New Roman" w:hAnsi="Times New Roman"/>
          <w:sz w:val="20"/>
        </w:rPr>
        <w:t xml:space="preserve">; Cass Sunstein, </w:t>
      </w:r>
      <w:r w:rsidRPr="00D851F9">
        <w:rPr>
          <w:rFonts w:ascii="Times New Roman" w:hAnsi="Times New Roman"/>
          <w:i/>
          <w:sz w:val="20"/>
        </w:rPr>
        <w:t>Is Tobacco a Drug: Administrative Agencies as Common Law Courts</w:t>
      </w:r>
      <w:r w:rsidRPr="00D851F9">
        <w:rPr>
          <w:rFonts w:ascii="Times New Roman" w:hAnsi="Times New Roman"/>
          <w:sz w:val="20"/>
        </w:rPr>
        <w:t xml:space="preserve">, 47 </w:t>
      </w:r>
      <w:r w:rsidRPr="00D851F9">
        <w:rPr>
          <w:rFonts w:ascii="Times New Roman" w:hAnsi="Times New Roman"/>
          <w:smallCaps/>
          <w:sz w:val="20"/>
        </w:rPr>
        <w:t>Duke L. J</w:t>
      </w:r>
      <w:r w:rsidRPr="00D851F9">
        <w:rPr>
          <w:rFonts w:ascii="Times New Roman" w:hAnsi="Times New Roman"/>
          <w:sz w:val="20"/>
        </w:rPr>
        <w:t xml:space="preserve">. 1013, 1055 (1998) (“In the modern era, most of the key work of statutory interpretation is, of course, not done by courts, but rather by federal agencies.”); </w:t>
      </w:r>
      <w:r w:rsidRPr="00D851F9">
        <w:rPr>
          <w:rFonts w:ascii="Times New Roman" w:hAnsi="Times New Roman"/>
          <w:i/>
          <w:sz w:val="20"/>
        </w:rPr>
        <w:t>cf</w:t>
      </w:r>
      <w:r w:rsidRPr="00D851F9">
        <w:rPr>
          <w:rFonts w:ascii="Times New Roman" w:hAnsi="Times New Roman"/>
          <w:sz w:val="20"/>
        </w:rPr>
        <w:t xml:space="preserve"> Richard J. Pierce Jr., </w:t>
      </w:r>
      <w:r w:rsidRPr="00D851F9">
        <w:rPr>
          <w:rFonts w:ascii="Times New Roman" w:hAnsi="Times New Roman"/>
          <w:i/>
          <w:sz w:val="20"/>
        </w:rPr>
        <w:t>How Agencies Should Give Meaning to the Statutes They Administer: A Response to Mashaw and Strauss</w:t>
      </w:r>
      <w:r w:rsidRPr="00D851F9">
        <w:rPr>
          <w:rFonts w:ascii="Times New Roman" w:hAnsi="Times New Roman"/>
          <w:sz w:val="20"/>
        </w:rPr>
        <w:t xml:space="preserve">, 59 </w:t>
      </w:r>
      <w:r w:rsidRPr="00D851F9">
        <w:rPr>
          <w:rFonts w:ascii="Times New Roman" w:hAnsi="Times New Roman"/>
          <w:smallCaps/>
          <w:sz w:val="20"/>
        </w:rPr>
        <w:t>Admin. L. Rev</w:t>
      </w:r>
      <w:r w:rsidRPr="00D851F9">
        <w:rPr>
          <w:rFonts w:ascii="Times New Roman" w:hAnsi="Times New Roman"/>
          <w:sz w:val="20"/>
        </w:rPr>
        <w:t>. 197, 200, 2004-05 (2007) (arguing that agencies do not actually engage in statutory interpretation when they select among multiple interpretations of a statute; they are actually engaging in policymaking).</w:t>
      </w:r>
    </w:p>
  </w:footnote>
  <w:footnote w:id="3">
    <w:p w14:paraId="7E36FAC3" w14:textId="685FD7EB" w:rsidR="00CD3F94" w:rsidRPr="00D851F9" w:rsidRDefault="00CD3F94" w:rsidP="0086288C">
      <w:pPr>
        <w:rPr>
          <w:rFonts w:ascii="Times New Roman" w:hAnsi="Times New Roman"/>
          <w:caps/>
          <w:sz w:val="20"/>
        </w:rPr>
      </w:pPr>
      <w:r w:rsidRPr="00D851F9">
        <w:rPr>
          <w:rStyle w:val="FootnoteReference"/>
          <w:rFonts w:ascii="Times New Roman" w:hAnsi="Times New Roman"/>
          <w:sz w:val="20"/>
        </w:rPr>
        <w:footnoteRef/>
      </w:r>
      <w:r w:rsidRPr="00D851F9">
        <w:rPr>
          <w:rFonts w:ascii="Times New Roman" w:hAnsi="Times New Roman"/>
          <w:sz w:val="20"/>
        </w:rPr>
        <w:t xml:space="preserve"> Sunstein,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1</w:t>
      </w:r>
      <w:r w:rsidRPr="00D851F9">
        <w:rPr>
          <w:rFonts w:ascii="Times New Roman" w:hAnsi="Times New Roman"/>
          <w:sz w:val="20"/>
        </w:rPr>
        <w:t xml:space="preserve">, at 1053; Michael W. Spicer and Larry D. Terry, </w:t>
      </w:r>
      <w:r w:rsidRPr="00D851F9">
        <w:rPr>
          <w:rFonts w:ascii="Times New Roman" w:hAnsi="Times New Roman"/>
          <w:i/>
          <w:sz w:val="20"/>
        </w:rPr>
        <w:t>Administrative Interpretation of Statutes: A Constitutional View on the ‘New World Order’ of Public Administration</w:t>
      </w:r>
      <w:r w:rsidRPr="00D851F9">
        <w:rPr>
          <w:rFonts w:ascii="Times New Roman" w:hAnsi="Times New Roman"/>
          <w:sz w:val="20"/>
        </w:rPr>
        <w:t xml:space="preserve">, 56 </w:t>
      </w:r>
      <w:r w:rsidRPr="00D851F9">
        <w:rPr>
          <w:rFonts w:ascii="Times New Roman" w:hAnsi="Times New Roman"/>
          <w:smallCaps/>
          <w:sz w:val="20"/>
        </w:rPr>
        <w:t>Pub. Admin. Rev</w:t>
      </w:r>
      <w:r w:rsidRPr="00D851F9">
        <w:rPr>
          <w:rFonts w:ascii="Times New Roman" w:hAnsi="Times New Roman"/>
          <w:sz w:val="20"/>
        </w:rPr>
        <w:t xml:space="preserve">. 38, 38 (1996). </w:t>
      </w:r>
    </w:p>
  </w:footnote>
  <w:footnote w:id="4">
    <w:p w14:paraId="1E3EFCE2" w14:textId="77777777" w:rsidR="00CD3F94" w:rsidRPr="004F7FBA" w:rsidRDefault="00CD3F94" w:rsidP="0086288C">
      <w:pPr>
        <w:pStyle w:val="FootnoteText"/>
      </w:pPr>
      <w:r>
        <w:rPr>
          <w:rStyle w:val="FootnoteReference"/>
        </w:rPr>
        <w:footnoteRef/>
      </w:r>
      <w:r>
        <w:t xml:space="preserve"> For studies of statutory interpretation beyond the federal courts </w:t>
      </w:r>
      <w:r>
        <w:rPr>
          <w:i/>
        </w:rPr>
        <w:t xml:space="preserve">see </w:t>
      </w:r>
      <w:r>
        <w:t xml:space="preserve">Abbe R. Gluck, </w:t>
      </w:r>
      <w:r>
        <w:rPr>
          <w:i/>
        </w:rPr>
        <w:t>The States as Laboratories of Statutory Interpretation: Methodological Consensus and the New Modified Textualism</w:t>
      </w:r>
      <w:r>
        <w:t xml:space="preserve">, 119 </w:t>
      </w:r>
      <w:r w:rsidRPr="004F7FBA">
        <w:rPr>
          <w:smallCaps/>
        </w:rPr>
        <w:t>Yale. L. J</w:t>
      </w:r>
      <w:r>
        <w:t xml:space="preserve">. 1750, 1755 (2010) (analyzing statutory interpretation in the state supreme courts); </w:t>
      </w:r>
      <w:r>
        <w:rPr>
          <w:i/>
        </w:rPr>
        <w:t>see also</w:t>
      </w:r>
      <w:r>
        <w:t xml:space="preserve"> Frank B. Cross, </w:t>
      </w:r>
      <w:r w:rsidRPr="004F7FBA">
        <w:rPr>
          <w:smallCaps/>
        </w:rPr>
        <w:t>The Theory and Practice of Statutory Interpretation</w:t>
      </w:r>
      <w:r>
        <w:t xml:space="preserve"> 180-200 (2009) (offering the first review of statutory interpretation in the federal courts). </w:t>
      </w:r>
    </w:p>
  </w:footnote>
  <w:footnote w:id="5">
    <w:p w14:paraId="71782F42" w14:textId="2AED3C09"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Jerry Mashaw, </w:t>
      </w:r>
      <w:r w:rsidRPr="00D851F9">
        <w:rPr>
          <w:rFonts w:ascii="Times New Roman" w:hAnsi="Times New Roman"/>
          <w:i/>
          <w:sz w:val="20"/>
        </w:rPr>
        <w:t>Between Facts and Norms: Agency Statutory Interpretation as an Autonomous Enterprises</w:t>
      </w:r>
      <w:r w:rsidRPr="00D851F9">
        <w:rPr>
          <w:rFonts w:ascii="Times New Roman" w:hAnsi="Times New Roman"/>
          <w:sz w:val="20"/>
        </w:rPr>
        <w:t xml:space="preserve">, 55 </w:t>
      </w:r>
      <w:r w:rsidRPr="00D851F9">
        <w:rPr>
          <w:rFonts w:ascii="Times New Roman" w:hAnsi="Times New Roman"/>
          <w:smallCaps/>
          <w:sz w:val="20"/>
        </w:rPr>
        <w:t>U of Toronto L. Rev</w:t>
      </w:r>
      <w:r w:rsidRPr="00D851F9">
        <w:rPr>
          <w:rFonts w:ascii="Times New Roman" w:hAnsi="Times New Roman"/>
          <w:sz w:val="20"/>
        </w:rPr>
        <w:t>. 497, 497 (2005)</w:t>
      </w:r>
      <w:r>
        <w:rPr>
          <w:rFonts w:ascii="Times New Roman" w:hAnsi="Times New Roman"/>
          <w:sz w:val="20"/>
        </w:rPr>
        <w:t xml:space="preserve"> [hereinafter, </w:t>
      </w:r>
      <w:r>
        <w:rPr>
          <w:rFonts w:ascii="Times New Roman" w:hAnsi="Times New Roman"/>
          <w:i/>
          <w:sz w:val="20"/>
        </w:rPr>
        <w:t>Between Facts and Norms</w:t>
      </w:r>
      <w:r>
        <w:rPr>
          <w:rFonts w:ascii="Times New Roman" w:hAnsi="Times New Roman"/>
          <w:sz w:val="20"/>
        </w:rPr>
        <w:t>]</w:t>
      </w:r>
      <w:r w:rsidRPr="00D851F9">
        <w:rPr>
          <w:rFonts w:ascii="Times New Roman" w:hAnsi="Times New Roman"/>
          <w:sz w:val="20"/>
        </w:rPr>
        <w:t>.</w:t>
      </w:r>
    </w:p>
  </w:footnote>
  <w:footnote w:id="6">
    <w:p w14:paraId="2AB9E9EB"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499; </w:t>
      </w:r>
      <w:r w:rsidRPr="00D851F9">
        <w:rPr>
          <w:rFonts w:ascii="Times New Roman" w:hAnsi="Times New Roman"/>
          <w:i/>
          <w:sz w:val="20"/>
        </w:rPr>
        <w:t>see also</w:t>
      </w:r>
      <w:r w:rsidRPr="00D851F9">
        <w:rPr>
          <w:rFonts w:ascii="Times New Roman" w:hAnsi="Times New Roman"/>
          <w:sz w:val="20"/>
        </w:rPr>
        <w:t xml:space="preserve"> Cass Sunstein &amp; Adrian Vermeule, </w:t>
      </w:r>
      <w:r w:rsidRPr="00D851F9">
        <w:rPr>
          <w:rFonts w:ascii="Times New Roman" w:hAnsi="Times New Roman"/>
          <w:i/>
          <w:sz w:val="20"/>
        </w:rPr>
        <w:t>Interpretation and Institutions</w:t>
      </w:r>
      <w:r w:rsidRPr="00D851F9">
        <w:rPr>
          <w:rFonts w:ascii="Times New Roman" w:hAnsi="Times New Roman"/>
          <w:sz w:val="20"/>
        </w:rPr>
        <w:t xml:space="preserve">, 101 </w:t>
      </w:r>
      <w:r w:rsidRPr="00D851F9">
        <w:rPr>
          <w:rFonts w:ascii="Times New Roman" w:hAnsi="Times New Roman"/>
          <w:smallCaps/>
          <w:sz w:val="20"/>
        </w:rPr>
        <w:t xml:space="preserve">Mich. L. Rev. </w:t>
      </w:r>
      <w:r w:rsidRPr="00D851F9">
        <w:rPr>
          <w:rFonts w:ascii="Times New Roman" w:hAnsi="Times New Roman"/>
          <w:sz w:val="20"/>
        </w:rPr>
        <w:t>885, 919 (2003) (“precisely because the empirical study of interpretation remains in an extremely primitive state, there is every reason to think that much will be gained by further empirical efforts”).</w:t>
      </w:r>
    </w:p>
  </w:footnote>
  <w:footnote w:id="7">
    <w:p w14:paraId="394FA86D" w14:textId="77777777" w:rsidR="00CD3F94" w:rsidRPr="00406830"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w:t>
      </w:r>
      <w:r w:rsidRPr="00D851F9">
        <w:rPr>
          <w:rFonts w:ascii="Times New Roman" w:hAnsi="Times New Roman"/>
          <w:sz w:val="20"/>
        </w:rPr>
        <w:t xml:space="preserve"> Abbe R. Gluck and Lisa Schulz Bressman, </w:t>
      </w:r>
      <w:r w:rsidRPr="00D851F9">
        <w:rPr>
          <w:rFonts w:ascii="Times New Roman" w:hAnsi="Times New Roman"/>
          <w:i/>
          <w:sz w:val="20"/>
        </w:rPr>
        <w:t>Statutory Methodologies from the Inside- An Empirical Study of Congressional Drafting, Delegation and the Canons: Part I</w:t>
      </w:r>
      <w:r w:rsidRPr="00D851F9">
        <w:rPr>
          <w:rFonts w:ascii="Times New Roman" w:hAnsi="Times New Roman"/>
          <w:sz w:val="20"/>
        </w:rPr>
        <w:t xml:space="preserve">, 65 </w:t>
      </w:r>
      <w:r w:rsidRPr="00D851F9">
        <w:rPr>
          <w:rFonts w:ascii="Times New Roman" w:hAnsi="Times New Roman"/>
          <w:smallCaps/>
          <w:sz w:val="20"/>
        </w:rPr>
        <w:t>Stan. L. Rev</w:t>
      </w:r>
      <w:r w:rsidRPr="00D851F9">
        <w:rPr>
          <w:rFonts w:ascii="Times New Roman" w:hAnsi="Times New Roman"/>
          <w:sz w:val="20"/>
        </w:rPr>
        <w:t>. 901 (2013)</w:t>
      </w:r>
      <w:r>
        <w:rPr>
          <w:rFonts w:ascii="Times New Roman" w:hAnsi="Times New Roman"/>
          <w:sz w:val="20"/>
        </w:rPr>
        <w:t xml:space="preserve"> [hereinafter, </w:t>
      </w:r>
      <w:r>
        <w:rPr>
          <w:rFonts w:ascii="Times New Roman" w:hAnsi="Times New Roman"/>
          <w:i/>
          <w:sz w:val="20"/>
        </w:rPr>
        <w:t>Part I</w:t>
      </w:r>
      <w:r>
        <w:rPr>
          <w:rFonts w:ascii="Times New Roman" w:hAnsi="Times New Roman"/>
          <w:sz w:val="20"/>
        </w:rPr>
        <w:t>]</w:t>
      </w:r>
      <w:r w:rsidRPr="00D851F9">
        <w:rPr>
          <w:rFonts w:ascii="Times New Roman" w:hAnsi="Times New Roman"/>
          <w:sz w:val="20"/>
        </w:rPr>
        <w:t xml:space="preserve">; Abbe R. Gluck and Lisa Schulz Bressman, </w:t>
      </w:r>
      <w:r w:rsidRPr="00D851F9">
        <w:rPr>
          <w:rFonts w:ascii="Times New Roman" w:hAnsi="Times New Roman"/>
          <w:i/>
          <w:sz w:val="20"/>
        </w:rPr>
        <w:t>Statutory Methodologies from the Inside- An Empirical Study of Congressional Drafting, Delegation and the Canons: Part 2</w:t>
      </w:r>
      <w:r w:rsidRPr="00D851F9">
        <w:rPr>
          <w:rFonts w:ascii="Times New Roman" w:hAnsi="Times New Roman"/>
          <w:sz w:val="20"/>
        </w:rPr>
        <w:t xml:space="preserve">, 66 </w:t>
      </w:r>
      <w:r w:rsidRPr="00D851F9">
        <w:rPr>
          <w:rFonts w:ascii="Times New Roman" w:hAnsi="Times New Roman"/>
          <w:smallCaps/>
          <w:sz w:val="20"/>
        </w:rPr>
        <w:t>Stan. L. Rev</w:t>
      </w:r>
      <w:r w:rsidRPr="00D851F9">
        <w:rPr>
          <w:rFonts w:ascii="Times New Roman" w:hAnsi="Times New Roman"/>
          <w:sz w:val="20"/>
        </w:rPr>
        <w:t>. 725 (2013)</w:t>
      </w:r>
      <w:r>
        <w:rPr>
          <w:rFonts w:ascii="Times New Roman" w:hAnsi="Times New Roman"/>
          <w:sz w:val="20"/>
        </w:rPr>
        <w:t xml:space="preserve"> [hereinafter, </w:t>
      </w:r>
      <w:r>
        <w:rPr>
          <w:rFonts w:ascii="Times New Roman" w:hAnsi="Times New Roman"/>
          <w:i/>
          <w:sz w:val="20"/>
        </w:rPr>
        <w:t>Part II</w:t>
      </w:r>
      <w:r>
        <w:rPr>
          <w:rFonts w:ascii="Times New Roman" w:hAnsi="Times New Roman"/>
          <w:sz w:val="20"/>
        </w:rPr>
        <w:t>]</w:t>
      </w:r>
      <w:r w:rsidRPr="00D851F9">
        <w:rPr>
          <w:rFonts w:ascii="Times New Roman" w:hAnsi="Times New Roman"/>
          <w:sz w:val="20"/>
        </w:rPr>
        <w:t xml:space="preserve">; Christopher Walker, </w:t>
      </w:r>
      <w:r w:rsidRPr="00D851F9">
        <w:rPr>
          <w:rFonts w:ascii="Times New Roman" w:hAnsi="Times New Roman"/>
          <w:i/>
          <w:sz w:val="20"/>
        </w:rPr>
        <w:t>Inside Agency Statutory Interpretation</w:t>
      </w:r>
      <w:r w:rsidRPr="00D851F9">
        <w:rPr>
          <w:rFonts w:ascii="Times New Roman" w:hAnsi="Times New Roman"/>
          <w:sz w:val="20"/>
        </w:rPr>
        <w:t xml:space="preserve">, 67 </w:t>
      </w:r>
      <w:r w:rsidRPr="00D851F9">
        <w:rPr>
          <w:rFonts w:ascii="Times New Roman" w:hAnsi="Times New Roman"/>
          <w:smallCaps/>
          <w:sz w:val="20"/>
        </w:rPr>
        <w:t>Stan. L. Rev</w:t>
      </w:r>
      <w:r>
        <w:rPr>
          <w:rFonts w:ascii="Times New Roman" w:hAnsi="Times New Roman"/>
          <w:sz w:val="20"/>
        </w:rPr>
        <w:t xml:space="preserve">. 999 (2015) [hereinafter, </w:t>
      </w:r>
      <w:r>
        <w:rPr>
          <w:rFonts w:ascii="Times New Roman" w:hAnsi="Times New Roman"/>
          <w:i/>
          <w:sz w:val="20"/>
        </w:rPr>
        <w:t>Inside Agency</w:t>
      </w:r>
      <w:r>
        <w:rPr>
          <w:rFonts w:ascii="Times New Roman" w:hAnsi="Times New Roman"/>
          <w:sz w:val="20"/>
        </w:rPr>
        <w:t xml:space="preserve">]; Christopher J. Walker, </w:t>
      </w:r>
      <w:r>
        <w:rPr>
          <w:rFonts w:ascii="Times New Roman" w:hAnsi="Times New Roman"/>
          <w:i/>
          <w:sz w:val="20"/>
        </w:rPr>
        <w:t>Legislating in the Shadows</w:t>
      </w:r>
      <w:r>
        <w:rPr>
          <w:rFonts w:ascii="Times New Roman" w:hAnsi="Times New Roman"/>
          <w:sz w:val="20"/>
        </w:rPr>
        <w:t xml:space="preserve">, </w:t>
      </w:r>
      <w:r w:rsidRPr="00000AD5">
        <w:rPr>
          <w:rFonts w:ascii="Times New Roman" w:hAnsi="Times New Roman"/>
          <w:smallCaps/>
          <w:sz w:val="20"/>
        </w:rPr>
        <w:t>165 U. of Penn L. Rev.</w:t>
      </w:r>
      <w:r>
        <w:rPr>
          <w:rFonts w:ascii="Times New Roman" w:hAnsi="Times New Roman"/>
          <w:sz w:val="20"/>
        </w:rPr>
        <w:t xml:space="preserve"> 1377 (2017); </w:t>
      </w:r>
      <w:r>
        <w:rPr>
          <w:rFonts w:ascii="Times New Roman" w:hAnsi="Times New Roman"/>
          <w:i/>
          <w:sz w:val="20"/>
        </w:rPr>
        <w:t>see also</w:t>
      </w:r>
      <w:r>
        <w:rPr>
          <w:rFonts w:ascii="Times New Roman" w:hAnsi="Times New Roman"/>
          <w:sz w:val="20"/>
        </w:rPr>
        <w:t xml:space="preserve"> Adoption of Recommendations, 80 </w:t>
      </w:r>
      <w:r w:rsidRPr="00000AD5">
        <w:rPr>
          <w:rFonts w:ascii="Times New Roman" w:hAnsi="Times New Roman"/>
          <w:smallCaps/>
          <w:sz w:val="20"/>
        </w:rPr>
        <w:t>Fed. Reg</w:t>
      </w:r>
      <w:r>
        <w:rPr>
          <w:rFonts w:ascii="Times New Roman" w:hAnsi="Times New Roman"/>
          <w:sz w:val="20"/>
        </w:rPr>
        <w:t>. 76, 161 (Dec. 16, 2015) (summarizing ACUS’s findings).</w:t>
      </w:r>
    </w:p>
  </w:footnote>
  <w:footnote w:id="8">
    <w:p w14:paraId="3FFD1F16" w14:textId="77777777" w:rsidR="00CD3F94" w:rsidRPr="0096640A" w:rsidRDefault="00CD3F94" w:rsidP="0086288C">
      <w:pPr>
        <w:pStyle w:val="FootnoteText"/>
      </w:pPr>
      <w:r>
        <w:rPr>
          <w:rStyle w:val="FootnoteReference"/>
        </w:rPr>
        <w:footnoteRef/>
      </w:r>
      <w:r>
        <w:t xml:space="preserve"> </w:t>
      </w:r>
      <w:r>
        <w:rPr>
          <w:i/>
        </w:rPr>
        <w:t xml:space="preserve">See, e.g., </w:t>
      </w:r>
      <w:r>
        <w:t xml:space="preserve">Aaron Saiger, </w:t>
      </w:r>
      <w:r>
        <w:rPr>
          <w:i/>
        </w:rPr>
        <w:t>Agencies’ Obligation to Interpret the Statute</w:t>
      </w:r>
      <w:r>
        <w:t xml:space="preserve">, 69 </w:t>
      </w:r>
      <w:r>
        <w:rPr>
          <w:smallCaps/>
        </w:rPr>
        <w:t>Vand.</w:t>
      </w:r>
      <w:r w:rsidRPr="00000AD5">
        <w:rPr>
          <w:smallCaps/>
        </w:rPr>
        <w:t xml:space="preserve"> L.Rev</w:t>
      </w:r>
      <w:r>
        <w:t xml:space="preserve">. 1231, 1231 (2016) (arguing that an agency has an obligation to set forth the “best” interpretation of a statute); </w:t>
      </w:r>
      <w:r w:rsidRPr="00D851F9">
        <w:t xml:space="preserve">Kevin Stack, </w:t>
      </w:r>
      <w:r w:rsidRPr="00D851F9">
        <w:rPr>
          <w:i/>
        </w:rPr>
        <w:t>Purposivism in the Executive Branch: How Agencies Interpret Statutes</w:t>
      </w:r>
      <w:r w:rsidRPr="00D851F9">
        <w:t xml:space="preserve">, 109 </w:t>
      </w:r>
      <w:r w:rsidRPr="00D851F9">
        <w:rPr>
          <w:smallCaps/>
        </w:rPr>
        <w:t>N.W. U. L. Rev</w:t>
      </w:r>
      <w:r>
        <w:t xml:space="preserve">. 871, 871, 876 (2015); </w:t>
      </w:r>
      <w:r>
        <w:rPr>
          <w:i/>
        </w:rPr>
        <w:t>see also</w:t>
      </w:r>
      <w:r>
        <w:t xml:space="preserve"> Evan Criddle, </w:t>
      </w:r>
      <w:r>
        <w:rPr>
          <w:i/>
        </w:rPr>
        <w:t>The Constitution of Agency Statutory Interpretation</w:t>
      </w:r>
      <w:r>
        <w:t xml:space="preserve">, 69 </w:t>
      </w:r>
      <w:r w:rsidRPr="00000AD5">
        <w:rPr>
          <w:smallCaps/>
        </w:rPr>
        <w:t>Vanderbilt L. Rev. En Banc</w:t>
      </w:r>
      <w:r>
        <w:t xml:space="preserve"> 325 (2016) (responding to Saiger piece).</w:t>
      </w:r>
    </w:p>
  </w:footnote>
  <w:footnote w:id="9">
    <w:p w14:paraId="6C9E5F63"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w:t>
      </w:r>
      <w:r w:rsidRPr="00D851F9">
        <w:rPr>
          <w:rFonts w:ascii="Times New Roman" w:hAnsi="Times New Roman"/>
          <w:sz w:val="20"/>
        </w:rPr>
        <w:t xml:space="preserve">Chevron USA, Inc. v. Natural Res. Def. Council Inc., 407 U.S. 827-28 (1984) (“[If the statute is silent or ambiguous with respect to the specific issue, the question for the court is whether the agency’s answer is based on a permissible construction of the statute.”). </w:t>
      </w:r>
    </w:p>
  </w:footnote>
  <w:footnote w:id="10">
    <w:p w14:paraId="12BE5559" w14:textId="67C71A31"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Mashaw, </w:t>
      </w:r>
      <w:r>
        <w:rPr>
          <w:rFonts w:ascii="Times New Roman" w:hAnsi="Times New Roman"/>
          <w:i/>
          <w:sz w:val="20"/>
        </w:rPr>
        <w:t xml:space="preserve">Between Facts and Norms, </w:t>
      </w:r>
      <w:r w:rsidRPr="00D851F9">
        <w:rPr>
          <w:rFonts w:ascii="Times New Roman" w:hAnsi="Times New Roman"/>
          <w:i/>
          <w:sz w:val="20"/>
        </w:rPr>
        <w:t xml:space="preserve">supra </w:t>
      </w:r>
      <w:r w:rsidRPr="00D851F9">
        <w:rPr>
          <w:rFonts w:ascii="Times New Roman" w:hAnsi="Times New Roman"/>
          <w:sz w:val="20"/>
        </w:rPr>
        <w:t>note</w:t>
      </w:r>
      <w:r>
        <w:rPr>
          <w:rFonts w:ascii="Times New Roman" w:hAnsi="Times New Roman"/>
          <w:sz w:val="20"/>
        </w:rPr>
        <w:t xml:space="preserve"> 4</w:t>
      </w:r>
      <w:r w:rsidRPr="00D851F9">
        <w:rPr>
          <w:rFonts w:ascii="Times New Roman" w:hAnsi="Times New Roman"/>
          <w:sz w:val="20"/>
        </w:rPr>
        <w:t>, at 498</w:t>
      </w:r>
      <w:r>
        <w:rPr>
          <w:rFonts w:ascii="Times New Roman" w:hAnsi="Times New Roman"/>
          <w:sz w:val="20"/>
        </w:rPr>
        <w:t xml:space="preserve">. </w:t>
      </w:r>
    </w:p>
  </w:footnote>
  <w:footnote w:id="11">
    <w:p w14:paraId="2ADCFEE4" w14:textId="6BB3F65F"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Anita S. Krishnakumar, </w:t>
      </w:r>
      <w:r w:rsidRPr="00D851F9">
        <w:rPr>
          <w:rFonts w:ascii="Times New Roman" w:hAnsi="Times New Roman"/>
          <w:i/>
          <w:sz w:val="20"/>
        </w:rPr>
        <w:t>Dueling Canons</w:t>
      </w:r>
      <w:r w:rsidRPr="00D851F9">
        <w:rPr>
          <w:rFonts w:ascii="Times New Roman" w:hAnsi="Times New Roman"/>
          <w:sz w:val="20"/>
        </w:rPr>
        <w:t xml:space="preserve">, 65 </w:t>
      </w:r>
      <w:r w:rsidRPr="00D851F9">
        <w:rPr>
          <w:rFonts w:ascii="Times New Roman" w:hAnsi="Times New Roman"/>
          <w:smallCaps/>
          <w:sz w:val="20"/>
        </w:rPr>
        <w:t>Duke L. J</w:t>
      </w:r>
      <w:r w:rsidRPr="00D851F9">
        <w:rPr>
          <w:rFonts w:ascii="Times New Roman" w:hAnsi="Times New Roman"/>
          <w:sz w:val="20"/>
        </w:rPr>
        <w:t xml:space="preserve">. 909, 913 (2016). </w:t>
      </w:r>
    </w:p>
  </w:footnote>
  <w:footnote w:id="12">
    <w:p w14:paraId="7B2B3635" w14:textId="6A9F4D26" w:rsidR="00CD3F94" w:rsidRPr="00D851F9" w:rsidRDefault="00CD3F94" w:rsidP="0086288C">
      <w:pPr>
        <w:pStyle w:val="FootnoteText"/>
      </w:pPr>
      <w:r w:rsidRPr="00D851F9">
        <w:rPr>
          <w:rStyle w:val="FootnoteReference"/>
        </w:rPr>
        <w:footnoteRef/>
      </w:r>
      <w:r w:rsidRPr="00D851F9">
        <w:t xml:space="preserve"> Gluck &amp; Bressman,</w:t>
      </w:r>
      <w:r>
        <w:t xml:space="preserve"> </w:t>
      </w:r>
      <w:r>
        <w:rPr>
          <w:i/>
        </w:rPr>
        <w:t xml:space="preserve">Part I </w:t>
      </w:r>
      <w:r>
        <w:t xml:space="preserve">&amp; </w:t>
      </w:r>
      <w:r>
        <w:rPr>
          <w:i/>
        </w:rPr>
        <w:t>Part II</w:t>
      </w:r>
      <w:r>
        <w:t>,</w:t>
      </w:r>
      <w:r w:rsidRPr="00D851F9">
        <w:t xml:space="preserve"> </w:t>
      </w:r>
      <w:r w:rsidRPr="00D851F9">
        <w:rPr>
          <w:i/>
        </w:rPr>
        <w:t>supra</w:t>
      </w:r>
      <w:r w:rsidRPr="00D851F9">
        <w:t xml:space="preserve"> note</w:t>
      </w:r>
      <w:r>
        <w:t xml:space="preserve"> 6</w:t>
      </w:r>
      <w:r w:rsidRPr="00D851F9">
        <w:t>.</w:t>
      </w:r>
    </w:p>
  </w:footnote>
  <w:footnote w:id="13">
    <w:p w14:paraId="43CB9719" w14:textId="5EB306EE" w:rsidR="00CD3F94" w:rsidRPr="00D851F9" w:rsidRDefault="00CD3F94" w:rsidP="0086288C">
      <w:pPr>
        <w:pStyle w:val="FootnoteText"/>
      </w:pPr>
      <w:r w:rsidRPr="00D851F9">
        <w:rPr>
          <w:rStyle w:val="FootnoteReference"/>
        </w:rPr>
        <w:footnoteRef/>
      </w:r>
      <w:r w:rsidRPr="00D851F9">
        <w:t xml:space="preserve"> Walker,</w:t>
      </w:r>
      <w:r>
        <w:t xml:space="preserve"> </w:t>
      </w:r>
      <w:r>
        <w:rPr>
          <w:i/>
        </w:rPr>
        <w:t>Inside Agency</w:t>
      </w:r>
      <w:r>
        <w:t>,</w:t>
      </w:r>
      <w:r w:rsidRPr="00D851F9">
        <w:t xml:space="preserve"> </w:t>
      </w:r>
      <w:r w:rsidRPr="00D851F9">
        <w:rPr>
          <w:i/>
        </w:rPr>
        <w:t>supra</w:t>
      </w:r>
      <w:r w:rsidRPr="00D851F9">
        <w:t xml:space="preserve"> note</w:t>
      </w:r>
      <w:r>
        <w:t xml:space="preserve"> 6.</w:t>
      </w:r>
    </w:p>
  </w:footnote>
  <w:footnote w:id="14">
    <w:p w14:paraId="7470800E" w14:textId="30C3B4D5"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w:t>
      </w:r>
      <w:r w:rsidRPr="00D851F9">
        <w:rPr>
          <w:rFonts w:ascii="Times New Roman" w:hAnsi="Times New Roman"/>
          <w:sz w:val="20"/>
        </w:rPr>
        <w:t xml:space="preserve">Krishnakumar, </w:t>
      </w:r>
      <w:r w:rsidRPr="00D851F9">
        <w:rPr>
          <w:rFonts w:ascii="Times New Roman" w:hAnsi="Times New Roman"/>
          <w:i/>
          <w:sz w:val="20"/>
        </w:rPr>
        <w:t>supra</w:t>
      </w:r>
      <w:r w:rsidRPr="00D851F9">
        <w:rPr>
          <w:rFonts w:ascii="Times New Roman" w:hAnsi="Times New Roman"/>
          <w:sz w:val="20"/>
        </w:rPr>
        <w:t xml:space="preserve"> note </w:t>
      </w:r>
      <w:r>
        <w:rPr>
          <w:rFonts w:ascii="Times New Roman" w:hAnsi="Times New Roman"/>
          <w:sz w:val="20"/>
        </w:rPr>
        <w:t>10</w:t>
      </w:r>
      <w:r w:rsidRPr="00D851F9">
        <w:rPr>
          <w:rFonts w:ascii="Times New Roman" w:hAnsi="Times New Roman"/>
          <w:sz w:val="20"/>
        </w:rPr>
        <w:t>,</w:t>
      </w:r>
      <w:r w:rsidRPr="00D851F9">
        <w:rPr>
          <w:rFonts w:ascii="Times New Roman" w:hAnsi="Times New Roman"/>
          <w:i/>
          <w:sz w:val="20"/>
        </w:rPr>
        <w:t xml:space="preserve"> </w:t>
      </w:r>
      <w:r w:rsidRPr="00D851F9">
        <w:rPr>
          <w:rFonts w:ascii="Times New Roman" w:hAnsi="Times New Roman"/>
          <w:sz w:val="20"/>
        </w:rPr>
        <w:t>at 914 (finding that “none of the canons or tools seemed capable of constraining the Justices’ tendency to vote consistently with their ideological preferences…”).</w:t>
      </w:r>
    </w:p>
  </w:footnote>
  <w:footnote w:id="15">
    <w:p w14:paraId="1AEDA175" w14:textId="77777777" w:rsidR="00CD3F94" w:rsidRPr="00A44133" w:rsidRDefault="00CD3F94" w:rsidP="0086288C">
      <w:pPr>
        <w:pStyle w:val="FootnoteText"/>
      </w:pPr>
      <w:r>
        <w:rPr>
          <w:rStyle w:val="FootnoteReference"/>
        </w:rPr>
        <w:footnoteRef/>
      </w:r>
      <w:r>
        <w:t xml:space="preserve"> </w:t>
      </w:r>
      <w:r>
        <w:rPr>
          <w:i/>
        </w:rPr>
        <w:t xml:space="preserve">See </w:t>
      </w:r>
      <w:r w:rsidRPr="001F1D99">
        <w:rPr>
          <w:smallCaps/>
        </w:rPr>
        <w:t>Adrian Vermeule,</w:t>
      </w:r>
      <w:r>
        <w:t xml:space="preserve"> </w:t>
      </w:r>
      <w:r w:rsidRPr="005E768D">
        <w:rPr>
          <w:smallCaps/>
        </w:rPr>
        <w:t>Judging Under Uncertainty: An Institutional Theory of Legal Interpretation</w:t>
      </w:r>
      <w:r>
        <w:t xml:space="preserve"> 213-14 (2006) (suggesting that agencies’ expertise justifies wider interpretive methods than what may apply for courts); </w:t>
      </w:r>
      <w:r>
        <w:rPr>
          <w:i/>
        </w:rPr>
        <w:t>see also</w:t>
      </w:r>
      <w:r>
        <w:t xml:space="preserve"> Aaron-Andrew P. Bruhl, </w:t>
      </w:r>
      <w:r w:rsidRPr="00860A12">
        <w:rPr>
          <w:i/>
        </w:rPr>
        <w:t>Hierarchy and Heterogeneity: How to Read a Statute in a Lower Court</w:t>
      </w:r>
      <w:r>
        <w:t xml:space="preserve">, 97 </w:t>
      </w:r>
      <w:r w:rsidRPr="00000AD5">
        <w:rPr>
          <w:smallCaps/>
          <w:sz w:val="21"/>
        </w:rPr>
        <w:t>Cornell L. Rev.</w:t>
      </w:r>
      <w:r>
        <w:t xml:space="preserve"> 433, 434 (2012); William N. Eskridge, Jr., </w:t>
      </w:r>
      <w:r>
        <w:rPr>
          <w:i/>
        </w:rPr>
        <w:t>Expanding Chevron’s Domain: A Comparative Institutional Analysis of the Relative Competence of Courts and Agencies to Interpret Statutes</w:t>
      </w:r>
      <w:r>
        <w:t xml:space="preserve">, 2013 </w:t>
      </w:r>
      <w:r w:rsidRPr="005E768D">
        <w:rPr>
          <w:smallCaps/>
        </w:rPr>
        <w:t>Wis. L. Rev</w:t>
      </w:r>
      <w:r>
        <w:t xml:space="preserve">. 411, 420-27 (arguing that agencies expertise and accountability renders them better able to interpret statutes broadly);Michael Herz, </w:t>
      </w:r>
      <w:r>
        <w:rPr>
          <w:i/>
        </w:rPr>
        <w:t>Purposivism and Institutional Competence in Statutory Interpretation</w:t>
      </w:r>
      <w:r>
        <w:t xml:space="preserve">, 2009 </w:t>
      </w:r>
      <w:r w:rsidRPr="005E768D">
        <w:rPr>
          <w:smallCaps/>
        </w:rPr>
        <w:t>Mich. St. L. Rev</w:t>
      </w:r>
      <w:r>
        <w:t xml:space="preserve">. 89, 94-106 (2009) (arguing that agencies’ institutional position justifies a purposive approach to statutory construction); Mashaw, </w:t>
      </w:r>
      <w:r>
        <w:rPr>
          <w:i/>
        </w:rPr>
        <w:t>Between Facts and Norms</w:t>
      </w:r>
      <w:r>
        <w:t>,</w:t>
      </w:r>
      <w:r w:rsidRPr="004B0AEB">
        <w:rPr>
          <w:i/>
        </w:rPr>
        <w:t xml:space="preserve"> supra</w:t>
      </w:r>
      <w:r>
        <w:t xml:space="preserve"> note </w:t>
      </w:r>
      <w:r>
        <w:fldChar w:fldCharType="begin"/>
      </w:r>
      <w:r>
        <w:instrText xml:space="preserve"> NOTEREF _Ref460552518 \h </w:instrText>
      </w:r>
      <w:r>
        <w:fldChar w:fldCharType="separate"/>
      </w:r>
      <w:r>
        <w:t>5</w:t>
      </w:r>
      <w:r>
        <w:fldChar w:fldCharType="end"/>
      </w:r>
      <w:r>
        <w:t xml:space="preserve">, at </w:t>
      </w:r>
      <w:r w:rsidRPr="004B0AEB">
        <w:t>504</w:t>
      </w:r>
      <w:r>
        <w:t xml:space="preserve"> (same)</w:t>
      </w:r>
    </w:p>
  </w:footnote>
  <w:footnote w:id="16">
    <w:p w14:paraId="2957CF76" w14:textId="31459977" w:rsidR="00CD3F94" w:rsidRPr="00480EA5" w:rsidRDefault="00CD3F94" w:rsidP="0086288C">
      <w:pPr>
        <w:pStyle w:val="FootnoteText"/>
      </w:pPr>
      <w:r>
        <w:rPr>
          <w:rStyle w:val="FootnoteReference"/>
        </w:rPr>
        <w:footnoteRef/>
      </w:r>
      <w:r>
        <w:t xml:space="preserve"> Mashaw, </w:t>
      </w:r>
      <w:r>
        <w:rPr>
          <w:i/>
        </w:rPr>
        <w:t>Between Facts and Norms</w:t>
      </w:r>
      <w:r>
        <w:t xml:space="preserve">, </w:t>
      </w:r>
      <w:r>
        <w:rPr>
          <w:i/>
        </w:rPr>
        <w:t>supra</w:t>
      </w:r>
      <w:r>
        <w:t xml:space="preserve"> note 4, at 504.</w:t>
      </w:r>
    </w:p>
  </w:footnote>
  <w:footnote w:id="17">
    <w:p w14:paraId="28BEA00F" w14:textId="77777777" w:rsidR="00CD3F94" w:rsidRPr="004B0AEB" w:rsidRDefault="00CD3F94" w:rsidP="0086288C">
      <w:pPr>
        <w:rPr>
          <w:rFonts w:ascii="Times New Roman" w:hAnsi="Times New Roman"/>
          <w:sz w:val="20"/>
        </w:rPr>
      </w:pPr>
      <w:r w:rsidRPr="004B0AEB">
        <w:rPr>
          <w:rStyle w:val="FootnoteReference"/>
          <w:rFonts w:ascii="Times New Roman" w:hAnsi="Times New Roman"/>
          <w:sz w:val="20"/>
        </w:rPr>
        <w:footnoteRef/>
      </w:r>
      <w:r>
        <w:rPr>
          <w:rFonts w:ascii="Times New Roman" w:hAnsi="Times New Roman"/>
          <w:i/>
          <w:sz w:val="20"/>
        </w:rPr>
        <w:t xml:space="preserve"> </w:t>
      </w:r>
      <w:r w:rsidRPr="004B0AEB">
        <w:rPr>
          <w:rFonts w:ascii="Times New Roman" w:hAnsi="Times New Roman"/>
          <w:i/>
          <w:sz w:val="20"/>
        </w:rPr>
        <w:t>Id.</w:t>
      </w:r>
      <w:r w:rsidRPr="004B0AEB">
        <w:rPr>
          <w:rFonts w:ascii="Times New Roman" w:hAnsi="Times New Roman"/>
          <w:sz w:val="20"/>
        </w:rPr>
        <w:t xml:space="preserve"> at 519.</w:t>
      </w:r>
    </w:p>
  </w:footnote>
  <w:footnote w:id="18">
    <w:p w14:paraId="340F3026" w14:textId="77777777" w:rsidR="00CD3F94" w:rsidRPr="00FB536A" w:rsidRDefault="00CD3F94" w:rsidP="0086288C">
      <w:pPr>
        <w:pStyle w:val="FootnoteText"/>
      </w:pPr>
      <w:r>
        <w:rPr>
          <w:rStyle w:val="FootnoteReference"/>
        </w:rPr>
        <w:footnoteRef/>
      </w:r>
      <w:r>
        <w:t xml:space="preserve"> Lawrence M. Solan, </w:t>
      </w:r>
      <w:r>
        <w:rPr>
          <w:i/>
        </w:rPr>
        <w:t>Precedent in Statutory Interpretation</w:t>
      </w:r>
      <w:r>
        <w:t xml:space="preserve">, 94 </w:t>
      </w:r>
      <w:r w:rsidRPr="00000AD5">
        <w:rPr>
          <w:smallCaps/>
        </w:rPr>
        <w:t>N.C. L. Rev.</w:t>
      </w:r>
      <w:r>
        <w:t xml:space="preserve"> 1165,1165 (2016).</w:t>
      </w:r>
    </w:p>
  </w:footnote>
  <w:footnote w:id="19">
    <w:p w14:paraId="45B6ED55" w14:textId="7601AEAC" w:rsidR="00CD3F94" w:rsidRPr="00DA433B" w:rsidRDefault="00CD3F94" w:rsidP="0086288C">
      <w:pPr>
        <w:pStyle w:val="FootnoteText"/>
      </w:pPr>
      <w:r>
        <w:rPr>
          <w:rStyle w:val="FootnoteReference"/>
        </w:rPr>
        <w:footnoteRef/>
      </w:r>
      <w:r>
        <w:t xml:space="preserve"> Gluck &amp; Bressman, </w:t>
      </w:r>
      <w:r w:rsidRPr="00971470">
        <w:rPr>
          <w:i/>
        </w:rPr>
        <w:t>Part I</w:t>
      </w:r>
      <w:r>
        <w:t xml:space="preserve">, </w:t>
      </w:r>
      <w:r w:rsidRPr="00971470">
        <w:t>supra</w:t>
      </w:r>
      <w:r>
        <w:t xml:space="preserve"> note 6, at 954.</w:t>
      </w:r>
    </w:p>
  </w:footnote>
  <w:footnote w:id="20">
    <w:p w14:paraId="15BBB351" w14:textId="6FBC4571"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William N. Eskridge, Jr., </w:t>
      </w:r>
      <w:r w:rsidRPr="00D851F9">
        <w:rPr>
          <w:rFonts w:ascii="Times New Roman" w:hAnsi="Times New Roman"/>
          <w:i/>
          <w:sz w:val="20"/>
        </w:rPr>
        <w:t>Textualism: The Unknown Ideal?</w:t>
      </w:r>
      <w:r w:rsidRPr="00D851F9">
        <w:rPr>
          <w:rFonts w:ascii="Times New Roman" w:hAnsi="Times New Roman"/>
          <w:sz w:val="20"/>
        </w:rPr>
        <w:t xml:space="preserve"> 96 </w:t>
      </w:r>
      <w:r w:rsidRPr="00D851F9">
        <w:rPr>
          <w:rFonts w:ascii="Times New Roman" w:hAnsi="Times New Roman"/>
          <w:smallCaps/>
          <w:sz w:val="20"/>
        </w:rPr>
        <w:t>Mich. L. Rev</w:t>
      </w:r>
      <w:r w:rsidRPr="00D851F9">
        <w:rPr>
          <w:rFonts w:ascii="Times New Roman" w:hAnsi="Times New Roman"/>
          <w:sz w:val="20"/>
        </w:rPr>
        <w:t xml:space="preserve">. 1509, 1548-49 (1998); Krishnakumar, </w:t>
      </w:r>
      <w:r w:rsidRPr="00D851F9">
        <w:rPr>
          <w:rFonts w:ascii="Times New Roman" w:hAnsi="Times New Roman"/>
          <w:i/>
          <w:sz w:val="20"/>
        </w:rPr>
        <w:t xml:space="preserve">supra </w:t>
      </w:r>
      <w:r w:rsidRPr="00D851F9">
        <w:rPr>
          <w:rFonts w:ascii="Times New Roman" w:hAnsi="Times New Roman"/>
          <w:sz w:val="20"/>
        </w:rPr>
        <w:t>note</w:t>
      </w:r>
      <w:r>
        <w:rPr>
          <w:rFonts w:ascii="Times New Roman" w:hAnsi="Times New Roman"/>
          <w:sz w:val="20"/>
        </w:rPr>
        <w:t xml:space="preserve"> 10</w:t>
      </w:r>
      <w:r w:rsidRPr="00D851F9">
        <w:rPr>
          <w:rFonts w:ascii="Times New Roman" w:hAnsi="Times New Roman"/>
          <w:sz w:val="20"/>
        </w:rPr>
        <w:t xml:space="preserve">, at 914. </w:t>
      </w:r>
    </w:p>
  </w:footnote>
  <w:footnote w:id="21">
    <w:p w14:paraId="5CDAF14E"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Pr>
          <w:rFonts w:ascii="Times New Roman" w:hAnsi="Times New Roman"/>
          <w:sz w:val="20"/>
        </w:rPr>
        <w:t xml:space="preserve"> </w:t>
      </w:r>
      <w:r w:rsidRPr="00D851F9">
        <w:rPr>
          <w:rFonts w:ascii="Times New Roman" w:hAnsi="Times New Roman"/>
          <w:sz w:val="20"/>
        </w:rPr>
        <w:t xml:space="preserve">Karl N. Llewellyn, </w:t>
      </w:r>
      <w:r w:rsidRPr="00D851F9">
        <w:rPr>
          <w:rFonts w:ascii="Times New Roman" w:hAnsi="Times New Roman"/>
          <w:i/>
          <w:sz w:val="20"/>
        </w:rPr>
        <w:t xml:space="preserve">Remarks on the Theory of Appellate Decisions and the Rules or Canons About How Statutes Are to Be Construed, </w:t>
      </w:r>
      <w:r w:rsidRPr="00D851F9">
        <w:rPr>
          <w:rFonts w:ascii="Times New Roman" w:hAnsi="Times New Roman"/>
          <w:sz w:val="20"/>
        </w:rPr>
        <w:t xml:space="preserve">3 </w:t>
      </w:r>
      <w:r w:rsidRPr="00D851F9">
        <w:rPr>
          <w:rFonts w:ascii="Times New Roman" w:hAnsi="Times New Roman"/>
          <w:smallCaps/>
          <w:sz w:val="20"/>
        </w:rPr>
        <w:t>Vand. L. Rev</w:t>
      </w:r>
      <w:r w:rsidRPr="00D851F9">
        <w:rPr>
          <w:rFonts w:ascii="Times New Roman" w:hAnsi="Times New Roman"/>
          <w:sz w:val="20"/>
        </w:rPr>
        <w:t xml:space="preserve">. 395, 401-06 (1950). Llewellyn lists 28 pairs of canons and countercanons (“thrusts” and “parries”). </w:t>
      </w:r>
      <w:r>
        <w:rPr>
          <w:rFonts w:ascii="Times New Roman" w:hAnsi="Times New Roman"/>
          <w:i/>
          <w:sz w:val="20"/>
        </w:rPr>
        <w:t>I</w:t>
      </w:r>
      <w:r w:rsidRPr="00D851F9">
        <w:rPr>
          <w:rFonts w:ascii="Times New Roman" w:hAnsi="Times New Roman"/>
          <w:i/>
          <w:sz w:val="20"/>
        </w:rPr>
        <w:t>d.</w:t>
      </w:r>
    </w:p>
  </w:footnote>
  <w:footnote w:id="22">
    <w:p w14:paraId="56683718" w14:textId="77777777" w:rsidR="00CD3F94" w:rsidRPr="002B605B" w:rsidRDefault="00CD3F94" w:rsidP="0086288C">
      <w:pPr>
        <w:pStyle w:val="FootnoteText"/>
      </w:pPr>
      <w:r>
        <w:rPr>
          <w:rStyle w:val="FootnoteReference"/>
        </w:rPr>
        <w:footnoteRef/>
      </w:r>
      <w:r>
        <w:t xml:space="preserve"> </w:t>
      </w:r>
      <w:r>
        <w:rPr>
          <w:i/>
        </w:rPr>
        <w:t>See, e.g.,</w:t>
      </w:r>
      <w:r>
        <w:t xml:space="preserve"> Kevin M. Stack, </w:t>
      </w:r>
      <w:r>
        <w:rPr>
          <w:i/>
        </w:rPr>
        <w:t>Purposivism in the Executive Branch: How Agencies Interpret Statutes</w:t>
      </w:r>
      <w:r>
        <w:t xml:space="preserve">, 109 </w:t>
      </w:r>
      <w:r w:rsidRPr="00000AD5">
        <w:rPr>
          <w:smallCaps/>
        </w:rPr>
        <w:t>NW. U. L. Rev</w:t>
      </w:r>
      <w:r>
        <w:t xml:space="preserve">. 871, 887-900 (2015) (advocating for a purposive approach); Christopher J. Walker, </w:t>
      </w:r>
      <w:r>
        <w:rPr>
          <w:i/>
        </w:rPr>
        <w:t xml:space="preserve">Legislating in the Shadows, </w:t>
      </w:r>
      <w:r>
        <w:t xml:space="preserve">165 </w:t>
      </w:r>
      <w:r w:rsidRPr="00000AD5">
        <w:rPr>
          <w:smallCaps/>
        </w:rPr>
        <w:t>U. Pa. L. Rev.</w:t>
      </w:r>
      <w:r>
        <w:t xml:space="preserve"> 1377, 1399-1401 (2017) (summarizing scholars’ approach to purposive interpretation); Aaron Saiger, </w:t>
      </w:r>
      <w:r>
        <w:rPr>
          <w:i/>
        </w:rPr>
        <w:t>Agencies’ Obligation to Interpret the Statute</w:t>
      </w:r>
      <w:r>
        <w:t xml:space="preserve">, 69 </w:t>
      </w:r>
      <w:r w:rsidRPr="00000AD5">
        <w:rPr>
          <w:smallCaps/>
        </w:rPr>
        <w:t>Vand. L. Rev</w:t>
      </w:r>
      <w:r>
        <w:t xml:space="preserve">. 1231 (2016) (arguing that agencies have an ethical duty to set forth the “best interpretation” of the statute); </w:t>
      </w:r>
      <w:r>
        <w:rPr>
          <w:i/>
        </w:rPr>
        <w:t xml:space="preserve">see also </w:t>
      </w:r>
      <w:r>
        <w:t xml:space="preserve">Mashaw, </w:t>
      </w:r>
      <w:r>
        <w:rPr>
          <w:i/>
        </w:rPr>
        <w:t>Between Facts and Norms</w:t>
      </w:r>
      <w:r>
        <w:t>,</w:t>
      </w:r>
      <w:r w:rsidRPr="004B0AEB">
        <w:rPr>
          <w:i/>
        </w:rPr>
        <w:t xml:space="preserve"> </w:t>
      </w:r>
      <w:r>
        <w:rPr>
          <w:i/>
        </w:rPr>
        <w:t xml:space="preserve">supra </w:t>
      </w:r>
      <w:r>
        <w:t xml:space="preserve">note </w:t>
      </w:r>
      <w:r>
        <w:fldChar w:fldCharType="begin"/>
      </w:r>
      <w:r>
        <w:instrText xml:space="preserve"> NOTEREF _Ref460552518 \h </w:instrText>
      </w:r>
      <w:r>
        <w:fldChar w:fldCharType="separate"/>
      </w:r>
      <w:r>
        <w:t>5</w:t>
      </w:r>
      <w:r>
        <w:fldChar w:fldCharType="end"/>
      </w:r>
      <w:r>
        <w:t xml:space="preserve">, at 511 (noting purposive approach); Richard J. Pierce, Jr., </w:t>
      </w:r>
      <w:r>
        <w:rPr>
          <w:i/>
        </w:rPr>
        <w:t>What Factors Can an Agency Consider in Making a Decision</w:t>
      </w:r>
      <w:r>
        <w:t xml:space="preserve">?, 2009 </w:t>
      </w:r>
      <w:r w:rsidRPr="00000AD5">
        <w:rPr>
          <w:smallCaps/>
        </w:rPr>
        <w:t>Mich. St. L. Rev</w:t>
      </w:r>
      <w:r>
        <w:t xml:space="preserve">. 67, 67 (2009) (same); William N. Eskridge, </w:t>
      </w:r>
      <w:r>
        <w:rPr>
          <w:i/>
        </w:rPr>
        <w:t>Expanding Chevron’s Domain: A Comparative Institutional Analysis of the Relative Competence of Courts and Agencies to Interpret Statutes</w:t>
      </w:r>
      <w:r>
        <w:t xml:space="preserve">, 2013 </w:t>
      </w:r>
      <w:r w:rsidRPr="00000AD5">
        <w:rPr>
          <w:smallCaps/>
        </w:rPr>
        <w:t>Wis. L. Rev</w:t>
      </w:r>
      <w:r>
        <w:t>. 411, 427 (2013) (same).</w:t>
      </w:r>
    </w:p>
  </w:footnote>
  <w:footnote w:id="23">
    <w:p w14:paraId="771673EC" w14:textId="23F71F5A" w:rsidR="00CD3F94" w:rsidRPr="00D851F9" w:rsidRDefault="00CD3F94" w:rsidP="0086288C">
      <w:pPr>
        <w:pStyle w:val="FootnoteText"/>
      </w:pPr>
      <w:r w:rsidRPr="00D851F9">
        <w:rPr>
          <w:rStyle w:val="FootnoteReference"/>
        </w:rPr>
        <w:footnoteRef/>
      </w:r>
      <w:r w:rsidRPr="00D851F9">
        <w:t xml:space="preserve"> Mashaw, </w:t>
      </w:r>
      <w:r>
        <w:rPr>
          <w:i/>
        </w:rPr>
        <w:t>Between Facts and Norms</w:t>
      </w:r>
      <w:r>
        <w:t xml:space="preserve">, </w:t>
      </w:r>
      <w:r w:rsidRPr="00D851F9">
        <w:rPr>
          <w:i/>
        </w:rPr>
        <w:t>supra</w:t>
      </w:r>
      <w:r>
        <w:t xml:space="preserve"> note 4</w:t>
      </w:r>
      <w:r w:rsidRPr="00D851F9">
        <w:t xml:space="preserve">, at 510; </w:t>
      </w:r>
      <w:r>
        <w:t xml:space="preserve">Stack, </w:t>
      </w:r>
      <w:r w:rsidRPr="00225EC8">
        <w:rPr>
          <w:i/>
        </w:rPr>
        <w:t>supra</w:t>
      </w:r>
      <w:r>
        <w:t xml:space="preserve"> note 21, at 887-90.</w:t>
      </w:r>
    </w:p>
  </w:footnote>
  <w:footnote w:id="24">
    <w:p w14:paraId="336A2DA1"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 xml:space="preserve">See </w:t>
      </w:r>
      <w:r w:rsidRPr="00D851F9">
        <w:t xml:space="preserve">Peter Strauss, </w:t>
      </w:r>
      <w:r w:rsidRPr="00D851F9">
        <w:rPr>
          <w:i/>
        </w:rPr>
        <w:t>When the Judge Is Not the Primary Official with Responsibility to Read: Agency Interpretation and the Problem of Legislative History</w:t>
      </w:r>
      <w:r w:rsidRPr="00D851F9">
        <w:t xml:space="preserve">, 1990 </w:t>
      </w:r>
      <w:r w:rsidRPr="00D851F9">
        <w:rPr>
          <w:smallCaps/>
        </w:rPr>
        <w:t>Chi-Kent L. Rev</w:t>
      </w:r>
      <w:r w:rsidRPr="00D851F9">
        <w:t xml:space="preserve">. 321, 321 (1990); </w:t>
      </w:r>
      <w:r>
        <w:rPr>
          <w:i/>
        </w:rPr>
        <w:t xml:space="preserve">see also </w:t>
      </w:r>
      <w:r w:rsidRPr="00D851F9">
        <w:t xml:space="preserve">Daniel P. O’Gorman, </w:t>
      </w:r>
      <w:r w:rsidRPr="00D851F9">
        <w:rPr>
          <w:i/>
        </w:rPr>
        <w:t>Construing the National Labor Relations Act: The NLRB and Methods of Statutory Construction</w:t>
      </w:r>
      <w:r w:rsidRPr="00D851F9">
        <w:t xml:space="preserve">, 81 </w:t>
      </w:r>
      <w:r w:rsidRPr="00D851F9">
        <w:rPr>
          <w:smallCaps/>
        </w:rPr>
        <w:t>Temple L. Rev.</w:t>
      </w:r>
      <w:r w:rsidRPr="00D851F9">
        <w:t xml:space="preserve"> 178 (2009).</w:t>
      </w:r>
    </w:p>
  </w:footnote>
  <w:footnote w:id="25">
    <w:p w14:paraId="0B654DF0"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 xml:space="preserve">See </w:t>
      </w:r>
      <w:r w:rsidRPr="00D851F9">
        <w:t xml:space="preserve">Catherine L. Fisk &amp; Deborah C. Malamud, </w:t>
      </w:r>
      <w:r w:rsidRPr="00D851F9">
        <w:rPr>
          <w:i/>
        </w:rPr>
        <w:t>The NLRB in Administrative Law Exile: Problems with Its Structure and Function and Suggestions for Reform</w:t>
      </w:r>
      <w:r w:rsidRPr="00D851F9">
        <w:t xml:space="preserve">, 58 </w:t>
      </w:r>
      <w:r w:rsidRPr="00D851F9">
        <w:rPr>
          <w:smallCaps/>
        </w:rPr>
        <w:t>Duke L. J</w:t>
      </w:r>
      <w:r w:rsidRPr="00D851F9">
        <w:t>. 2013, 2020 (2009).</w:t>
      </w:r>
    </w:p>
  </w:footnote>
  <w:footnote w:id="26">
    <w:p w14:paraId="486B9880" w14:textId="29759011" w:rsidR="00CD3F94" w:rsidRPr="00D851F9" w:rsidRDefault="00CD3F94" w:rsidP="0086288C">
      <w:pPr>
        <w:pStyle w:val="FootnoteText"/>
        <w:rPr>
          <w:i/>
        </w:rPr>
      </w:pPr>
      <w:r w:rsidRPr="00D851F9">
        <w:rPr>
          <w:rStyle w:val="FootnoteReference"/>
        </w:rPr>
        <w:footnoteRef/>
      </w:r>
      <w:r w:rsidRPr="00D851F9">
        <w:t xml:space="preserve"> </w:t>
      </w:r>
      <w:r>
        <w:rPr>
          <w:i/>
        </w:rPr>
        <w:t>I</w:t>
      </w:r>
      <w:r w:rsidRPr="00D851F9">
        <w:rPr>
          <w:i/>
        </w:rPr>
        <w:t>d.</w:t>
      </w:r>
    </w:p>
  </w:footnote>
  <w:footnote w:id="27">
    <w:p w14:paraId="62C635B3" w14:textId="77777777" w:rsidR="00CD3F94" w:rsidRDefault="00CD3F94" w:rsidP="0086288C">
      <w:pPr>
        <w:pStyle w:val="FootnoteText"/>
      </w:pPr>
      <w:r>
        <w:rPr>
          <w:rStyle w:val="FootnoteReference"/>
        </w:rPr>
        <w:footnoteRef/>
      </w:r>
      <w:r>
        <w:t xml:space="preserve"> Jonathan R. Siegel, </w:t>
      </w:r>
      <w:r>
        <w:rPr>
          <w:i/>
        </w:rPr>
        <w:t>Guardians of the Background Principles</w:t>
      </w:r>
      <w:r>
        <w:t xml:space="preserve">, 2009 </w:t>
      </w:r>
      <w:r w:rsidRPr="00F31606">
        <w:rPr>
          <w:smallCaps/>
        </w:rPr>
        <w:t>Mich. St. L. Rev</w:t>
      </w:r>
      <w:r>
        <w:t>. 123, 136 (2009) (“the most important consideration in an agency’s interpretation of a statute may be neither the text of the statute, nor the apparent intent or purpose behind it, but the background principles of the area of law that the agency administers”).</w:t>
      </w:r>
    </w:p>
  </w:footnote>
  <w:footnote w:id="28">
    <w:p w14:paraId="6906EDA4" w14:textId="16AC38DA"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e.g., </w:t>
      </w:r>
      <w:r w:rsidRPr="00D851F9">
        <w:rPr>
          <w:rFonts w:ascii="Times New Roman" w:hAnsi="Times New Roman"/>
          <w:sz w:val="20"/>
        </w:rPr>
        <w:t xml:space="preserve">Gluck, </w:t>
      </w:r>
      <w:r>
        <w:rPr>
          <w:rFonts w:ascii="Times New Roman" w:hAnsi="Times New Roman"/>
          <w:i/>
          <w:sz w:val="20"/>
        </w:rPr>
        <w:t xml:space="preserve">supra </w:t>
      </w:r>
      <w:r>
        <w:rPr>
          <w:rFonts w:ascii="Times New Roman" w:hAnsi="Times New Roman"/>
          <w:sz w:val="20"/>
        </w:rPr>
        <w:t xml:space="preserve">note 3, </w:t>
      </w:r>
      <w:r w:rsidRPr="00D851F9">
        <w:rPr>
          <w:rFonts w:ascii="Times New Roman" w:hAnsi="Times New Roman"/>
          <w:sz w:val="20"/>
        </w:rPr>
        <w:t xml:space="preserve">1761-68 (2010) (discussion of debate between purposivism and textualism); </w:t>
      </w:r>
      <w:r w:rsidRPr="00D851F9">
        <w:rPr>
          <w:rFonts w:ascii="Times New Roman" w:hAnsi="Times New Roman"/>
          <w:i/>
          <w:sz w:val="20"/>
        </w:rPr>
        <w:t>see also</w:t>
      </w:r>
      <w:r w:rsidRPr="00D851F9">
        <w:rPr>
          <w:rFonts w:ascii="Times New Roman" w:hAnsi="Times New Roman"/>
          <w:sz w:val="20"/>
        </w:rPr>
        <w:t xml:space="preserve"> John F. Manning, </w:t>
      </w:r>
      <w:r w:rsidRPr="00D851F9">
        <w:rPr>
          <w:rFonts w:ascii="Times New Roman" w:hAnsi="Times New Roman"/>
          <w:i/>
          <w:sz w:val="20"/>
        </w:rPr>
        <w:t>What Divides Textualists from Purposivists?</w:t>
      </w:r>
      <w:r w:rsidRPr="00D851F9">
        <w:rPr>
          <w:rFonts w:ascii="Times New Roman" w:hAnsi="Times New Roman"/>
          <w:sz w:val="20"/>
        </w:rPr>
        <w:t xml:space="preserve">, 70 </w:t>
      </w:r>
      <w:r w:rsidRPr="00D851F9">
        <w:rPr>
          <w:rFonts w:ascii="Times New Roman" w:hAnsi="Times New Roman"/>
          <w:smallCaps/>
          <w:sz w:val="20"/>
        </w:rPr>
        <w:t>Colum. L. Rev.</w:t>
      </w:r>
      <w:r w:rsidRPr="00D851F9">
        <w:rPr>
          <w:rFonts w:ascii="Times New Roman" w:hAnsi="Times New Roman"/>
          <w:sz w:val="20"/>
        </w:rPr>
        <w:t xml:space="preserve"> 106 (2006) (same).</w:t>
      </w:r>
    </w:p>
  </w:footnote>
  <w:footnote w:id="29">
    <w:p w14:paraId="49D78FB5"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Antonin Scalia, </w:t>
      </w:r>
      <w:r w:rsidRPr="00D851F9">
        <w:rPr>
          <w:rFonts w:ascii="Times New Roman" w:hAnsi="Times New Roman"/>
          <w:smallCaps/>
          <w:sz w:val="20"/>
        </w:rPr>
        <w:t>A Matter of Interpretation: Federal Courts and the Law</w:t>
      </w:r>
      <w:r w:rsidRPr="00D851F9">
        <w:rPr>
          <w:rFonts w:ascii="Times New Roman" w:hAnsi="Times New Roman"/>
          <w:sz w:val="20"/>
        </w:rPr>
        <w:t xml:space="preserve"> 25-27 (1997). For more on textualism, see John F. Manning, </w:t>
      </w:r>
      <w:r w:rsidRPr="00D851F9">
        <w:rPr>
          <w:rFonts w:ascii="Times New Roman" w:hAnsi="Times New Roman"/>
          <w:i/>
          <w:sz w:val="20"/>
        </w:rPr>
        <w:t>Textualism and Legislative Intent</w:t>
      </w:r>
      <w:r w:rsidRPr="00D851F9">
        <w:rPr>
          <w:rFonts w:ascii="Times New Roman" w:hAnsi="Times New Roman"/>
          <w:sz w:val="20"/>
        </w:rPr>
        <w:t xml:space="preserve">, 91 </w:t>
      </w:r>
      <w:r w:rsidRPr="00D851F9">
        <w:rPr>
          <w:rFonts w:ascii="Times New Roman" w:hAnsi="Times New Roman"/>
          <w:smallCaps/>
          <w:sz w:val="20"/>
        </w:rPr>
        <w:t>Va. L. Rev</w:t>
      </w:r>
      <w:r w:rsidRPr="00D851F9">
        <w:rPr>
          <w:rFonts w:ascii="Times New Roman" w:hAnsi="Times New Roman"/>
          <w:sz w:val="20"/>
        </w:rPr>
        <w:t xml:space="preserve">. 419, 423-24 (2005); Caleb Nelson, </w:t>
      </w:r>
      <w:r w:rsidRPr="00D851F9">
        <w:rPr>
          <w:rFonts w:ascii="Times New Roman" w:hAnsi="Times New Roman"/>
          <w:i/>
          <w:sz w:val="20"/>
        </w:rPr>
        <w:t>A Response to Professor Manning</w:t>
      </w:r>
      <w:r w:rsidRPr="00D851F9">
        <w:rPr>
          <w:rFonts w:ascii="Times New Roman" w:hAnsi="Times New Roman"/>
          <w:sz w:val="20"/>
        </w:rPr>
        <w:t xml:space="preserve">, 91 </w:t>
      </w:r>
      <w:r w:rsidRPr="00D851F9">
        <w:rPr>
          <w:rFonts w:ascii="Times New Roman" w:hAnsi="Times New Roman"/>
          <w:smallCaps/>
          <w:sz w:val="20"/>
        </w:rPr>
        <w:t>Va. L. Rev</w:t>
      </w:r>
      <w:r w:rsidRPr="00D851F9">
        <w:rPr>
          <w:rFonts w:ascii="Times New Roman" w:hAnsi="Times New Roman"/>
          <w:sz w:val="20"/>
        </w:rPr>
        <w:t xml:space="preserve">. 451, 452-53 (2005); John F. Manning, </w:t>
      </w:r>
      <w:r w:rsidRPr="00D851F9">
        <w:rPr>
          <w:rFonts w:ascii="Times New Roman" w:hAnsi="Times New Roman"/>
          <w:i/>
          <w:sz w:val="20"/>
        </w:rPr>
        <w:t>Textualism and the Equity of the Statute</w:t>
      </w:r>
      <w:r w:rsidRPr="00D851F9">
        <w:rPr>
          <w:rFonts w:ascii="Times New Roman" w:hAnsi="Times New Roman"/>
          <w:sz w:val="20"/>
        </w:rPr>
        <w:t xml:space="preserve">, 101 </w:t>
      </w:r>
      <w:r w:rsidRPr="00D851F9">
        <w:rPr>
          <w:rFonts w:ascii="Times New Roman" w:hAnsi="Times New Roman"/>
          <w:smallCaps/>
          <w:sz w:val="20"/>
        </w:rPr>
        <w:t>Colum. L. Rev</w:t>
      </w:r>
      <w:r w:rsidRPr="00D851F9">
        <w:rPr>
          <w:rFonts w:ascii="Times New Roman" w:hAnsi="Times New Roman"/>
          <w:sz w:val="20"/>
        </w:rPr>
        <w:t xml:space="preserve">. 1, 8-9 (2001); John F. Manning, </w:t>
      </w:r>
      <w:r w:rsidRPr="00D851F9">
        <w:rPr>
          <w:rFonts w:ascii="Times New Roman" w:hAnsi="Times New Roman"/>
          <w:i/>
          <w:sz w:val="20"/>
        </w:rPr>
        <w:t>Deriving Rules of Statutory Interpretation from the Constitution</w:t>
      </w:r>
      <w:r w:rsidRPr="00D851F9">
        <w:rPr>
          <w:rFonts w:ascii="Times New Roman" w:hAnsi="Times New Roman"/>
          <w:sz w:val="20"/>
        </w:rPr>
        <w:t xml:space="preserve">, 101 </w:t>
      </w:r>
      <w:r w:rsidRPr="00D851F9">
        <w:rPr>
          <w:rFonts w:ascii="Times New Roman" w:hAnsi="Times New Roman"/>
          <w:smallCaps/>
          <w:sz w:val="20"/>
        </w:rPr>
        <w:t>Colum. L. Rev</w:t>
      </w:r>
      <w:r w:rsidRPr="00D851F9">
        <w:rPr>
          <w:rFonts w:ascii="Times New Roman" w:hAnsi="Times New Roman"/>
          <w:sz w:val="20"/>
        </w:rPr>
        <w:t>. 1648 (2001).</w:t>
      </w:r>
    </w:p>
  </w:footnote>
  <w:footnote w:id="30">
    <w:p w14:paraId="6DB0F881"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William N. Eskridge, </w:t>
      </w:r>
      <w:r w:rsidRPr="00D851F9">
        <w:rPr>
          <w:rFonts w:ascii="Times New Roman" w:hAnsi="Times New Roman"/>
          <w:smallCaps/>
          <w:sz w:val="20"/>
        </w:rPr>
        <w:t>Dynamic Statutory Interpretation</w:t>
      </w:r>
      <w:r w:rsidRPr="00D851F9">
        <w:rPr>
          <w:rFonts w:ascii="Times New Roman" w:hAnsi="Times New Roman"/>
          <w:sz w:val="20"/>
        </w:rPr>
        <w:t xml:space="preserve"> 27 (1994).</w:t>
      </w:r>
    </w:p>
  </w:footnote>
  <w:footnote w:id="31">
    <w:p w14:paraId="393A605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Caleb Nelson, </w:t>
      </w:r>
      <w:r w:rsidRPr="00D851F9">
        <w:rPr>
          <w:rFonts w:ascii="Times New Roman" w:hAnsi="Times New Roman"/>
          <w:i/>
          <w:sz w:val="20"/>
        </w:rPr>
        <w:t xml:space="preserve">What Is Textualism?, </w:t>
      </w:r>
      <w:r w:rsidRPr="00D851F9">
        <w:rPr>
          <w:rFonts w:ascii="Times New Roman" w:hAnsi="Times New Roman"/>
          <w:sz w:val="20"/>
        </w:rPr>
        <w:t xml:space="preserve">91 </w:t>
      </w:r>
      <w:r w:rsidRPr="00D851F9">
        <w:rPr>
          <w:rFonts w:ascii="Times New Roman" w:hAnsi="Times New Roman"/>
          <w:smallCaps/>
          <w:sz w:val="20"/>
        </w:rPr>
        <w:t>Va. L. Rev</w:t>
      </w:r>
      <w:r w:rsidRPr="00D851F9">
        <w:rPr>
          <w:rFonts w:ascii="Times New Roman" w:hAnsi="Times New Roman"/>
          <w:sz w:val="20"/>
        </w:rPr>
        <w:t xml:space="preserve">. 347, 348 (2005). </w:t>
      </w:r>
    </w:p>
  </w:footnote>
  <w:footnote w:id="32">
    <w:p w14:paraId="0F8E4CE9"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 e,g</w:t>
      </w:r>
      <w:r w:rsidRPr="005263A4">
        <w:rPr>
          <w:rFonts w:ascii="Times New Roman" w:hAnsi="Times New Roman"/>
          <w:sz w:val="20"/>
        </w:rPr>
        <w:t>., S</w:t>
      </w:r>
      <w:r w:rsidRPr="00D851F9">
        <w:rPr>
          <w:rFonts w:ascii="Times New Roman" w:hAnsi="Times New Roman"/>
          <w:sz w:val="20"/>
        </w:rPr>
        <w:t xml:space="preserve">calia, </w:t>
      </w:r>
      <w:r w:rsidRPr="00D851F9">
        <w:rPr>
          <w:rFonts w:ascii="Times New Roman" w:hAnsi="Times New Roman"/>
          <w:i/>
          <w:sz w:val="20"/>
        </w:rPr>
        <w:t>supra</w:t>
      </w:r>
      <w:r>
        <w:rPr>
          <w:rFonts w:ascii="Times New Roman" w:hAnsi="Times New Roman"/>
          <w:sz w:val="20"/>
        </w:rPr>
        <w:t xml:space="preserve"> note </w:t>
      </w:r>
      <w:r>
        <w:rPr>
          <w:rFonts w:ascii="Times New Roman" w:hAnsi="Times New Roman"/>
          <w:sz w:val="20"/>
        </w:rPr>
        <w:fldChar w:fldCharType="begin"/>
      </w:r>
      <w:r>
        <w:rPr>
          <w:rFonts w:ascii="Times New Roman" w:hAnsi="Times New Roman"/>
          <w:sz w:val="20"/>
        </w:rPr>
        <w:instrText xml:space="preserve"> NOTEREF _Ref460546731 \h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29</w:t>
      </w:r>
      <w:r>
        <w:rPr>
          <w:rFonts w:ascii="Times New Roman" w:hAnsi="Times New Roman"/>
          <w:sz w:val="20"/>
        </w:rPr>
        <w:fldChar w:fldCharType="end"/>
      </w:r>
      <w:r w:rsidRPr="00D851F9">
        <w:rPr>
          <w:rFonts w:ascii="Times New Roman" w:hAnsi="Times New Roman"/>
          <w:sz w:val="20"/>
        </w:rPr>
        <w:t xml:space="preserve">, at 17; W. David. Slawson, </w:t>
      </w:r>
      <w:r w:rsidRPr="00D851F9">
        <w:rPr>
          <w:rFonts w:ascii="Times New Roman" w:hAnsi="Times New Roman"/>
          <w:i/>
          <w:sz w:val="20"/>
        </w:rPr>
        <w:t>Legislative History and the Need to Bring Statutory Interpretation Under the Rule of Law</w:t>
      </w:r>
      <w:r w:rsidRPr="00D851F9">
        <w:rPr>
          <w:rFonts w:ascii="Times New Roman" w:hAnsi="Times New Roman"/>
          <w:sz w:val="20"/>
        </w:rPr>
        <w:t xml:space="preserve">, 44 </w:t>
      </w:r>
      <w:r w:rsidRPr="00D851F9">
        <w:rPr>
          <w:rFonts w:ascii="Times New Roman" w:hAnsi="Times New Roman"/>
          <w:smallCaps/>
          <w:sz w:val="20"/>
        </w:rPr>
        <w:t>Stan. L. Rev</w:t>
      </w:r>
      <w:r w:rsidRPr="00D851F9">
        <w:rPr>
          <w:rFonts w:ascii="Times New Roman" w:hAnsi="Times New Roman"/>
          <w:sz w:val="20"/>
        </w:rPr>
        <w:t xml:space="preserve">. 383, 416 (1992); David A. Strauss, </w:t>
      </w:r>
      <w:r w:rsidRPr="00D851F9">
        <w:rPr>
          <w:rFonts w:ascii="Times New Roman" w:hAnsi="Times New Roman"/>
          <w:i/>
          <w:sz w:val="20"/>
        </w:rPr>
        <w:t>Why Plain Meaning?</w:t>
      </w:r>
      <w:r w:rsidRPr="00D851F9">
        <w:rPr>
          <w:rFonts w:ascii="Times New Roman" w:hAnsi="Times New Roman"/>
          <w:sz w:val="20"/>
        </w:rPr>
        <w:t xml:space="preserve">, 72 </w:t>
      </w:r>
      <w:r w:rsidRPr="00D851F9">
        <w:rPr>
          <w:rFonts w:ascii="Times New Roman" w:hAnsi="Times New Roman"/>
          <w:smallCaps/>
          <w:sz w:val="20"/>
        </w:rPr>
        <w:t>Notre Dame L. Rev</w:t>
      </w:r>
      <w:r w:rsidRPr="00D851F9">
        <w:rPr>
          <w:rFonts w:ascii="Times New Roman" w:hAnsi="Times New Roman"/>
          <w:sz w:val="20"/>
        </w:rPr>
        <w:t xml:space="preserve">. 1565, 1565 (1997). </w:t>
      </w:r>
    </w:p>
  </w:footnote>
  <w:footnote w:id="33">
    <w:p w14:paraId="61294AA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Carlos E. Gonzalez, </w:t>
      </w:r>
      <w:r w:rsidRPr="00D851F9">
        <w:rPr>
          <w:rFonts w:ascii="Times New Roman" w:hAnsi="Times New Roman"/>
          <w:i/>
          <w:sz w:val="20"/>
        </w:rPr>
        <w:t>Reinterpreting Statutory Interpretation</w:t>
      </w:r>
      <w:r w:rsidRPr="00D851F9">
        <w:rPr>
          <w:rFonts w:ascii="Times New Roman" w:hAnsi="Times New Roman"/>
          <w:sz w:val="20"/>
        </w:rPr>
        <w:t xml:space="preserve">, 74 </w:t>
      </w:r>
      <w:r w:rsidRPr="00D851F9">
        <w:rPr>
          <w:rFonts w:ascii="Times New Roman" w:hAnsi="Times New Roman"/>
          <w:smallCaps/>
          <w:sz w:val="20"/>
        </w:rPr>
        <w:t>N.C. L. Rev</w:t>
      </w:r>
      <w:r w:rsidRPr="00D851F9">
        <w:rPr>
          <w:rFonts w:ascii="Times New Roman" w:hAnsi="Times New Roman"/>
          <w:sz w:val="20"/>
        </w:rPr>
        <w:t>. 585, 595 (1996).</w:t>
      </w:r>
    </w:p>
  </w:footnote>
  <w:footnote w:id="34">
    <w:p w14:paraId="0822CC5B" w14:textId="4E58057F"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Scalia, </w:t>
      </w:r>
      <w:r w:rsidRPr="00D851F9">
        <w:rPr>
          <w:rFonts w:ascii="Times New Roman" w:hAnsi="Times New Roman"/>
          <w:i/>
          <w:sz w:val="20"/>
        </w:rPr>
        <w:t xml:space="preserve">supra </w:t>
      </w:r>
      <w:r w:rsidRPr="00D851F9">
        <w:rPr>
          <w:rFonts w:ascii="Times New Roman" w:hAnsi="Times New Roman"/>
          <w:sz w:val="20"/>
        </w:rPr>
        <w:t>note</w:t>
      </w:r>
      <w:r>
        <w:rPr>
          <w:rFonts w:ascii="Times New Roman" w:hAnsi="Times New Roman"/>
          <w:sz w:val="20"/>
        </w:rPr>
        <w:t xml:space="preserve"> 28</w:t>
      </w:r>
      <w:r w:rsidRPr="00D851F9">
        <w:rPr>
          <w:rFonts w:ascii="Times New Roman" w:hAnsi="Times New Roman"/>
          <w:sz w:val="20"/>
        </w:rPr>
        <w:t>, at 16-25.</w:t>
      </w:r>
    </w:p>
  </w:footnote>
  <w:footnote w:id="35">
    <w:p w14:paraId="3A067C0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 xml:space="preserve">Id. </w:t>
      </w:r>
      <w:r w:rsidRPr="00D851F9">
        <w:rPr>
          <w:rFonts w:ascii="Times New Roman" w:hAnsi="Times New Roman"/>
          <w:sz w:val="20"/>
        </w:rPr>
        <w:t xml:space="preserve">at 36 (“In any major piece of legislation, the legislative history is extensive, and there is something for everybody.”); Patricia M. Wald, </w:t>
      </w:r>
      <w:r w:rsidRPr="00D851F9">
        <w:rPr>
          <w:rFonts w:ascii="Times New Roman" w:hAnsi="Times New Roman"/>
          <w:i/>
          <w:sz w:val="20"/>
        </w:rPr>
        <w:t>Some Observations on the Use of Legislative History in the 1981 Supreme Court Term</w:t>
      </w:r>
      <w:r w:rsidRPr="00D851F9">
        <w:rPr>
          <w:rFonts w:ascii="Times New Roman" w:hAnsi="Times New Roman"/>
          <w:sz w:val="20"/>
        </w:rPr>
        <w:t xml:space="preserve">, 68 </w:t>
      </w:r>
      <w:r w:rsidRPr="00D851F9">
        <w:rPr>
          <w:rFonts w:ascii="Times New Roman" w:hAnsi="Times New Roman"/>
          <w:smallCaps/>
          <w:sz w:val="20"/>
        </w:rPr>
        <w:t>Iowa L. Rev</w:t>
      </w:r>
      <w:r w:rsidRPr="00D851F9">
        <w:rPr>
          <w:rFonts w:ascii="Times New Roman" w:hAnsi="Times New Roman"/>
          <w:sz w:val="20"/>
        </w:rPr>
        <w:t>. 195, 205-06 (1983).</w:t>
      </w:r>
    </w:p>
  </w:footnote>
  <w:footnote w:id="36">
    <w:p w14:paraId="25D1D305" w14:textId="6C44839E"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Eskridge,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29</w:t>
      </w:r>
      <w:r w:rsidRPr="00D851F9">
        <w:rPr>
          <w:rFonts w:ascii="Times New Roman" w:hAnsi="Times New Roman"/>
          <w:sz w:val="20"/>
        </w:rPr>
        <w:t xml:space="preserve">, at 230. </w:t>
      </w:r>
    </w:p>
  </w:footnote>
  <w:footnote w:id="37">
    <w:p w14:paraId="7D99278D" w14:textId="3A8D11CD"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Scalia, </w:t>
      </w:r>
      <w:r w:rsidRPr="00D851F9">
        <w:rPr>
          <w:rFonts w:ascii="Times New Roman" w:hAnsi="Times New Roman"/>
          <w:i/>
          <w:sz w:val="20"/>
        </w:rPr>
        <w:t xml:space="preserve">supra </w:t>
      </w:r>
      <w:r w:rsidRPr="00D851F9">
        <w:rPr>
          <w:rFonts w:ascii="Times New Roman" w:hAnsi="Times New Roman"/>
          <w:sz w:val="20"/>
        </w:rPr>
        <w:t>note</w:t>
      </w:r>
      <w:r>
        <w:rPr>
          <w:rFonts w:ascii="Times New Roman" w:hAnsi="Times New Roman"/>
          <w:sz w:val="20"/>
        </w:rPr>
        <w:t xml:space="preserve"> 28, </w:t>
      </w:r>
      <w:r w:rsidRPr="00D851F9">
        <w:rPr>
          <w:rFonts w:ascii="Times New Roman" w:hAnsi="Times New Roman"/>
          <w:sz w:val="20"/>
        </w:rPr>
        <w:t>at 16-23.</w:t>
      </w:r>
    </w:p>
  </w:footnote>
  <w:footnote w:id="38">
    <w:p w14:paraId="778F4A06"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d</w:t>
      </w:r>
      <w:r>
        <w:rPr>
          <w:rFonts w:ascii="Times New Roman" w:hAnsi="Times New Roman"/>
          <w:i/>
          <w:sz w:val="20"/>
        </w:rPr>
        <w:t>.</w:t>
      </w:r>
      <w:r w:rsidRPr="00D851F9">
        <w:rPr>
          <w:rFonts w:ascii="Times New Roman" w:hAnsi="Times New Roman"/>
          <w:i/>
          <w:sz w:val="20"/>
        </w:rPr>
        <w:t xml:space="preserve"> </w:t>
      </w:r>
      <w:r w:rsidRPr="00D851F9">
        <w:rPr>
          <w:rFonts w:ascii="Times New Roman" w:hAnsi="Times New Roman"/>
          <w:sz w:val="20"/>
        </w:rPr>
        <w:t xml:space="preserve">at 25-27. </w:t>
      </w:r>
    </w:p>
  </w:footnote>
  <w:footnote w:id="39">
    <w:p w14:paraId="4F17C77B" w14:textId="77777777" w:rsidR="00CD3F94" w:rsidRPr="00D851F9" w:rsidRDefault="00CD3F94" w:rsidP="0086288C">
      <w:pPr>
        <w:pStyle w:val="FootnoteText"/>
      </w:pPr>
      <w:r w:rsidRPr="00D851F9">
        <w:rPr>
          <w:rStyle w:val="FootnoteReference"/>
        </w:rPr>
        <w:footnoteRef/>
      </w:r>
      <w:r w:rsidRPr="00D851F9">
        <w:t xml:space="preserve"> John F. Manning &amp; Matthew C. Stephenson, </w:t>
      </w:r>
      <w:r w:rsidRPr="00D851F9">
        <w:rPr>
          <w:smallCaps/>
        </w:rPr>
        <w:t>Legislation and Regulation: Cases and Materials 202</w:t>
      </w:r>
      <w:r w:rsidRPr="00D851F9">
        <w:t xml:space="preserve"> (2</w:t>
      </w:r>
      <w:r w:rsidRPr="00D851F9">
        <w:rPr>
          <w:vertAlign w:val="superscript"/>
        </w:rPr>
        <w:t>nd</w:t>
      </w:r>
      <w:r w:rsidRPr="00D851F9">
        <w:t xml:space="preserve"> ed. 2013) (noting how semantic canons “are generalizations about how the English language is conventionally used and understood, which judges may use to ‘decode’ statutory terms. The use of semantic canons can therefore be understood simply as a form of textual analysis.”).</w:t>
      </w:r>
    </w:p>
  </w:footnote>
  <w:footnote w:id="40">
    <w:p w14:paraId="5E4CAAE6" w14:textId="3F584CB1" w:rsidR="00CD3F94" w:rsidRPr="00D851F9" w:rsidRDefault="00CD3F94" w:rsidP="0086288C">
      <w:pPr>
        <w:pStyle w:val="FootnoteText"/>
      </w:pPr>
      <w:r w:rsidRPr="00D851F9">
        <w:rPr>
          <w:rStyle w:val="FootnoteReference"/>
        </w:rPr>
        <w:footnoteRef/>
      </w:r>
      <w:r w:rsidRPr="00D851F9">
        <w:t xml:space="preserve"> Walker,</w:t>
      </w:r>
      <w:r>
        <w:t xml:space="preserve"> </w:t>
      </w:r>
      <w:r>
        <w:rPr>
          <w:i/>
        </w:rPr>
        <w:t>Inside Agency</w:t>
      </w:r>
      <w:r>
        <w:t>,</w:t>
      </w:r>
      <w:r w:rsidRPr="00D851F9">
        <w:rPr>
          <w:i/>
        </w:rPr>
        <w:t xml:space="preserve"> supra</w:t>
      </w:r>
      <w:r w:rsidRPr="00D851F9">
        <w:t xml:space="preserve"> note</w:t>
      </w:r>
      <w:r>
        <w:t xml:space="preserve"> 6</w:t>
      </w:r>
      <w:r w:rsidRPr="00D851F9">
        <w:t>, at 1023.</w:t>
      </w:r>
    </w:p>
  </w:footnote>
  <w:footnote w:id="41">
    <w:p w14:paraId="3E452501" w14:textId="77777777" w:rsidR="00CD3F94" w:rsidRPr="00D851F9" w:rsidRDefault="00CD3F94" w:rsidP="0086288C">
      <w:pPr>
        <w:pStyle w:val="FootnoteText"/>
        <w:rPr>
          <w:i/>
        </w:rPr>
      </w:pPr>
      <w:r w:rsidRPr="00D851F9">
        <w:rPr>
          <w:rStyle w:val="FootnoteReference"/>
        </w:rPr>
        <w:footnoteRef/>
      </w:r>
      <w:r w:rsidRPr="00D851F9">
        <w:t xml:space="preserve"> </w:t>
      </w:r>
      <w:r w:rsidRPr="00D851F9">
        <w:rPr>
          <w:i/>
        </w:rPr>
        <w:t>Id.</w:t>
      </w:r>
    </w:p>
  </w:footnote>
  <w:footnote w:id="42">
    <w:p w14:paraId="7DA95CF8" w14:textId="77777777" w:rsidR="00CD3F94" w:rsidRPr="00D851F9" w:rsidRDefault="00CD3F94" w:rsidP="0086288C">
      <w:pPr>
        <w:pStyle w:val="FootnoteText"/>
        <w:rPr>
          <w:i/>
        </w:rPr>
      </w:pPr>
      <w:r w:rsidRPr="00D851F9">
        <w:rPr>
          <w:rStyle w:val="FootnoteReference"/>
        </w:rPr>
        <w:footnoteRef/>
      </w:r>
      <w:r w:rsidRPr="00D851F9">
        <w:t xml:space="preserve"> </w:t>
      </w:r>
      <w:r w:rsidRPr="00D851F9">
        <w:rPr>
          <w:i/>
        </w:rPr>
        <w:t>Id.</w:t>
      </w:r>
    </w:p>
  </w:footnote>
  <w:footnote w:id="43">
    <w:p w14:paraId="65608C7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e.g., </w:t>
      </w:r>
      <w:r w:rsidRPr="00D851F9">
        <w:rPr>
          <w:rFonts w:ascii="Times New Roman" w:hAnsi="Times New Roman"/>
          <w:sz w:val="20"/>
        </w:rPr>
        <w:t xml:space="preserve">William N. Eskridge, Jr., Philip Frickey &amp; Elizabeth Garrett, </w:t>
      </w:r>
      <w:r w:rsidRPr="00D851F9">
        <w:rPr>
          <w:rFonts w:ascii="Times New Roman" w:hAnsi="Times New Roman"/>
          <w:smallCaps/>
          <w:sz w:val="20"/>
        </w:rPr>
        <w:t>Cases and Materials on Legislative Statutes and the Creation of Public Policy</w:t>
      </w:r>
      <w:r w:rsidRPr="00D851F9">
        <w:rPr>
          <w:rFonts w:ascii="Times New Roman" w:hAnsi="Times New Roman"/>
          <w:sz w:val="20"/>
        </w:rPr>
        <w:t xml:space="preserve"> 852-54 (4</w:t>
      </w:r>
      <w:r w:rsidRPr="00D851F9">
        <w:rPr>
          <w:rFonts w:ascii="Times New Roman" w:hAnsi="Times New Roman"/>
          <w:sz w:val="20"/>
          <w:vertAlign w:val="superscript"/>
        </w:rPr>
        <w:t>th</w:t>
      </w:r>
      <w:r w:rsidRPr="00D851F9">
        <w:rPr>
          <w:rFonts w:ascii="Times New Roman" w:hAnsi="Times New Roman"/>
          <w:sz w:val="20"/>
        </w:rPr>
        <w:t xml:space="preserve"> ed. 2007).</w:t>
      </w:r>
    </w:p>
  </w:footnote>
  <w:footnote w:id="44">
    <w:p w14:paraId="43FA2439" w14:textId="265A7E67" w:rsidR="00CD3F94" w:rsidRPr="00D851F9" w:rsidRDefault="00CD3F94" w:rsidP="0086288C">
      <w:pPr>
        <w:pStyle w:val="FootnoteText"/>
      </w:pPr>
      <w:r w:rsidRPr="00D851F9">
        <w:rPr>
          <w:rStyle w:val="FootnoteReference"/>
        </w:rPr>
        <w:footnoteRef/>
      </w:r>
      <w:r w:rsidRPr="00D851F9">
        <w:t xml:space="preserve"> </w:t>
      </w:r>
      <w:r>
        <w:rPr>
          <w:i/>
        </w:rPr>
        <w:t xml:space="preserve">See, e.g., </w:t>
      </w:r>
      <w:r w:rsidRPr="00D851F9">
        <w:t>Walker,</w:t>
      </w:r>
      <w:r>
        <w:t xml:space="preserve"> </w:t>
      </w:r>
      <w:r>
        <w:rPr>
          <w:i/>
        </w:rPr>
        <w:t>Inside Agency</w:t>
      </w:r>
      <w:r>
        <w:t>,</w:t>
      </w:r>
      <w:r w:rsidRPr="00D851F9">
        <w:t xml:space="preserve"> </w:t>
      </w:r>
      <w:r w:rsidRPr="00D851F9">
        <w:rPr>
          <w:i/>
        </w:rPr>
        <w:t>supra</w:t>
      </w:r>
      <w:r w:rsidRPr="00D851F9">
        <w:t xml:space="preserve"> note</w:t>
      </w:r>
      <w:r>
        <w:t xml:space="preserve"> 6,</w:t>
      </w:r>
      <w:r w:rsidRPr="00D851F9">
        <w:t xml:space="preserve"> at 1023.</w:t>
      </w:r>
    </w:p>
  </w:footnote>
  <w:footnote w:id="45">
    <w:p w14:paraId="6E4C7ADE"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w:t>
      </w:r>
      <w:r w:rsidRPr="00D851F9">
        <w:rPr>
          <w:rFonts w:ascii="Times New Roman" w:hAnsi="Times New Roman"/>
          <w:sz w:val="20"/>
        </w:rPr>
        <w:t>,</w:t>
      </w:r>
      <w:r w:rsidRPr="00D851F9">
        <w:rPr>
          <w:rFonts w:ascii="Times New Roman" w:hAnsi="Times New Roman"/>
          <w:i/>
          <w:sz w:val="20"/>
        </w:rPr>
        <w:t xml:space="preserve"> e.g., </w:t>
      </w:r>
      <w:r w:rsidRPr="00D851F9">
        <w:rPr>
          <w:rFonts w:ascii="Times New Roman" w:hAnsi="Times New Roman"/>
          <w:sz w:val="20"/>
        </w:rPr>
        <w:t xml:space="preserve">Deborah A. Wildiss, </w:t>
      </w:r>
      <w:r w:rsidRPr="00D851F9">
        <w:rPr>
          <w:rFonts w:ascii="Times New Roman" w:hAnsi="Times New Roman"/>
          <w:i/>
          <w:sz w:val="20"/>
        </w:rPr>
        <w:t>Undermining Congressional Overrides: The Hydra Problem in Statutory Interpretation</w:t>
      </w:r>
      <w:r w:rsidRPr="00D851F9">
        <w:rPr>
          <w:rFonts w:ascii="Times New Roman" w:hAnsi="Times New Roman"/>
          <w:sz w:val="20"/>
        </w:rPr>
        <w:t xml:space="preserve">, 90 </w:t>
      </w:r>
      <w:r>
        <w:rPr>
          <w:rFonts w:ascii="Times New Roman" w:hAnsi="Times New Roman"/>
          <w:smallCaps/>
          <w:sz w:val="20"/>
        </w:rPr>
        <w:t>Tex.</w:t>
      </w:r>
      <w:r w:rsidRPr="00D851F9">
        <w:rPr>
          <w:rFonts w:ascii="Times New Roman" w:hAnsi="Times New Roman"/>
          <w:smallCaps/>
          <w:sz w:val="20"/>
        </w:rPr>
        <w:t xml:space="preserve"> L. Rev.</w:t>
      </w:r>
      <w:r>
        <w:rPr>
          <w:rFonts w:ascii="Times New Roman" w:hAnsi="Times New Roman"/>
          <w:sz w:val="20"/>
        </w:rPr>
        <w:t xml:space="preserve"> 859,</w:t>
      </w:r>
      <w:r w:rsidRPr="00D851F9">
        <w:rPr>
          <w:rFonts w:ascii="Times New Roman" w:hAnsi="Times New Roman"/>
          <w:sz w:val="20"/>
        </w:rPr>
        <w:t xml:space="preserve"> 871 (2012).</w:t>
      </w:r>
    </w:p>
  </w:footnote>
  <w:footnote w:id="46">
    <w:p w14:paraId="07128087" w14:textId="4B2664A6" w:rsidR="00CD3F94" w:rsidRPr="00D851F9" w:rsidRDefault="00CD3F94" w:rsidP="0086288C">
      <w:pPr>
        <w:rPr>
          <w:rFonts w:ascii="Times New Roman" w:hAnsi="Times New Roman"/>
          <w:sz w:val="20"/>
          <w:u w:val="single"/>
        </w:rPr>
      </w:pPr>
      <w:r w:rsidRPr="00D851F9">
        <w:rPr>
          <w:rStyle w:val="FootnoteReference"/>
          <w:rFonts w:ascii="Times New Roman" w:hAnsi="Times New Roman"/>
          <w:sz w:val="20"/>
        </w:rPr>
        <w:footnoteRef/>
      </w:r>
      <w:r w:rsidRPr="00D851F9">
        <w:rPr>
          <w:rFonts w:ascii="Times New Roman" w:hAnsi="Times New Roman"/>
          <w:sz w:val="20"/>
        </w:rPr>
        <w:t xml:space="preserve"> Eskridge et al., </w:t>
      </w:r>
      <w:r w:rsidRPr="00D851F9">
        <w:rPr>
          <w:rFonts w:ascii="Times New Roman" w:hAnsi="Times New Roman"/>
          <w:i/>
          <w:sz w:val="20"/>
        </w:rPr>
        <w:t>supra</w:t>
      </w:r>
      <w:r w:rsidRPr="00D851F9">
        <w:rPr>
          <w:rFonts w:ascii="Times New Roman" w:hAnsi="Times New Roman"/>
          <w:sz w:val="20"/>
        </w:rPr>
        <w:t xml:space="preserve"> note </w:t>
      </w:r>
      <w:r>
        <w:rPr>
          <w:rFonts w:ascii="Times New Roman" w:hAnsi="Times New Roman"/>
          <w:sz w:val="20"/>
        </w:rPr>
        <w:t>42</w:t>
      </w:r>
      <w:r w:rsidRPr="00D851F9">
        <w:rPr>
          <w:rFonts w:ascii="Times New Roman" w:hAnsi="Times New Roman"/>
          <w:sz w:val="20"/>
        </w:rPr>
        <w:t>, at 862-65.</w:t>
      </w:r>
    </w:p>
  </w:footnote>
  <w:footnote w:id="47">
    <w:p w14:paraId="6BD9617B" w14:textId="1F523EA4"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d.</w:t>
      </w:r>
      <w:r>
        <w:rPr>
          <w:rFonts w:ascii="Times New Roman" w:hAnsi="Times New Roman"/>
          <w:sz w:val="20"/>
        </w:rPr>
        <w:t xml:space="preserve"> </w:t>
      </w:r>
      <w:r w:rsidRPr="00D851F9">
        <w:rPr>
          <w:rFonts w:ascii="Times New Roman" w:hAnsi="Times New Roman"/>
          <w:sz w:val="20"/>
        </w:rPr>
        <w:t xml:space="preserve">It also includes the rule that both the title and preamble of a statute can be relevant in determining statutory meaning. </w:t>
      </w:r>
      <w:r>
        <w:rPr>
          <w:rFonts w:ascii="Times New Roman" w:hAnsi="Times New Roman"/>
          <w:i/>
          <w:sz w:val="20"/>
        </w:rPr>
        <w:t>I</w:t>
      </w:r>
      <w:r w:rsidRPr="00D851F9">
        <w:rPr>
          <w:rFonts w:ascii="Times New Roman" w:hAnsi="Times New Roman"/>
          <w:i/>
          <w:sz w:val="20"/>
        </w:rPr>
        <w:t>d.</w:t>
      </w:r>
    </w:p>
  </w:footnote>
  <w:footnote w:id="48">
    <w:p w14:paraId="0D7D8C7F" w14:textId="216BC75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Eskridge,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42</w:t>
      </w:r>
      <w:r w:rsidRPr="00D851F9">
        <w:rPr>
          <w:rFonts w:ascii="Times New Roman" w:hAnsi="Times New Roman"/>
          <w:sz w:val="20"/>
        </w:rPr>
        <w:t xml:space="preserve">, at 221-30 (describing categories of </w:t>
      </w:r>
      <w:r>
        <w:rPr>
          <w:rFonts w:ascii="Times New Roman" w:hAnsi="Times New Roman"/>
          <w:sz w:val="20"/>
        </w:rPr>
        <w:t>intentionalist interpretations).</w:t>
      </w:r>
    </w:p>
  </w:footnote>
  <w:footnote w:id="49">
    <w:p w14:paraId="24838B5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d.; see also</w:t>
      </w:r>
      <w:r w:rsidRPr="00D851F9">
        <w:rPr>
          <w:rFonts w:ascii="Times New Roman" w:hAnsi="Times New Roman"/>
          <w:sz w:val="20"/>
        </w:rPr>
        <w:t xml:space="preserve"> Stephen Breyer, </w:t>
      </w:r>
      <w:r w:rsidRPr="00D851F9">
        <w:rPr>
          <w:rFonts w:ascii="Times New Roman" w:hAnsi="Times New Roman"/>
          <w:smallCaps/>
          <w:sz w:val="20"/>
        </w:rPr>
        <w:t>Active Liberty: Interpreting Our Democratic Constitution</w:t>
      </w:r>
      <w:r w:rsidRPr="00D851F9">
        <w:rPr>
          <w:rFonts w:ascii="Times New Roman" w:hAnsi="Times New Roman"/>
          <w:i/>
          <w:sz w:val="20"/>
        </w:rPr>
        <w:t xml:space="preserve"> </w:t>
      </w:r>
      <w:r w:rsidRPr="00D851F9">
        <w:rPr>
          <w:rFonts w:ascii="Times New Roman" w:hAnsi="Times New Roman"/>
          <w:sz w:val="20"/>
        </w:rPr>
        <w:t xml:space="preserve">85-101 (2005) (advancing a purposive approach to the Constitution). </w:t>
      </w:r>
    </w:p>
  </w:footnote>
  <w:footnote w:id="50">
    <w:p w14:paraId="6584C8E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w:t>
      </w:r>
      <w:r w:rsidRPr="00D851F9">
        <w:rPr>
          <w:rFonts w:ascii="Times New Roman" w:hAnsi="Times New Roman"/>
          <w:sz w:val="20"/>
        </w:rPr>
        <w:t xml:space="preserve"> William N. Eskridge, Jr. &amp; Philip P. Frickey, </w:t>
      </w:r>
      <w:r w:rsidRPr="00D851F9">
        <w:rPr>
          <w:rFonts w:ascii="Times New Roman" w:hAnsi="Times New Roman"/>
          <w:i/>
          <w:sz w:val="20"/>
        </w:rPr>
        <w:t>An Historical and Critical Introduction</w:t>
      </w:r>
      <w:r w:rsidRPr="00D851F9">
        <w:rPr>
          <w:rFonts w:ascii="Times New Roman" w:hAnsi="Times New Roman"/>
          <w:sz w:val="20"/>
        </w:rPr>
        <w:t xml:space="preserve">, in Henry M. Hart, Jr. and Albert M. Sacks, </w:t>
      </w:r>
      <w:r w:rsidRPr="00D851F9">
        <w:rPr>
          <w:rFonts w:ascii="Times New Roman" w:hAnsi="Times New Roman"/>
          <w:smallCaps/>
          <w:sz w:val="20"/>
        </w:rPr>
        <w:t>The Legal Process: Basic Problems in the Making and Application of Law</w:t>
      </w:r>
      <w:r w:rsidRPr="00D851F9">
        <w:rPr>
          <w:rFonts w:ascii="Times New Roman" w:hAnsi="Times New Roman"/>
          <w:sz w:val="20"/>
        </w:rPr>
        <w:t xml:space="preserve">, at xcii (William N. Eskridge, Jr. &amp; Phillip P. Frickey, eds., 1994), at 321; William N. Eskridge, Jr. </w:t>
      </w:r>
      <w:r w:rsidRPr="00D851F9">
        <w:rPr>
          <w:rFonts w:ascii="Times New Roman" w:hAnsi="Times New Roman"/>
          <w:i/>
          <w:sz w:val="20"/>
        </w:rPr>
        <w:t>Dynamic Statutory Interpretation</w:t>
      </w:r>
      <w:r w:rsidRPr="00D851F9">
        <w:rPr>
          <w:rFonts w:ascii="Times New Roman" w:hAnsi="Times New Roman"/>
          <w:sz w:val="20"/>
        </w:rPr>
        <w:t xml:space="preserve">, 135 </w:t>
      </w:r>
      <w:r w:rsidRPr="00D851F9">
        <w:rPr>
          <w:rFonts w:ascii="Times New Roman" w:hAnsi="Times New Roman"/>
          <w:smallCaps/>
          <w:sz w:val="20"/>
        </w:rPr>
        <w:t xml:space="preserve">U. Pa. L. Rev. </w:t>
      </w:r>
      <w:r w:rsidRPr="00D851F9">
        <w:rPr>
          <w:rFonts w:ascii="Times New Roman" w:hAnsi="Times New Roman"/>
          <w:sz w:val="20"/>
        </w:rPr>
        <w:t xml:space="preserve">1479, 1479 (1987); T. Alexander Aleinikoff, </w:t>
      </w:r>
      <w:r w:rsidRPr="00D851F9">
        <w:rPr>
          <w:rFonts w:ascii="Times New Roman" w:hAnsi="Times New Roman"/>
          <w:i/>
          <w:sz w:val="20"/>
        </w:rPr>
        <w:t>Updating Statutory Interpretation</w:t>
      </w:r>
      <w:r w:rsidRPr="00D851F9">
        <w:rPr>
          <w:rFonts w:ascii="Times New Roman" w:hAnsi="Times New Roman"/>
          <w:sz w:val="20"/>
        </w:rPr>
        <w:t xml:space="preserve">, 87 </w:t>
      </w:r>
      <w:r w:rsidRPr="00D851F9">
        <w:rPr>
          <w:rFonts w:ascii="Times New Roman" w:hAnsi="Times New Roman"/>
          <w:smallCaps/>
          <w:sz w:val="20"/>
        </w:rPr>
        <w:t>Mich. L. Rev</w:t>
      </w:r>
      <w:r w:rsidRPr="00D851F9">
        <w:rPr>
          <w:rFonts w:ascii="Times New Roman" w:hAnsi="Times New Roman"/>
          <w:sz w:val="20"/>
        </w:rPr>
        <w:t xml:space="preserve">. 20, 46 (198) (“[S]tatutes ought to be responsive to today’s world. They ought to be made to fit, as best they can, into the current legal landscape.”). </w:t>
      </w:r>
    </w:p>
  </w:footnote>
  <w:footnote w:id="51">
    <w:p w14:paraId="321CAA13" w14:textId="102126DD"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Eskridge, </w:t>
      </w:r>
      <w:r w:rsidRPr="00D851F9">
        <w:rPr>
          <w:rFonts w:ascii="Times New Roman" w:hAnsi="Times New Roman"/>
          <w:i/>
          <w:sz w:val="20"/>
        </w:rPr>
        <w:t>supra</w:t>
      </w:r>
      <w:r>
        <w:rPr>
          <w:rFonts w:ascii="Times New Roman" w:hAnsi="Times New Roman"/>
          <w:sz w:val="20"/>
        </w:rPr>
        <w:t xml:space="preserve"> note 42</w:t>
      </w:r>
      <w:r w:rsidRPr="00D851F9">
        <w:rPr>
          <w:rFonts w:ascii="Times New Roman" w:hAnsi="Times New Roman"/>
          <w:sz w:val="20"/>
        </w:rPr>
        <w:t>, at 1483.</w:t>
      </w:r>
    </w:p>
  </w:footnote>
  <w:footnote w:id="52">
    <w:p w14:paraId="10B5786B" w14:textId="431B0255"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Eskridge &amp; Frickey,</w:t>
      </w:r>
      <w:r w:rsidRPr="00D851F9">
        <w:rPr>
          <w:rFonts w:ascii="Times New Roman" w:hAnsi="Times New Roman"/>
          <w:i/>
          <w:sz w:val="20"/>
        </w:rPr>
        <w:t xml:space="preserve"> supra</w:t>
      </w:r>
      <w:r w:rsidRPr="00D851F9">
        <w:rPr>
          <w:rFonts w:ascii="Times New Roman" w:hAnsi="Times New Roman"/>
          <w:sz w:val="20"/>
        </w:rPr>
        <w:t xml:space="preserve"> note </w:t>
      </w:r>
      <w:r>
        <w:rPr>
          <w:rFonts w:ascii="Times New Roman" w:hAnsi="Times New Roman"/>
          <w:sz w:val="20"/>
        </w:rPr>
        <w:t>42</w:t>
      </w:r>
      <w:r w:rsidRPr="00D851F9">
        <w:rPr>
          <w:rFonts w:ascii="Times New Roman" w:hAnsi="Times New Roman"/>
          <w:sz w:val="20"/>
        </w:rPr>
        <w:t>, at 321.</w:t>
      </w:r>
    </w:p>
  </w:footnote>
  <w:footnote w:id="53">
    <w:p w14:paraId="1CD9485C" w14:textId="600741C3"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Breyer,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48</w:t>
      </w:r>
      <w:r w:rsidRPr="00D851F9">
        <w:rPr>
          <w:rFonts w:ascii="Times New Roman" w:hAnsi="Times New Roman"/>
          <w:sz w:val="20"/>
        </w:rPr>
        <w:t xml:space="preserve">, at 101 (noting that purposive-driven theories “help[] statutes match their means to their overall public policy objectives, a match that helps translate the popular will into sound policy”). </w:t>
      </w:r>
    </w:p>
  </w:footnote>
  <w:footnote w:id="54">
    <w:p w14:paraId="56B9C0B2"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 xml:space="preserve">d. </w:t>
      </w:r>
      <w:r w:rsidRPr="00D851F9">
        <w:rPr>
          <w:rFonts w:ascii="Times New Roman" w:hAnsi="Times New Roman"/>
          <w:sz w:val="20"/>
        </w:rPr>
        <w:t xml:space="preserve">at 85. </w:t>
      </w:r>
    </w:p>
  </w:footnote>
  <w:footnote w:id="55">
    <w:p w14:paraId="2F224D3F" w14:textId="7FB5A34F"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Eskridge,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29</w:t>
      </w:r>
      <w:r w:rsidRPr="00D851F9">
        <w:rPr>
          <w:rFonts w:ascii="Times New Roman" w:hAnsi="Times New Roman"/>
          <w:sz w:val="20"/>
        </w:rPr>
        <w:t xml:space="preserve">, at 26 (purposivism “allows a statute to evolve to meet new problems”). </w:t>
      </w:r>
    </w:p>
  </w:footnote>
  <w:footnote w:id="56">
    <w:p w14:paraId="51FA48E5" w14:textId="1D99F7ED"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 xml:space="preserve">See </w:t>
      </w:r>
      <w:r w:rsidRPr="00D851F9">
        <w:rPr>
          <w:rFonts w:ascii="Times New Roman" w:hAnsi="Times New Roman"/>
          <w:sz w:val="20"/>
        </w:rPr>
        <w:t xml:space="preserve">Breyer, </w:t>
      </w:r>
      <w:r w:rsidRPr="00D851F9">
        <w:rPr>
          <w:rFonts w:ascii="Times New Roman" w:hAnsi="Times New Roman"/>
          <w:i/>
          <w:sz w:val="20"/>
        </w:rPr>
        <w:t>supra</w:t>
      </w:r>
      <w:r>
        <w:rPr>
          <w:rFonts w:ascii="Times New Roman" w:hAnsi="Times New Roman"/>
          <w:sz w:val="20"/>
        </w:rPr>
        <w:t xml:space="preserve"> note 48</w:t>
      </w:r>
      <w:r w:rsidRPr="00D851F9">
        <w:rPr>
          <w:rFonts w:ascii="Times New Roman" w:hAnsi="Times New Roman"/>
          <w:sz w:val="20"/>
        </w:rPr>
        <w:t xml:space="preserve">, at 88 (nothing that purposive theories try to ascertain how Congress “would have wanted a court to interpret the statute in light of present circumstances in the particular case”). </w:t>
      </w:r>
    </w:p>
  </w:footnote>
  <w:footnote w:id="57">
    <w:p w14:paraId="09CB5F53" w14:textId="02BE0DD8" w:rsidR="00CD3F94" w:rsidRPr="00D851F9" w:rsidRDefault="00CD3F94" w:rsidP="0086288C">
      <w:pPr>
        <w:pStyle w:val="FootnoteText"/>
      </w:pPr>
      <w:r w:rsidRPr="00D851F9">
        <w:rPr>
          <w:rStyle w:val="FootnoteReference"/>
        </w:rPr>
        <w:footnoteRef/>
      </w:r>
      <w:r w:rsidRPr="00D851F9">
        <w:t xml:space="preserve"> </w:t>
      </w:r>
      <w:r w:rsidRPr="00D851F9">
        <w:rPr>
          <w:i/>
        </w:rPr>
        <w:t>See</w:t>
      </w:r>
      <w:r>
        <w:t xml:space="preserve">, </w:t>
      </w:r>
      <w:r>
        <w:rPr>
          <w:i/>
        </w:rPr>
        <w:t>e.g.</w:t>
      </w:r>
      <w:r>
        <w:t xml:space="preserve">, </w:t>
      </w:r>
      <w:r w:rsidRPr="00D851F9">
        <w:t xml:space="preserve">Fisk &amp; Malamud, </w:t>
      </w:r>
      <w:r w:rsidRPr="00D851F9">
        <w:rPr>
          <w:i/>
        </w:rPr>
        <w:t xml:space="preserve">supra </w:t>
      </w:r>
      <w:r>
        <w:t>note 24</w:t>
      </w:r>
      <w:r w:rsidRPr="00D851F9">
        <w:t>, at 2020 (noting multiple purposes of labor law).</w:t>
      </w:r>
    </w:p>
  </w:footnote>
  <w:footnote w:id="58">
    <w:p w14:paraId="5A14965E" w14:textId="54889BDB" w:rsidR="00CD3F94" w:rsidRPr="00D851F9" w:rsidRDefault="00CD3F94" w:rsidP="0086288C">
      <w:pPr>
        <w:pStyle w:val="FootnoteText"/>
      </w:pPr>
      <w:r w:rsidRPr="00D851F9">
        <w:rPr>
          <w:rStyle w:val="FootnoteReference"/>
        </w:rPr>
        <w:footnoteRef/>
      </w:r>
      <w:r w:rsidRPr="00D851F9">
        <w:t xml:space="preserve"> Eskridge, </w:t>
      </w:r>
      <w:r w:rsidRPr="00D851F9">
        <w:rPr>
          <w:i/>
        </w:rPr>
        <w:t>supra</w:t>
      </w:r>
      <w:r w:rsidRPr="00D851F9">
        <w:t xml:space="preserve"> note</w:t>
      </w:r>
      <w:r>
        <w:t xml:space="preserve"> 29</w:t>
      </w:r>
      <w:r w:rsidRPr="00D851F9">
        <w:t xml:space="preserve">, at 27 (“identifying the actual or even conventional purpose of a statute is just as difficult as identifying the actual or conventional intent of the legislature, or perhaps even more so, since legislators may have incentives to obscure the real purpose of a statute”).  </w:t>
      </w:r>
    </w:p>
  </w:footnote>
  <w:footnote w:id="59">
    <w:p w14:paraId="62D97C39" w14:textId="2ECB9587" w:rsidR="00CD3F94" w:rsidRPr="00D851F9" w:rsidRDefault="00CD3F94" w:rsidP="0086288C">
      <w:pPr>
        <w:pStyle w:val="FootnoteText"/>
      </w:pPr>
      <w:r w:rsidRPr="00D851F9">
        <w:rPr>
          <w:rStyle w:val="FootnoteReference"/>
        </w:rPr>
        <w:footnoteRef/>
      </w:r>
      <w:r w:rsidRPr="00D851F9">
        <w:t xml:space="preserve"> Gluck &amp; Bressman,</w:t>
      </w:r>
      <w:r>
        <w:t xml:space="preserve"> </w:t>
      </w:r>
      <w:r>
        <w:rPr>
          <w:i/>
        </w:rPr>
        <w:t>Part I</w:t>
      </w:r>
      <w:r>
        <w:t>,</w:t>
      </w:r>
      <w:r w:rsidRPr="00D851F9">
        <w:t xml:space="preserve"> </w:t>
      </w:r>
      <w:r w:rsidRPr="00D851F9">
        <w:rPr>
          <w:i/>
        </w:rPr>
        <w:t>supra</w:t>
      </w:r>
      <w:r>
        <w:t xml:space="preserve"> note 6,</w:t>
      </w:r>
      <w:r w:rsidRPr="00D851F9">
        <w:t xml:space="preserve"> at 976.</w:t>
      </w:r>
    </w:p>
  </w:footnote>
  <w:footnote w:id="60">
    <w:p w14:paraId="4C7F7C02" w14:textId="1157FB11"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 xml:space="preserve">Id. </w:t>
      </w:r>
      <w:r w:rsidRPr="00D851F9">
        <w:rPr>
          <w:rFonts w:ascii="Times New Roman" w:hAnsi="Times New Roman"/>
          <w:sz w:val="20"/>
        </w:rPr>
        <w:t xml:space="preserve">at 976-78 (noting that committee-produced legislative history is the most reliable); Walker, </w:t>
      </w:r>
      <w:r>
        <w:rPr>
          <w:rFonts w:ascii="Times New Roman" w:hAnsi="Times New Roman"/>
          <w:i/>
          <w:sz w:val="20"/>
        </w:rPr>
        <w:t>Inside Agency</w:t>
      </w:r>
      <w:r>
        <w:rPr>
          <w:rFonts w:ascii="Times New Roman" w:hAnsi="Times New Roman"/>
          <w:sz w:val="20"/>
        </w:rPr>
        <w:t xml:space="preserve">,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6</w:t>
      </w:r>
      <w:r w:rsidRPr="00D851F9">
        <w:rPr>
          <w:rFonts w:ascii="Times New Roman" w:hAnsi="Times New Roman"/>
          <w:sz w:val="20"/>
        </w:rPr>
        <w:t xml:space="preserve">, at 1044 (finding committee and conference reports most reliable, with floor statements and hearing transcripts less reliable); Jorge L. Carro &amp; Andrew R. Brann, </w:t>
      </w:r>
      <w:r w:rsidRPr="00D851F9">
        <w:rPr>
          <w:rFonts w:ascii="Times New Roman" w:hAnsi="Times New Roman"/>
          <w:i/>
          <w:sz w:val="20"/>
        </w:rPr>
        <w:t>The U.S. Supreme Court and the Use of Legislative Histories: A Statistical Analysis</w:t>
      </w:r>
      <w:r w:rsidRPr="00D851F9">
        <w:rPr>
          <w:rFonts w:ascii="Times New Roman" w:hAnsi="Times New Roman"/>
          <w:sz w:val="20"/>
        </w:rPr>
        <w:t xml:space="preserve">, 22 </w:t>
      </w:r>
      <w:r w:rsidRPr="00D851F9">
        <w:rPr>
          <w:rFonts w:ascii="Times New Roman" w:hAnsi="Times New Roman"/>
          <w:smallCaps/>
          <w:sz w:val="20"/>
        </w:rPr>
        <w:t>Jurimetrics</w:t>
      </w:r>
      <w:r w:rsidRPr="00D851F9">
        <w:rPr>
          <w:rFonts w:ascii="Times New Roman" w:hAnsi="Times New Roman"/>
          <w:sz w:val="20"/>
        </w:rPr>
        <w:t xml:space="preserve"> 294,299 (1982) (noting that the Supreme Court cites to committee reports more than other types of legislative history); Michael H. Koby, </w:t>
      </w:r>
      <w:r w:rsidRPr="00D851F9">
        <w:rPr>
          <w:rFonts w:ascii="Times New Roman" w:hAnsi="Times New Roman"/>
          <w:i/>
          <w:sz w:val="20"/>
        </w:rPr>
        <w:t>The Supreme Court’s Declining Reliance on Legislative History: The Impact of Scalia’s Critique</w:t>
      </w:r>
      <w:r w:rsidRPr="00D851F9">
        <w:rPr>
          <w:rFonts w:ascii="Times New Roman" w:hAnsi="Times New Roman"/>
          <w:sz w:val="20"/>
        </w:rPr>
        <w:t xml:space="preserve">, 36 </w:t>
      </w:r>
      <w:r w:rsidRPr="00D851F9">
        <w:rPr>
          <w:rFonts w:ascii="Times New Roman" w:hAnsi="Times New Roman"/>
          <w:smallCaps/>
          <w:sz w:val="20"/>
        </w:rPr>
        <w:t>Harvard J. on Legis</w:t>
      </w:r>
      <w:r w:rsidRPr="00D851F9">
        <w:rPr>
          <w:rFonts w:ascii="Times New Roman" w:hAnsi="Times New Roman"/>
          <w:sz w:val="20"/>
        </w:rPr>
        <w:t>.</w:t>
      </w:r>
      <w:r>
        <w:rPr>
          <w:rFonts w:ascii="Times New Roman" w:hAnsi="Times New Roman"/>
          <w:sz w:val="20"/>
        </w:rPr>
        <w:t xml:space="preserve"> 369, 390 (1999).</w:t>
      </w:r>
    </w:p>
  </w:footnote>
  <w:footnote w:id="61">
    <w:p w14:paraId="51C548BE" w14:textId="0B1666B7" w:rsidR="00CD3F94" w:rsidRPr="00D851F9" w:rsidRDefault="00CD3F94" w:rsidP="0086288C">
      <w:pPr>
        <w:pStyle w:val="FootnoteText"/>
      </w:pPr>
      <w:r w:rsidRPr="00D851F9">
        <w:rPr>
          <w:rStyle w:val="FootnoteReference"/>
        </w:rPr>
        <w:footnoteRef/>
      </w:r>
      <w:r>
        <w:t xml:space="preserve"> Gluck &amp; Bressman, </w:t>
      </w:r>
      <w:r>
        <w:rPr>
          <w:i/>
        </w:rPr>
        <w:t>Part I</w:t>
      </w:r>
      <w:r>
        <w:t>,</w:t>
      </w:r>
      <w:r w:rsidRPr="00D851F9">
        <w:rPr>
          <w:i/>
        </w:rPr>
        <w:t xml:space="preserve"> supra </w:t>
      </w:r>
      <w:r w:rsidRPr="00D851F9">
        <w:t>note</w:t>
      </w:r>
      <w:r>
        <w:t xml:space="preserve"> 6</w:t>
      </w:r>
      <w:r w:rsidRPr="00D851F9">
        <w:t>, at 979.</w:t>
      </w:r>
    </w:p>
  </w:footnote>
  <w:footnote w:id="62">
    <w:p w14:paraId="18849012"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 xml:space="preserve">Id. </w:t>
      </w:r>
      <w:r w:rsidRPr="00D851F9">
        <w:t>at 978.</w:t>
      </w:r>
    </w:p>
  </w:footnote>
  <w:footnote w:id="63">
    <w:p w14:paraId="3097BD5C" w14:textId="77777777" w:rsidR="00CD3F94" w:rsidRPr="004B0AEB" w:rsidRDefault="00CD3F94" w:rsidP="0086288C">
      <w:pPr>
        <w:pStyle w:val="FootnoteText"/>
        <w:rPr>
          <w:i/>
        </w:rPr>
      </w:pPr>
      <w:r w:rsidRPr="00D851F9">
        <w:rPr>
          <w:rStyle w:val="FootnoteReference"/>
        </w:rPr>
        <w:footnoteRef/>
      </w:r>
      <w:r w:rsidRPr="00D851F9">
        <w:t xml:space="preserve"> </w:t>
      </w:r>
      <w:r>
        <w:rPr>
          <w:i/>
        </w:rPr>
        <w:t>Id</w:t>
      </w:r>
      <w:r>
        <w:t xml:space="preserve">. </w:t>
      </w:r>
      <w:r w:rsidRPr="00D851F9">
        <w:t>As Gluck &amp; Bressman note, “these group-produced pieces of legislative history often convey bipartisan, multimember understandings, and disagreeing members typically will have an opportunity to respond to them. These reports also seem likely to have agencies and other members as at least part of their intended audiences— that is, they are more likely to have internal institutional and implementation-related functions. Groups reports also are particularly unlikely to be focused on the reelection prospects of a single member.”</w:t>
      </w:r>
      <w:r>
        <w:t xml:space="preserve"> </w:t>
      </w:r>
      <w:r>
        <w:rPr>
          <w:i/>
        </w:rPr>
        <w:t>Id.</w:t>
      </w:r>
    </w:p>
  </w:footnote>
  <w:footnote w:id="64">
    <w:p w14:paraId="48483C73" w14:textId="34B4420C"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d.</w:t>
      </w:r>
      <w:r>
        <w:rPr>
          <w:rFonts w:ascii="Times New Roman" w:hAnsi="Times New Roman"/>
          <w:sz w:val="20"/>
        </w:rPr>
        <w:t xml:space="preserve"> at </w:t>
      </w:r>
      <w:r w:rsidRPr="00D851F9">
        <w:rPr>
          <w:rFonts w:ascii="Times New Roman" w:hAnsi="Times New Roman"/>
          <w:sz w:val="20"/>
        </w:rPr>
        <w:t xml:space="preserve">934 (examining the use of dueling canons of construction in Supreme Court majority and dissenting opinions) (“They reflect judicially preferred policy positions, expressed as rules of thumb about how to treat statutory text in light of constitutional priorities, common-law practices, or specific statute-based policies.”); Manning &amp; Stephenson, </w:t>
      </w:r>
      <w:r w:rsidRPr="00D851F9">
        <w:rPr>
          <w:rFonts w:ascii="Times New Roman" w:hAnsi="Times New Roman"/>
          <w:i/>
          <w:sz w:val="20"/>
        </w:rPr>
        <w:t xml:space="preserve">supra </w:t>
      </w:r>
      <w:r>
        <w:rPr>
          <w:rFonts w:ascii="Times New Roman" w:hAnsi="Times New Roman"/>
          <w:sz w:val="20"/>
        </w:rPr>
        <w:t>note 38,</w:t>
      </w:r>
      <w:r w:rsidRPr="00D851F9">
        <w:rPr>
          <w:rFonts w:ascii="Times New Roman" w:hAnsi="Times New Roman"/>
          <w:sz w:val="20"/>
        </w:rPr>
        <w:t xml:space="preserve"> at 247 (noting that substantive canons “do not purport to be neutral formalizations of background understandings about the way people use and understand the English language. Instead, these substantive canons ask interprets to put a thumb on a scale in favor of some value or policy that courts have identified as worthy of special protection.”); Henry M. Hart, Jr. &amp; Albert M. Sacks, </w:t>
      </w:r>
      <w:r w:rsidRPr="00D851F9">
        <w:rPr>
          <w:rFonts w:ascii="Times New Roman" w:hAnsi="Times New Roman"/>
          <w:smallCaps/>
          <w:sz w:val="20"/>
        </w:rPr>
        <w:t>The Legal Process: Basic Problems in the Making and Application of Law</w:t>
      </w:r>
      <w:r w:rsidRPr="00D851F9">
        <w:rPr>
          <w:rFonts w:ascii="Times New Roman" w:hAnsi="Times New Roman"/>
          <w:sz w:val="20"/>
        </w:rPr>
        <w:t xml:space="preserve"> 1376 (William N. Eskridge, Jr. &amp; Philip P. Frickey eds., 1994) (noting that substantive canons “promote objectives of the legal system which transcend the wishes of any particular session of the legislature.”). </w:t>
      </w:r>
    </w:p>
  </w:footnote>
  <w:footnote w:id="65">
    <w:p w14:paraId="1643F34D" w14:textId="51D75131" w:rsidR="00CD3F94" w:rsidRPr="00D851F9" w:rsidRDefault="00CD3F94" w:rsidP="0086288C">
      <w:pPr>
        <w:pStyle w:val="FootnoteText"/>
      </w:pPr>
      <w:r w:rsidRPr="00D851F9">
        <w:rPr>
          <w:rStyle w:val="FootnoteReference"/>
        </w:rPr>
        <w:footnoteRef/>
      </w:r>
      <w:r w:rsidRPr="00D851F9">
        <w:t xml:space="preserve"> Gluck &amp; Bressman, </w:t>
      </w:r>
      <w:r>
        <w:rPr>
          <w:i/>
        </w:rPr>
        <w:t>Part I</w:t>
      </w:r>
      <w:r>
        <w:t xml:space="preserve">, </w:t>
      </w:r>
      <w:r w:rsidRPr="00D851F9">
        <w:rPr>
          <w:i/>
        </w:rPr>
        <w:t>supra</w:t>
      </w:r>
      <w:r w:rsidRPr="00D851F9">
        <w:t xml:space="preserve"> note</w:t>
      </w:r>
      <w:r>
        <w:t xml:space="preserve"> 6</w:t>
      </w:r>
      <w:r w:rsidRPr="00D851F9">
        <w:t>, at 940.</w:t>
      </w:r>
    </w:p>
  </w:footnote>
  <w:footnote w:id="66">
    <w:p w14:paraId="47D99D8D" w14:textId="77777777" w:rsidR="00CD3F94" w:rsidRPr="00BF6439" w:rsidRDefault="00CD3F94" w:rsidP="0086288C">
      <w:pPr>
        <w:pStyle w:val="FootnoteText"/>
        <w:rPr>
          <w:i/>
        </w:rPr>
      </w:pPr>
      <w:r>
        <w:rPr>
          <w:rStyle w:val="FootnoteReference"/>
        </w:rPr>
        <w:footnoteRef/>
      </w:r>
      <w:r>
        <w:t xml:space="preserve"> </w:t>
      </w:r>
      <w:r>
        <w:rPr>
          <w:i/>
        </w:rPr>
        <w:t>Id.</w:t>
      </w:r>
    </w:p>
  </w:footnote>
  <w:footnote w:id="67">
    <w:p w14:paraId="027DF621" w14:textId="18241C26"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Walker, </w:t>
      </w:r>
      <w:r>
        <w:rPr>
          <w:rFonts w:ascii="Times New Roman" w:hAnsi="Times New Roman"/>
          <w:i/>
          <w:sz w:val="20"/>
        </w:rPr>
        <w:t>Inside Agency</w:t>
      </w:r>
      <w:r>
        <w:rPr>
          <w:rFonts w:ascii="Times New Roman" w:hAnsi="Times New Roman"/>
          <w:sz w:val="20"/>
        </w:rPr>
        <w:t xml:space="preserve">,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6</w:t>
      </w:r>
      <w:r w:rsidRPr="00D851F9">
        <w:rPr>
          <w:rFonts w:ascii="Times New Roman" w:hAnsi="Times New Roman"/>
          <w:sz w:val="20"/>
        </w:rPr>
        <w:t xml:space="preserve">, at 1005. </w:t>
      </w:r>
    </w:p>
  </w:footnote>
  <w:footnote w:id="68">
    <w:p w14:paraId="3558038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w:t>
      </w:r>
      <w:r w:rsidRPr="00D851F9">
        <w:rPr>
          <w:rFonts w:ascii="Times New Roman" w:hAnsi="Times New Roman"/>
          <w:sz w:val="20"/>
        </w:rPr>
        <w:t xml:space="preserve">James J. Brudney &amp; Corey Ditslear, </w:t>
      </w:r>
      <w:r w:rsidRPr="00D851F9">
        <w:rPr>
          <w:rFonts w:ascii="Times New Roman" w:hAnsi="Times New Roman"/>
          <w:i/>
          <w:sz w:val="20"/>
        </w:rPr>
        <w:t>Canons of Construction and the Elusive Quest for Neutral Reasoning</w:t>
      </w:r>
      <w:r w:rsidRPr="00D851F9">
        <w:rPr>
          <w:rFonts w:ascii="Times New Roman" w:hAnsi="Times New Roman"/>
          <w:sz w:val="20"/>
        </w:rPr>
        <w:t xml:space="preserve">, 58 </w:t>
      </w:r>
      <w:r w:rsidRPr="00D851F9">
        <w:rPr>
          <w:rFonts w:ascii="Times New Roman" w:hAnsi="Times New Roman"/>
          <w:smallCaps/>
          <w:sz w:val="20"/>
        </w:rPr>
        <w:t>Vand. L. Rev.</w:t>
      </w:r>
      <w:r w:rsidRPr="00D851F9">
        <w:rPr>
          <w:rFonts w:ascii="Times New Roman" w:hAnsi="Times New Roman"/>
          <w:sz w:val="20"/>
        </w:rPr>
        <w:t xml:space="preserve"> 1, 4 (2005); David S. Law &amp; David Zaring, </w:t>
      </w:r>
      <w:r w:rsidRPr="00D851F9">
        <w:rPr>
          <w:rFonts w:ascii="Times New Roman" w:hAnsi="Times New Roman"/>
          <w:i/>
          <w:sz w:val="20"/>
        </w:rPr>
        <w:t>Law Versus Ideology: The Supreme Court and the Use of Legislative History</w:t>
      </w:r>
      <w:r w:rsidRPr="00D851F9">
        <w:rPr>
          <w:rFonts w:ascii="Times New Roman" w:hAnsi="Times New Roman"/>
          <w:sz w:val="20"/>
        </w:rPr>
        <w:t xml:space="preserve">, 51 </w:t>
      </w:r>
      <w:r w:rsidRPr="00D851F9">
        <w:rPr>
          <w:rFonts w:ascii="Times New Roman" w:hAnsi="Times New Roman"/>
          <w:smallCaps/>
          <w:sz w:val="20"/>
        </w:rPr>
        <w:t>Wm. &amp; Mary L. Rev</w:t>
      </w:r>
      <w:r w:rsidRPr="00D851F9">
        <w:rPr>
          <w:rFonts w:ascii="Times New Roman" w:hAnsi="Times New Roman"/>
          <w:sz w:val="20"/>
        </w:rPr>
        <w:t>. 1653, 165</w:t>
      </w:r>
      <w:r>
        <w:rPr>
          <w:rFonts w:ascii="Times New Roman" w:hAnsi="Times New Roman"/>
          <w:sz w:val="20"/>
        </w:rPr>
        <w:t xml:space="preserve">   </w:t>
      </w:r>
      <w:r w:rsidRPr="00D851F9">
        <w:rPr>
          <w:rFonts w:ascii="Times New Roman" w:hAnsi="Times New Roman"/>
          <w:sz w:val="20"/>
        </w:rPr>
        <w:t xml:space="preserve">4 (2010); </w:t>
      </w:r>
      <w:r w:rsidRPr="00D851F9">
        <w:rPr>
          <w:rFonts w:ascii="Times New Roman" w:hAnsi="Times New Roman"/>
          <w:i/>
          <w:sz w:val="20"/>
        </w:rPr>
        <w:t xml:space="preserve">see also </w:t>
      </w:r>
      <w:r w:rsidRPr="00D851F9">
        <w:rPr>
          <w:rFonts w:ascii="Times New Roman" w:hAnsi="Times New Roman"/>
          <w:sz w:val="20"/>
        </w:rPr>
        <w:t xml:space="preserve">Nicholas S. Zeppos, </w:t>
      </w:r>
      <w:r w:rsidRPr="00D851F9">
        <w:rPr>
          <w:rFonts w:ascii="Times New Roman" w:hAnsi="Times New Roman"/>
          <w:i/>
          <w:sz w:val="20"/>
        </w:rPr>
        <w:t xml:space="preserve">The Use of Authority in Statutory Interpretation: An Empirical Analysis, </w:t>
      </w:r>
      <w:r w:rsidRPr="00D851F9">
        <w:rPr>
          <w:rFonts w:ascii="Times New Roman" w:hAnsi="Times New Roman"/>
          <w:sz w:val="20"/>
        </w:rPr>
        <w:t xml:space="preserve">70 </w:t>
      </w:r>
      <w:r w:rsidRPr="00D851F9">
        <w:rPr>
          <w:rFonts w:ascii="Times New Roman" w:hAnsi="Times New Roman"/>
          <w:smallCaps/>
          <w:sz w:val="20"/>
        </w:rPr>
        <w:t>Tex. L. Rev.</w:t>
      </w:r>
      <w:r w:rsidRPr="00D851F9">
        <w:rPr>
          <w:rFonts w:ascii="Times New Roman" w:hAnsi="Times New Roman"/>
          <w:sz w:val="20"/>
        </w:rPr>
        <w:t xml:space="preserve"> 1073, 1074-75 (1992).</w:t>
      </w:r>
    </w:p>
  </w:footnote>
  <w:footnote w:id="69">
    <w:p w14:paraId="0C8C9DC7" w14:textId="2E76958F"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w:t>
      </w:r>
      <w:r w:rsidRPr="00D851F9">
        <w:rPr>
          <w:rFonts w:ascii="Times New Roman" w:hAnsi="Times New Roman"/>
          <w:sz w:val="20"/>
        </w:rPr>
        <w:t xml:space="preserve"> Krishnakumar, </w:t>
      </w:r>
      <w:r w:rsidRPr="00D851F9">
        <w:rPr>
          <w:rFonts w:ascii="Times New Roman" w:hAnsi="Times New Roman"/>
          <w:i/>
          <w:sz w:val="20"/>
        </w:rPr>
        <w:t xml:space="preserve">supra </w:t>
      </w:r>
      <w:r w:rsidRPr="00D851F9">
        <w:rPr>
          <w:rFonts w:ascii="Times New Roman" w:hAnsi="Times New Roman"/>
          <w:sz w:val="20"/>
        </w:rPr>
        <w:t>note</w:t>
      </w:r>
      <w:r>
        <w:rPr>
          <w:rFonts w:ascii="Times New Roman" w:hAnsi="Times New Roman"/>
          <w:sz w:val="20"/>
        </w:rPr>
        <w:t xml:space="preserve"> 10</w:t>
      </w:r>
      <w:r w:rsidRPr="00D851F9">
        <w:rPr>
          <w:rFonts w:ascii="Times New Roman" w:hAnsi="Times New Roman"/>
          <w:sz w:val="20"/>
        </w:rPr>
        <w:t xml:space="preserve">, at 934 (examining the use of dueling canons of construction in Supreme Court majority and dissenting opinions). </w:t>
      </w:r>
    </w:p>
  </w:footnote>
  <w:footnote w:id="70">
    <w:p w14:paraId="098DA134" w14:textId="708045B8"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 id.</w:t>
      </w:r>
      <w:r w:rsidRPr="00D851F9">
        <w:rPr>
          <w:rFonts w:ascii="Times New Roman" w:hAnsi="Times New Roman"/>
          <w:sz w:val="20"/>
        </w:rPr>
        <w:t xml:space="preserve">; </w:t>
      </w:r>
      <w:r w:rsidRPr="00D851F9">
        <w:rPr>
          <w:rFonts w:ascii="Times New Roman" w:hAnsi="Times New Roman"/>
          <w:i/>
          <w:sz w:val="20"/>
        </w:rPr>
        <w:t xml:space="preserve">see also </w:t>
      </w:r>
      <w:r>
        <w:rPr>
          <w:rFonts w:ascii="Times New Roman" w:hAnsi="Times New Roman"/>
          <w:sz w:val="20"/>
        </w:rPr>
        <w:t>Brudney &amp; Ditslea</w:t>
      </w:r>
      <w:r w:rsidRPr="00D851F9">
        <w:rPr>
          <w:rFonts w:ascii="Times New Roman" w:hAnsi="Times New Roman"/>
          <w:sz w:val="20"/>
        </w:rPr>
        <w:t xml:space="preserve">r, </w:t>
      </w:r>
      <w:r w:rsidRPr="00D851F9">
        <w:rPr>
          <w:rFonts w:ascii="Times New Roman" w:hAnsi="Times New Roman"/>
          <w:i/>
          <w:sz w:val="20"/>
        </w:rPr>
        <w:t>supra</w:t>
      </w:r>
      <w:r>
        <w:rPr>
          <w:rFonts w:ascii="Times New Roman" w:hAnsi="Times New Roman"/>
          <w:sz w:val="20"/>
        </w:rPr>
        <w:t xml:space="preserve"> note  67</w:t>
      </w:r>
      <w:r w:rsidRPr="00D851F9">
        <w:rPr>
          <w:rFonts w:ascii="Times New Roman" w:hAnsi="Times New Roman"/>
          <w:sz w:val="20"/>
        </w:rPr>
        <w:t xml:space="preserve">, at 4; Law &amp; Zaring, </w:t>
      </w:r>
      <w:r w:rsidRPr="00D851F9">
        <w:rPr>
          <w:rFonts w:ascii="Times New Roman" w:hAnsi="Times New Roman"/>
          <w:i/>
          <w:sz w:val="20"/>
        </w:rPr>
        <w:t>supra</w:t>
      </w:r>
      <w:r>
        <w:rPr>
          <w:rFonts w:ascii="Times New Roman" w:hAnsi="Times New Roman"/>
          <w:sz w:val="20"/>
        </w:rPr>
        <w:t xml:space="preserve"> note 67</w:t>
      </w:r>
      <w:r w:rsidRPr="00D851F9">
        <w:rPr>
          <w:rFonts w:ascii="Times New Roman" w:hAnsi="Times New Roman"/>
          <w:sz w:val="20"/>
        </w:rPr>
        <w:t>, at 1654.</w:t>
      </w:r>
    </w:p>
  </w:footnote>
  <w:footnote w:id="71">
    <w:p w14:paraId="196E0D6D" w14:textId="4838C1E9"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w:t>
      </w:r>
      <w:r>
        <w:rPr>
          <w:rFonts w:ascii="Times New Roman" w:hAnsi="Times New Roman"/>
          <w:i/>
          <w:sz w:val="20"/>
        </w:rPr>
        <w:t>, e.g.</w:t>
      </w:r>
      <w:r>
        <w:rPr>
          <w:rFonts w:ascii="Times New Roman" w:hAnsi="Times New Roman"/>
          <w:sz w:val="20"/>
        </w:rPr>
        <w:t>,</w:t>
      </w:r>
      <w:r w:rsidRPr="00D851F9">
        <w:rPr>
          <w:rFonts w:ascii="Times New Roman" w:hAnsi="Times New Roman"/>
          <w:sz w:val="20"/>
        </w:rPr>
        <w:t xml:space="preserve"> Gluck &amp; Bressman,</w:t>
      </w:r>
      <w:r>
        <w:rPr>
          <w:rFonts w:ascii="Times New Roman" w:hAnsi="Times New Roman"/>
          <w:sz w:val="20"/>
        </w:rPr>
        <w:t xml:space="preserve"> </w:t>
      </w:r>
      <w:r>
        <w:rPr>
          <w:rFonts w:ascii="Times New Roman" w:hAnsi="Times New Roman"/>
          <w:i/>
          <w:sz w:val="20"/>
        </w:rPr>
        <w:t xml:space="preserve">Part I </w:t>
      </w:r>
      <w:r>
        <w:rPr>
          <w:rFonts w:ascii="Times New Roman" w:hAnsi="Times New Roman"/>
          <w:sz w:val="20"/>
        </w:rPr>
        <w:t xml:space="preserve">&amp; </w:t>
      </w:r>
      <w:r>
        <w:rPr>
          <w:rFonts w:ascii="Times New Roman" w:hAnsi="Times New Roman"/>
          <w:i/>
          <w:sz w:val="20"/>
        </w:rPr>
        <w:t>Part II</w:t>
      </w:r>
      <w:r>
        <w:rPr>
          <w:rFonts w:ascii="Times New Roman" w:hAnsi="Times New Roman"/>
          <w:sz w:val="20"/>
        </w:rPr>
        <w:t>,</w:t>
      </w:r>
      <w:r w:rsidRPr="00D851F9">
        <w:rPr>
          <w:rFonts w:ascii="Times New Roman" w:hAnsi="Times New Roman"/>
          <w:sz w:val="20"/>
        </w:rPr>
        <w:t xml:space="preserve"> </w:t>
      </w:r>
      <w:r w:rsidRPr="00D851F9">
        <w:rPr>
          <w:rFonts w:ascii="Times New Roman" w:hAnsi="Times New Roman"/>
          <w:i/>
          <w:sz w:val="20"/>
        </w:rPr>
        <w:t xml:space="preserve">supra </w:t>
      </w:r>
      <w:r>
        <w:rPr>
          <w:rFonts w:ascii="Times New Roman" w:hAnsi="Times New Roman"/>
          <w:sz w:val="20"/>
        </w:rPr>
        <w:t>note 6</w:t>
      </w:r>
      <w:r w:rsidRPr="00D851F9">
        <w:rPr>
          <w:rFonts w:ascii="Times New Roman" w:hAnsi="Times New Roman"/>
          <w:sz w:val="20"/>
        </w:rPr>
        <w:t xml:space="preserve"> (conducting survey among congressional staffers); Walker, </w:t>
      </w:r>
      <w:r>
        <w:rPr>
          <w:rFonts w:ascii="Times New Roman" w:hAnsi="Times New Roman"/>
          <w:i/>
          <w:sz w:val="20"/>
        </w:rPr>
        <w:t>Inside Agency</w:t>
      </w:r>
      <w:r>
        <w:rPr>
          <w:rFonts w:ascii="Times New Roman" w:hAnsi="Times New Roman"/>
          <w:sz w:val="20"/>
        </w:rPr>
        <w:t xml:space="preserve">, </w:t>
      </w:r>
      <w:r w:rsidRPr="00D851F9">
        <w:rPr>
          <w:rFonts w:ascii="Times New Roman" w:hAnsi="Times New Roman"/>
          <w:i/>
          <w:sz w:val="20"/>
        </w:rPr>
        <w:t>supra</w:t>
      </w:r>
      <w:r>
        <w:rPr>
          <w:rFonts w:ascii="Times New Roman" w:hAnsi="Times New Roman"/>
          <w:sz w:val="20"/>
        </w:rPr>
        <w:t xml:space="preserve"> note 6 </w:t>
      </w:r>
      <w:r w:rsidRPr="00D851F9">
        <w:rPr>
          <w:rFonts w:ascii="Times New Roman" w:hAnsi="Times New Roman"/>
          <w:sz w:val="20"/>
        </w:rPr>
        <w:t>(conducting survey among agencies).</w:t>
      </w:r>
    </w:p>
  </w:footnote>
  <w:footnote w:id="72">
    <w:p w14:paraId="2E05D7A7" w14:textId="2E980CF5"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 e.g.</w:t>
      </w:r>
      <w:r w:rsidRPr="00D851F9">
        <w:rPr>
          <w:rFonts w:ascii="Times New Roman" w:hAnsi="Times New Roman"/>
          <w:sz w:val="20"/>
        </w:rPr>
        <w:t xml:space="preserve"> O’Gorman, </w:t>
      </w:r>
      <w:r w:rsidRPr="00D851F9">
        <w:rPr>
          <w:rFonts w:ascii="Times New Roman" w:hAnsi="Times New Roman"/>
          <w:i/>
          <w:sz w:val="20"/>
        </w:rPr>
        <w:t xml:space="preserve">supra </w:t>
      </w:r>
      <w:r>
        <w:rPr>
          <w:rFonts w:ascii="Times New Roman" w:hAnsi="Times New Roman"/>
          <w:sz w:val="20"/>
        </w:rPr>
        <w:t>note 23</w:t>
      </w:r>
      <w:r w:rsidRPr="00D851F9">
        <w:rPr>
          <w:rFonts w:ascii="Times New Roman" w:hAnsi="Times New Roman"/>
          <w:sz w:val="20"/>
        </w:rPr>
        <w:t xml:space="preserve">, at 178 (providing examples of how the NLRB interprets statutes and offering theories for how the Board should interpret statutes).    </w:t>
      </w:r>
    </w:p>
  </w:footnote>
  <w:footnote w:id="73">
    <w:p w14:paraId="7306154D" w14:textId="1A35EFFE" w:rsidR="00CD3F94" w:rsidRPr="005D2AD9" w:rsidRDefault="00CD3F94" w:rsidP="005D2AD9">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William N. Eskridge &amp; Lauren E. Bauer, </w:t>
      </w:r>
      <w:r w:rsidRPr="00D851F9">
        <w:rPr>
          <w:rFonts w:ascii="Times New Roman" w:hAnsi="Times New Roman"/>
          <w:i/>
          <w:sz w:val="20"/>
        </w:rPr>
        <w:t>The Continuum of Deference: Supreme Court Treatment of Agency Statutory Interpretations from Chevron to Hamdan</w:t>
      </w:r>
      <w:r w:rsidRPr="00D851F9">
        <w:rPr>
          <w:rFonts w:ascii="Times New Roman" w:hAnsi="Times New Roman"/>
          <w:sz w:val="20"/>
        </w:rPr>
        <w:t xml:space="preserve">, 96 </w:t>
      </w:r>
      <w:r w:rsidRPr="00D851F9">
        <w:rPr>
          <w:rFonts w:ascii="Times New Roman" w:hAnsi="Times New Roman"/>
          <w:smallCaps/>
          <w:sz w:val="20"/>
        </w:rPr>
        <w:t xml:space="preserve">Geo. L. J. </w:t>
      </w:r>
      <w:r w:rsidRPr="00D851F9">
        <w:rPr>
          <w:rFonts w:ascii="Times New Roman" w:hAnsi="Times New Roman"/>
          <w:sz w:val="20"/>
        </w:rPr>
        <w:t xml:space="preserve">1083 (2008). The database consisted of 1,014 cases in all. </w:t>
      </w:r>
      <w:r w:rsidRPr="00D851F9">
        <w:rPr>
          <w:rFonts w:ascii="Times New Roman" w:hAnsi="Times New Roman"/>
          <w:i/>
          <w:sz w:val="20"/>
        </w:rPr>
        <w:t>Id.</w:t>
      </w:r>
      <w:r w:rsidRPr="00D851F9">
        <w:rPr>
          <w:rFonts w:ascii="Times New Roman" w:hAnsi="Times New Roman"/>
          <w:sz w:val="20"/>
        </w:rPr>
        <w:t xml:space="preserve">  For other empirical studies of this sort, see Connor R. Raso &amp; William N. Eskridge, </w:t>
      </w:r>
      <w:r w:rsidRPr="00D851F9">
        <w:rPr>
          <w:rFonts w:ascii="Times New Roman" w:hAnsi="Times New Roman"/>
          <w:i/>
          <w:sz w:val="20"/>
        </w:rPr>
        <w:t>Chevron as a Canon, Not a Precedent</w:t>
      </w:r>
      <w:r w:rsidRPr="00D851F9">
        <w:rPr>
          <w:rFonts w:ascii="Times New Roman" w:hAnsi="Times New Roman"/>
          <w:sz w:val="20"/>
        </w:rPr>
        <w:t xml:space="preserve">, 110 </w:t>
      </w:r>
      <w:r w:rsidRPr="00D851F9">
        <w:rPr>
          <w:rFonts w:ascii="Times New Roman" w:hAnsi="Times New Roman"/>
          <w:smallCaps/>
          <w:sz w:val="20"/>
        </w:rPr>
        <w:t>Colum. L. Rev</w:t>
      </w:r>
      <w:r>
        <w:rPr>
          <w:rFonts w:ascii="Times New Roman" w:hAnsi="Times New Roman"/>
          <w:sz w:val="20"/>
        </w:rPr>
        <w:t xml:space="preserve">. 1727 (2010); </w:t>
      </w:r>
      <w:r w:rsidRPr="00D851F9">
        <w:rPr>
          <w:rFonts w:ascii="Times New Roman" w:hAnsi="Times New Roman"/>
          <w:sz w:val="20"/>
        </w:rPr>
        <w:t xml:space="preserve">Thomas J. Miles &amp; Cass Sunstein, </w:t>
      </w:r>
      <w:r w:rsidRPr="00D851F9">
        <w:rPr>
          <w:rFonts w:ascii="Times New Roman" w:hAnsi="Times New Roman"/>
          <w:i/>
          <w:sz w:val="20"/>
        </w:rPr>
        <w:t>Do Judges Make Regulatory Policy?</w:t>
      </w:r>
      <w:r w:rsidRPr="00D851F9">
        <w:rPr>
          <w:rFonts w:ascii="Times New Roman" w:hAnsi="Times New Roman"/>
          <w:sz w:val="20"/>
        </w:rPr>
        <w:t xml:space="preserve">, 73 </w:t>
      </w:r>
      <w:r w:rsidRPr="00D851F9">
        <w:rPr>
          <w:rFonts w:ascii="Times New Roman" w:hAnsi="Times New Roman"/>
          <w:smallCaps/>
          <w:sz w:val="20"/>
        </w:rPr>
        <w:t>U. Chi. L. Rev</w:t>
      </w:r>
      <w:r w:rsidRPr="00D851F9">
        <w:rPr>
          <w:rFonts w:ascii="Times New Roman" w:hAnsi="Times New Roman"/>
          <w:sz w:val="20"/>
        </w:rPr>
        <w:t>. 623 (2006);</w:t>
      </w:r>
      <w:r>
        <w:rPr>
          <w:rFonts w:ascii="Times New Roman" w:hAnsi="Times New Roman"/>
          <w:sz w:val="20"/>
        </w:rPr>
        <w:t xml:space="preserve"> </w:t>
      </w:r>
      <w:r w:rsidRPr="00D851F9">
        <w:rPr>
          <w:rFonts w:ascii="Times New Roman" w:hAnsi="Times New Roman"/>
          <w:sz w:val="20"/>
        </w:rPr>
        <w:t xml:space="preserve">Thomas Merrill, </w:t>
      </w:r>
      <w:r w:rsidRPr="00D851F9">
        <w:rPr>
          <w:rFonts w:ascii="Times New Roman" w:hAnsi="Times New Roman"/>
          <w:i/>
          <w:sz w:val="20"/>
        </w:rPr>
        <w:t>Judicial Deference to Executive Precedent</w:t>
      </w:r>
      <w:r w:rsidRPr="00D851F9">
        <w:rPr>
          <w:rFonts w:ascii="Times New Roman" w:hAnsi="Times New Roman"/>
          <w:sz w:val="20"/>
        </w:rPr>
        <w:t xml:space="preserve">, 101 </w:t>
      </w:r>
      <w:r w:rsidRPr="00D851F9">
        <w:rPr>
          <w:rFonts w:ascii="Times New Roman" w:hAnsi="Times New Roman"/>
          <w:smallCaps/>
          <w:sz w:val="20"/>
        </w:rPr>
        <w:t>Yale L.J</w:t>
      </w:r>
      <w:r>
        <w:rPr>
          <w:rFonts w:ascii="Times New Roman" w:hAnsi="Times New Roman"/>
          <w:sz w:val="20"/>
        </w:rPr>
        <w:t>. 969 (1992).</w:t>
      </w:r>
      <w:r w:rsidRPr="00D851F9">
        <w:rPr>
          <w:rFonts w:ascii="Times New Roman" w:hAnsi="Times New Roman"/>
          <w:sz w:val="20"/>
        </w:rPr>
        <w:t xml:space="preserve"> For studies at the court of appeals, see Kristin E. Hickman &amp; Matthew D. Krueger, </w:t>
      </w:r>
      <w:r w:rsidRPr="00D851F9">
        <w:rPr>
          <w:rFonts w:ascii="Times New Roman" w:hAnsi="Times New Roman"/>
          <w:i/>
          <w:sz w:val="20"/>
        </w:rPr>
        <w:t>In Search of the Modern Skidmore Standard</w:t>
      </w:r>
      <w:r w:rsidRPr="00D851F9">
        <w:rPr>
          <w:rFonts w:ascii="Times New Roman" w:hAnsi="Times New Roman"/>
          <w:sz w:val="20"/>
        </w:rPr>
        <w:t xml:space="preserve">, 107 </w:t>
      </w:r>
      <w:r w:rsidRPr="00D851F9">
        <w:rPr>
          <w:rFonts w:ascii="Times New Roman" w:hAnsi="Times New Roman"/>
          <w:smallCaps/>
          <w:sz w:val="20"/>
        </w:rPr>
        <w:t>Colum. L. Rev.</w:t>
      </w:r>
      <w:r w:rsidRPr="00D851F9">
        <w:rPr>
          <w:rFonts w:ascii="Times New Roman" w:hAnsi="Times New Roman"/>
          <w:sz w:val="20"/>
        </w:rPr>
        <w:t xml:space="preserve"> 1235 (2007); Lisa Schultz Bressman, </w:t>
      </w:r>
      <w:r w:rsidRPr="00D851F9">
        <w:rPr>
          <w:rFonts w:ascii="Times New Roman" w:hAnsi="Times New Roman"/>
          <w:i/>
          <w:sz w:val="20"/>
        </w:rPr>
        <w:t>How Mead Has Muddled Judicial Review of Agency Action</w:t>
      </w:r>
      <w:r w:rsidRPr="00D851F9">
        <w:rPr>
          <w:rFonts w:ascii="Times New Roman" w:hAnsi="Times New Roman"/>
          <w:sz w:val="20"/>
        </w:rPr>
        <w:t xml:space="preserve">, 58 </w:t>
      </w:r>
      <w:r w:rsidRPr="00D851F9">
        <w:rPr>
          <w:rFonts w:ascii="Times New Roman" w:hAnsi="Times New Roman"/>
          <w:smallCaps/>
          <w:sz w:val="20"/>
        </w:rPr>
        <w:t>Vand. L. Rev.</w:t>
      </w:r>
      <w:r w:rsidRPr="00D851F9">
        <w:rPr>
          <w:rFonts w:ascii="Times New Roman" w:hAnsi="Times New Roman"/>
          <w:sz w:val="20"/>
        </w:rPr>
        <w:t xml:space="preserve"> 1443 (2005); Orin S. Kerr, </w:t>
      </w:r>
      <w:r w:rsidRPr="00D851F9">
        <w:rPr>
          <w:rFonts w:ascii="Times New Roman" w:hAnsi="Times New Roman"/>
          <w:i/>
          <w:sz w:val="20"/>
        </w:rPr>
        <w:t>Shedding Light on Chevron: An Empirical Study of the Chevron Doctrine in the U.S. Courts of Appeals</w:t>
      </w:r>
      <w:r w:rsidRPr="00D851F9">
        <w:rPr>
          <w:rFonts w:ascii="Times New Roman" w:hAnsi="Times New Roman"/>
          <w:sz w:val="20"/>
        </w:rPr>
        <w:t xml:space="preserve">, 15 </w:t>
      </w:r>
      <w:r w:rsidRPr="00D851F9">
        <w:rPr>
          <w:rFonts w:ascii="Times New Roman" w:hAnsi="Times New Roman"/>
          <w:smallCaps/>
          <w:sz w:val="20"/>
        </w:rPr>
        <w:t>Yale J. on Reg</w:t>
      </w:r>
      <w:r w:rsidRPr="00D851F9">
        <w:rPr>
          <w:rFonts w:ascii="Times New Roman" w:hAnsi="Times New Roman"/>
          <w:sz w:val="20"/>
        </w:rPr>
        <w:t xml:space="preserve">. 1 (1998); Peter H. Schuck &amp; E. Donald Elliot, </w:t>
      </w:r>
      <w:r w:rsidRPr="00D851F9">
        <w:rPr>
          <w:rFonts w:ascii="Times New Roman" w:hAnsi="Times New Roman"/>
          <w:i/>
          <w:sz w:val="20"/>
        </w:rPr>
        <w:t>To the Chevron Station: An Empirical Study of Federal Administrative Law</w:t>
      </w:r>
      <w:r w:rsidRPr="00D851F9">
        <w:rPr>
          <w:rFonts w:ascii="Times New Roman" w:hAnsi="Times New Roman"/>
          <w:sz w:val="20"/>
        </w:rPr>
        <w:t xml:space="preserve">, 1990 </w:t>
      </w:r>
      <w:r w:rsidRPr="00D851F9">
        <w:rPr>
          <w:rFonts w:ascii="Times New Roman" w:hAnsi="Times New Roman"/>
          <w:smallCaps/>
          <w:sz w:val="20"/>
        </w:rPr>
        <w:t>Duke L. J.</w:t>
      </w:r>
      <w:r w:rsidRPr="00D851F9">
        <w:rPr>
          <w:rFonts w:ascii="Times New Roman" w:hAnsi="Times New Roman"/>
          <w:sz w:val="20"/>
        </w:rPr>
        <w:t xml:space="preserve"> 984 (1990).</w:t>
      </w:r>
    </w:p>
  </w:footnote>
  <w:footnote w:id="74">
    <w:p w14:paraId="4B6C185E" w14:textId="3EBC59E0" w:rsidR="00CD3F94" w:rsidRPr="00D851F9" w:rsidRDefault="00CD3F94" w:rsidP="0086288C">
      <w:pPr>
        <w:pStyle w:val="FootnoteText"/>
      </w:pPr>
      <w:r w:rsidRPr="00D851F9">
        <w:rPr>
          <w:rStyle w:val="FootnoteReference"/>
        </w:rPr>
        <w:footnoteRef/>
      </w:r>
      <w:r w:rsidRPr="00D851F9">
        <w:t xml:space="preserve"> Eskridge &amp; Bauer, </w:t>
      </w:r>
      <w:r w:rsidRPr="00D851F9">
        <w:rPr>
          <w:i/>
        </w:rPr>
        <w:t>supra</w:t>
      </w:r>
      <w:r>
        <w:t xml:space="preserve"> note 72</w:t>
      </w:r>
      <w:r w:rsidRPr="00D851F9">
        <w:t xml:space="preserve">, at 1091. </w:t>
      </w:r>
    </w:p>
  </w:footnote>
  <w:footnote w:id="75">
    <w:p w14:paraId="0CEFAF7C" w14:textId="68238BA5"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e.g., </w:t>
      </w:r>
      <w:r w:rsidRPr="00D851F9">
        <w:rPr>
          <w:rFonts w:ascii="Times New Roman" w:hAnsi="Times New Roman"/>
          <w:sz w:val="20"/>
        </w:rPr>
        <w:t xml:space="preserve">Kerr, </w:t>
      </w:r>
      <w:r w:rsidRPr="00D851F9">
        <w:rPr>
          <w:rFonts w:ascii="Times New Roman" w:hAnsi="Times New Roman"/>
          <w:i/>
          <w:sz w:val="20"/>
        </w:rPr>
        <w:t xml:space="preserve">supra </w:t>
      </w:r>
      <w:r>
        <w:rPr>
          <w:rFonts w:ascii="Times New Roman" w:hAnsi="Times New Roman"/>
          <w:sz w:val="20"/>
        </w:rPr>
        <w:t>note 72</w:t>
      </w:r>
      <w:r w:rsidRPr="00D851F9">
        <w:rPr>
          <w:rFonts w:ascii="Times New Roman" w:hAnsi="Times New Roman"/>
          <w:sz w:val="20"/>
        </w:rPr>
        <w:t xml:space="preserve">, at 32; (finding that courts upheld regulations 58% of regulations a year after Chevron to 82% 2-4 years after Chevron then back to 72%); Miles &amp; Sunstein, </w:t>
      </w:r>
      <w:r w:rsidRPr="00D851F9">
        <w:rPr>
          <w:rFonts w:ascii="Times New Roman" w:hAnsi="Times New Roman"/>
          <w:i/>
          <w:sz w:val="20"/>
        </w:rPr>
        <w:t>supra</w:t>
      </w:r>
      <w:r>
        <w:rPr>
          <w:rFonts w:ascii="Times New Roman" w:hAnsi="Times New Roman"/>
          <w:sz w:val="20"/>
        </w:rPr>
        <w:t xml:space="preserve"> note 72</w:t>
      </w:r>
      <w:r w:rsidRPr="00D851F9">
        <w:rPr>
          <w:rFonts w:ascii="Times New Roman" w:hAnsi="Times New Roman"/>
          <w:sz w:val="20"/>
        </w:rPr>
        <w:t xml:space="preserve">, at 849 (noting validation rates); Schuck &amp; Elliot, </w:t>
      </w:r>
      <w:r w:rsidRPr="00D851F9">
        <w:rPr>
          <w:rFonts w:ascii="Times New Roman" w:hAnsi="Times New Roman"/>
          <w:i/>
          <w:sz w:val="20"/>
        </w:rPr>
        <w:t xml:space="preserve">supra </w:t>
      </w:r>
      <w:r>
        <w:rPr>
          <w:rFonts w:ascii="Times New Roman" w:hAnsi="Times New Roman"/>
          <w:sz w:val="20"/>
        </w:rPr>
        <w:t>note 72</w:t>
      </w:r>
      <w:r w:rsidRPr="00D851F9">
        <w:rPr>
          <w:rFonts w:ascii="Times New Roman" w:hAnsi="Times New Roman"/>
          <w:sz w:val="20"/>
        </w:rPr>
        <w:t xml:space="preserve">, at 1039 (noting affirmance rate of 71% in 1984, then 81% in 1986, then 75% in 1988); </w:t>
      </w:r>
      <w:r>
        <w:rPr>
          <w:rFonts w:ascii="Times New Roman" w:hAnsi="Times New Roman"/>
          <w:i/>
          <w:sz w:val="20"/>
        </w:rPr>
        <w:t xml:space="preserve">see also </w:t>
      </w:r>
      <w:r w:rsidRPr="00D851F9">
        <w:rPr>
          <w:rFonts w:ascii="Times New Roman" w:hAnsi="Times New Roman"/>
          <w:sz w:val="20"/>
        </w:rPr>
        <w:t xml:space="preserve">Reul E. Schiller, </w:t>
      </w:r>
      <w:r w:rsidRPr="00D851F9">
        <w:rPr>
          <w:rFonts w:ascii="Times New Roman" w:hAnsi="Times New Roman"/>
          <w:i/>
          <w:sz w:val="20"/>
        </w:rPr>
        <w:t>The End of Deference: Courts, Expertise, and the Emergency of New Deal Administrative Law</w:t>
      </w:r>
      <w:r w:rsidRPr="00D851F9">
        <w:rPr>
          <w:rFonts w:ascii="Times New Roman" w:hAnsi="Times New Roman"/>
          <w:sz w:val="20"/>
        </w:rPr>
        <w:t xml:space="preserve">, 106 </w:t>
      </w:r>
      <w:r w:rsidRPr="00D851F9">
        <w:rPr>
          <w:rFonts w:ascii="Times New Roman" w:hAnsi="Times New Roman"/>
          <w:smallCaps/>
          <w:sz w:val="20"/>
        </w:rPr>
        <w:t>Mich. L. Rev.</w:t>
      </w:r>
      <w:r w:rsidRPr="00D851F9">
        <w:rPr>
          <w:rFonts w:ascii="Times New Roman" w:hAnsi="Times New Roman"/>
          <w:sz w:val="20"/>
        </w:rPr>
        <w:t xml:space="preserve"> 399, 436-37 (2007) (noting circuit court deference to NLRB decisions regarding statements made by employees during union elections).</w:t>
      </w:r>
    </w:p>
  </w:footnote>
  <w:footnote w:id="76">
    <w:p w14:paraId="622BD9A6" w14:textId="574339BE" w:rsidR="00CD3F94" w:rsidRPr="00D851F9" w:rsidRDefault="00CD3F94" w:rsidP="0086288C">
      <w:pPr>
        <w:pStyle w:val="FootnoteText"/>
      </w:pPr>
      <w:r w:rsidRPr="00D851F9">
        <w:rPr>
          <w:rStyle w:val="FootnoteReference"/>
        </w:rPr>
        <w:footnoteRef/>
      </w:r>
      <w:r>
        <w:t xml:space="preserve"> Cross, </w:t>
      </w:r>
      <w:r>
        <w:rPr>
          <w:i/>
        </w:rPr>
        <w:t xml:space="preserve">supra </w:t>
      </w:r>
      <w:r>
        <w:t>note 3, at</w:t>
      </w:r>
      <w:r w:rsidRPr="00D851F9">
        <w:t>160-77 (2009).</w:t>
      </w:r>
    </w:p>
  </w:footnote>
  <w:footnote w:id="77">
    <w:p w14:paraId="47499896" w14:textId="77777777" w:rsidR="00CD3F94" w:rsidRPr="008A0D15" w:rsidRDefault="00CD3F94" w:rsidP="0086288C">
      <w:pPr>
        <w:pStyle w:val="FootnoteText"/>
      </w:pPr>
      <w:r>
        <w:rPr>
          <w:rStyle w:val="FootnoteReference"/>
        </w:rPr>
        <w:footnoteRef/>
      </w:r>
      <w:r>
        <w:t xml:space="preserve"> </w:t>
      </w:r>
      <w:r>
        <w:rPr>
          <w:i/>
        </w:rPr>
        <w:t>Id.</w:t>
      </w:r>
      <w:r>
        <w:t xml:space="preserve"> at 189.</w:t>
      </w:r>
    </w:p>
  </w:footnote>
  <w:footnote w:id="78">
    <w:p w14:paraId="6D6F7FD1" w14:textId="77777777" w:rsidR="00CD3F94" w:rsidRPr="008A0D15" w:rsidRDefault="00CD3F94" w:rsidP="0086288C">
      <w:pPr>
        <w:pStyle w:val="FootnoteText"/>
      </w:pPr>
      <w:r>
        <w:rPr>
          <w:rStyle w:val="FootnoteReference"/>
        </w:rPr>
        <w:footnoteRef/>
      </w:r>
      <w:r>
        <w:t xml:space="preserve"> </w:t>
      </w:r>
      <w:r>
        <w:rPr>
          <w:i/>
        </w:rPr>
        <w:t>Id.</w:t>
      </w:r>
      <w:r>
        <w:t xml:space="preserve"> at 190. </w:t>
      </w:r>
    </w:p>
  </w:footnote>
  <w:footnote w:id="79">
    <w:p w14:paraId="69876025" w14:textId="492DA474"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Brudney &amp; Ditslear, </w:t>
      </w:r>
      <w:r w:rsidRPr="00D851F9">
        <w:rPr>
          <w:rFonts w:ascii="Times New Roman" w:hAnsi="Times New Roman"/>
          <w:i/>
          <w:sz w:val="20"/>
        </w:rPr>
        <w:t xml:space="preserve">supra </w:t>
      </w:r>
      <w:r>
        <w:rPr>
          <w:rFonts w:ascii="Times New Roman" w:hAnsi="Times New Roman"/>
          <w:sz w:val="20"/>
        </w:rPr>
        <w:t>note 67</w:t>
      </w:r>
      <w:r w:rsidRPr="00D851F9">
        <w:rPr>
          <w:rFonts w:ascii="Times New Roman" w:hAnsi="Times New Roman"/>
          <w:sz w:val="20"/>
        </w:rPr>
        <w:t xml:space="preserve">, at 1 (little constraint by linguistic and substantive canons); James J. Brudney &amp; Corey Ditslear, </w:t>
      </w:r>
      <w:r w:rsidRPr="00D851F9">
        <w:rPr>
          <w:rFonts w:ascii="Times New Roman" w:hAnsi="Times New Roman"/>
          <w:i/>
          <w:sz w:val="20"/>
        </w:rPr>
        <w:t>Liberal Justices’ Reliance on Legislative History: Principle, Strategy and the Scalia Effect</w:t>
      </w:r>
      <w:r w:rsidRPr="00D851F9">
        <w:rPr>
          <w:rFonts w:ascii="Times New Roman" w:hAnsi="Times New Roman"/>
          <w:sz w:val="20"/>
        </w:rPr>
        <w:t xml:space="preserve">, 29 </w:t>
      </w:r>
      <w:r w:rsidRPr="00D851F9">
        <w:rPr>
          <w:rFonts w:ascii="Times New Roman" w:hAnsi="Times New Roman"/>
          <w:smallCaps/>
          <w:sz w:val="20"/>
        </w:rPr>
        <w:t>Berkeley J. Emp. &amp; Lab. L.</w:t>
      </w:r>
      <w:r w:rsidRPr="00D851F9">
        <w:rPr>
          <w:rFonts w:ascii="Times New Roman" w:hAnsi="Times New Roman"/>
          <w:sz w:val="20"/>
        </w:rPr>
        <w:t xml:space="preserve"> 117 (2008) (looking at constraining effects of legislative history on workplace cases); James J. Brudney &amp; Corey Ditsclear, </w:t>
      </w:r>
      <w:r w:rsidRPr="00D851F9">
        <w:rPr>
          <w:rFonts w:ascii="Times New Roman" w:hAnsi="Times New Roman"/>
          <w:i/>
          <w:sz w:val="20"/>
        </w:rPr>
        <w:t>The Warp and Woof of Statutory Interpretation: Comparing Supreme Court Approaches on Tax and Workplace Law</w:t>
      </w:r>
      <w:r w:rsidRPr="00D851F9">
        <w:rPr>
          <w:rFonts w:ascii="Times New Roman" w:hAnsi="Times New Roman"/>
          <w:sz w:val="20"/>
        </w:rPr>
        <w:t xml:space="preserve">, 58 </w:t>
      </w:r>
      <w:r w:rsidRPr="00D851F9">
        <w:rPr>
          <w:rFonts w:ascii="Times New Roman" w:hAnsi="Times New Roman"/>
          <w:smallCaps/>
          <w:sz w:val="20"/>
        </w:rPr>
        <w:t>Duke L. J</w:t>
      </w:r>
      <w:r w:rsidRPr="00D851F9">
        <w:rPr>
          <w:rFonts w:ascii="Times New Roman" w:hAnsi="Times New Roman"/>
          <w:sz w:val="20"/>
        </w:rPr>
        <w:t xml:space="preserve">. 1231 (2009) (showing use of legislative history). </w:t>
      </w:r>
    </w:p>
  </w:footnote>
  <w:footnote w:id="80">
    <w:p w14:paraId="098068F3" w14:textId="768E8E32"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Brudney &amp; Ditsclear, </w:t>
      </w:r>
      <w:r w:rsidRPr="00D851F9">
        <w:rPr>
          <w:rFonts w:ascii="Times New Roman" w:hAnsi="Times New Roman"/>
          <w:i/>
          <w:sz w:val="20"/>
        </w:rPr>
        <w:t>supra</w:t>
      </w:r>
      <w:r>
        <w:rPr>
          <w:rFonts w:ascii="Times New Roman" w:hAnsi="Times New Roman"/>
          <w:sz w:val="20"/>
        </w:rPr>
        <w:t xml:space="preserve"> note 67</w:t>
      </w:r>
      <w:r w:rsidRPr="00D851F9">
        <w:rPr>
          <w:rFonts w:ascii="Times New Roman" w:hAnsi="Times New Roman"/>
          <w:sz w:val="20"/>
        </w:rPr>
        <w:t>, at 1.</w:t>
      </w:r>
    </w:p>
  </w:footnote>
  <w:footnote w:id="81">
    <w:p w14:paraId="1E46EF45"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82">
    <w:p w14:paraId="2255FE5D"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83">
    <w:p w14:paraId="580BF686" w14:textId="7AC5AB5A"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Law &amp; Zaring,</w:t>
      </w:r>
      <w:r w:rsidRPr="00D851F9">
        <w:rPr>
          <w:rFonts w:ascii="Times New Roman" w:hAnsi="Times New Roman"/>
          <w:i/>
          <w:sz w:val="20"/>
        </w:rPr>
        <w:t xml:space="preserve"> supra</w:t>
      </w:r>
      <w:r>
        <w:rPr>
          <w:rFonts w:ascii="Times New Roman" w:hAnsi="Times New Roman"/>
          <w:sz w:val="20"/>
        </w:rPr>
        <w:t xml:space="preserve"> note 67</w:t>
      </w:r>
      <w:r w:rsidRPr="00D851F9">
        <w:rPr>
          <w:rFonts w:ascii="Times New Roman" w:hAnsi="Times New Roman"/>
          <w:sz w:val="20"/>
        </w:rPr>
        <w:t>, at 1738.</w:t>
      </w:r>
    </w:p>
  </w:footnote>
  <w:footnote w:id="84">
    <w:p w14:paraId="5DFD4A1F" w14:textId="77777777" w:rsidR="00CD3F94" w:rsidRPr="00D851F9" w:rsidRDefault="00CD3F94" w:rsidP="0086288C">
      <w:pPr>
        <w:rPr>
          <w:rFonts w:ascii="Times New Roman" w:hAnsi="Times New Roman"/>
          <w:sz w:val="20"/>
        </w:rPr>
      </w:pPr>
      <w:r w:rsidRPr="00D851F9">
        <w:rPr>
          <w:rStyle w:val="FootnoteReference"/>
          <w:rFonts w:ascii="Times New Roman" w:hAnsi="Times New Roman"/>
          <w:i/>
          <w:sz w:val="20"/>
        </w:rPr>
        <w:footnoteRef/>
      </w:r>
      <w:r w:rsidRPr="00D851F9">
        <w:rPr>
          <w:rFonts w:ascii="Times New Roman" w:hAnsi="Times New Roman"/>
          <w:i/>
          <w:sz w:val="20"/>
        </w:rPr>
        <w:t xml:space="preserve"> Id.</w:t>
      </w:r>
    </w:p>
  </w:footnote>
  <w:footnote w:id="85">
    <w:p w14:paraId="59116020"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86">
    <w:p w14:paraId="0AA195CD" w14:textId="4B245E40"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Krishnakumar, </w:t>
      </w:r>
      <w:r w:rsidRPr="00D851F9">
        <w:rPr>
          <w:rFonts w:ascii="Times New Roman" w:hAnsi="Times New Roman"/>
          <w:i/>
          <w:sz w:val="20"/>
        </w:rPr>
        <w:t>supra</w:t>
      </w:r>
      <w:r>
        <w:rPr>
          <w:rFonts w:ascii="Times New Roman" w:hAnsi="Times New Roman"/>
          <w:sz w:val="20"/>
        </w:rPr>
        <w:t xml:space="preserve"> note 10</w:t>
      </w:r>
      <w:r w:rsidRPr="00D851F9">
        <w:rPr>
          <w:rFonts w:ascii="Times New Roman" w:hAnsi="Times New Roman"/>
          <w:sz w:val="20"/>
        </w:rPr>
        <w:t>, at 909.</w:t>
      </w:r>
    </w:p>
  </w:footnote>
  <w:footnote w:id="87">
    <w:p w14:paraId="73FC9BB5"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w:t>
      </w:r>
    </w:p>
  </w:footnote>
  <w:footnote w:id="88">
    <w:p w14:paraId="3CEE5E79"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w:t>
      </w:r>
    </w:p>
  </w:footnote>
  <w:footnote w:id="89">
    <w:p w14:paraId="1FAB1B34" w14:textId="77777777" w:rsidR="00CD3F94" w:rsidRPr="00AF6108" w:rsidRDefault="00CD3F94" w:rsidP="0086288C">
      <w:pPr>
        <w:pStyle w:val="FootnoteText"/>
      </w:pPr>
      <w:r>
        <w:rPr>
          <w:rStyle w:val="FootnoteReference"/>
        </w:rPr>
        <w:footnoteRef/>
      </w:r>
      <w:r>
        <w:t xml:space="preserve"> Anita Krishnakumar, </w:t>
      </w:r>
      <w:r>
        <w:rPr>
          <w:i/>
        </w:rPr>
        <w:t>Reconsidering Substantive Canons</w:t>
      </w:r>
      <w:r>
        <w:t xml:space="preserve">, 84 </w:t>
      </w:r>
      <w:r w:rsidRPr="00A41A5F">
        <w:rPr>
          <w:smallCaps/>
        </w:rPr>
        <w:t>U. Chi. L. Rev</w:t>
      </w:r>
      <w:r>
        <w:t>. 825, 825 (2017)</w:t>
      </w:r>
    </w:p>
  </w:footnote>
  <w:footnote w:id="90">
    <w:p w14:paraId="023F6C2A" w14:textId="77777777" w:rsidR="00CD3F94" w:rsidRPr="00527A04" w:rsidRDefault="00CD3F94" w:rsidP="0086288C">
      <w:pPr>
        <w:pStyle w:val="FootnoteText"/>
      </w:pPr>
      <w:r>
        <w:rPr>
          <w:rStyle w:val="FootnoteReference"/>
        </w:rPr>
        <w:footnoteRef/>
      </w:r>
      <w:r>
        <w:t xml:space="preserve"> </w:t>
      </w:r>
      <w:r>
        <w:rPr>
          <w:i/>
        </w:rPr>
        <w:t>Id.</w:t>
      </w:r>
      <w:r>
        <w:t xml:space="preserve"> at 887.</w:t>
      </w:r>
    </w:p>
  </w:footnote>
  <w:footnote w:id="91">
    <w:p w14:paraId="56254BAB" w14:textId="4294F7A8" w:rsidR="00CD3F94" w:rsidRPr="0071336B" w:rsidRDefault="00CD3F94" w:rsidP="0086288C">
      <w:pPr>
        <w:pStyle w:val="FootnoteText"/>
      </w:pPr>
      <w:r>
        <w:rPr>
          <w:rStyle w:val="FootnoteReference"/>
        </w:rPr>
        <w:footnoteRef/>
      </w:r>
      <w:r>
        <w:t xml:space="preserve"> Solan, </w:t>
      </w:r>
      <w:r>
        <w:rPr>
          <w:i/>
        </w:rPr>
        <w:t>supra</w:t>
      </w:r>
      <w:r>
        <w:t xml:space="preserve"> note 17, at 1172.</w:t>
      </w:r>
    </w:p>
  </w:footnote>
  <w:footnote w:id="92">
    <w:p w14:paraId="6FD4B2BE" w14:textId="77777777" w:rsidR="00CD3F94" w:rsidRPr="00B44902" w:rsidRDefault="00CD3F94" w:rsidP="0086288C">
      <w:pPr>
        <w:pStyle w:val="FootnoteText"/>
      </w:pPr>
      <w:r>
        <w:rPr>
          <w:rStyle w:val="FootnoteReference"/>
        </w:rPr>
        <w:footnoteRef/>
      </w:r>
      <w:r>
        <w:t xml:space="preserve"> </w:t>
      </w:r>
      <w:r>
        <w:rPr>
          <w:i/>
        </w:rPr>
        <w:t>Id.</w:t>
      </w:r>
      <w:r>
        <w:t xml:space="preserve"> at 1173.</w:t>
      </w:r>
    </w:p>
  </w:footnote>
  <w:footnote w:id="93">
    <w:p w14:paraId="4DDA08C7" w14:textId="77777777" w:rsidR="00CD3F94" w:rsidRPr="00B44902" w:rsidRDefault="00CD3F94" w:rsidP="0086288C">
      <w:pPr>
        <w:pStyle w:val="FootnoteText"/>
      </w:pPr>
      <w:r>
        <w:rPr>
          <w:rStyle w:val="FootnoteReference"/>
        </w:rPr>
        <w:footnoteRef/>
      </w:r>
      <w:r>
        <w:t xml:space="preserve"> </w:t>
      </w:r>
      <w:r>
        <w:rPr>
          <w:i/>
        </w:rPr>
        <w:t>Id.</w:t>
      </w:r>
      <w:r>
        <w:t xml:space="preserve"> </w:t>
      </w:r>
    </w:p>
  </w:footnote>
  <w:footnote w:id="94">
    <w:p w14:paraId="408F878B" w14:textId="77777777" w:rsidR="00CD3F94" w:rsidRPr="00054A83" w:rsidRDefault="00CD3F94" w:rsidP="0086288C">
      <w:pPr>
        <w:pStyle w:val="FootnoteText"/>
      </w:pPr>
      <w:r>
        <w:rPr>
          <w:rStyle w:val="FootnoteReference"/>
        </w:rPr>
        <w:footnoteRef/>
      </w:r>
      <w:r>
        <w:t xml:space="preserve"> James L. Brudney &amp; Lawrence Baum, </w:t>
      </w:r>
      <w:r>
        <w:rPr>
          <w:i/>
        </w:rPr>
        <w:t>Protean Statutory Interpretation in the Courts of Appeals</w:t>
      </w:r>
      <w:r>
        <w:t xml:space="preserve">, 58 </w:t>
      </w:r>
      <w:r w:rsidRPr="00A41A5F">
        <w:rPr>
          <w:smallCaps/>
        </w:rPr>
        <w:t>Wm. &amp; Mary L. Rev.</w:t>
      </w:r>
      <w:r>
        <w:t xml:space="preserve"> 681, 681 (2017).</w:t>
      </w:r>
    </w:p>
  </w:footnote>
  <w:footnote w:id="95">
    <w:p w14:paraId="5D4FC3C0" w14:textId="77777777" w:rsidR="00CD3F94" w:rsidRPr="00054A83" w:rsidRDefault="00CD3F94" w:rsidP="0086288C">
      <w:pPr>
        <w:pStyle w:val="FootnoteText"/>
      </w:pPr>
      <w:r>
        <w:rPr>
          <w:rStyle w:val="FootnoteReference"/>
        </w:rPr>
        <w:footnoteRef/>
      </w:r>
      <w:r>
        <w:t xml:space="preserve"> </w:t>
      </w:r>
      <w:r>
        <w:rPr>
          <w:i/>
        </w:rPr>
        <w:t>Id.</w:t>
      </w:r>
      <w:r>
        <w:t xml:space="preserve"> at 682.</w:t>
      </w:r>
    </w:p>
  </w:footnote>
  <w:footnote w:id="96">
    <w:p w14:paraId="581577F0" w14:textId="06AA6700" w:rsidR="00CD3F94" w:rsidRPr="00523FD3" w:rsidRDefault="00CD3F94" w:rsidP="0086288C">
      <w:pPr>
        <w:pStyle w:val="FootnoteText"/>
      </w:pPr>
      <w:r>
        <w:rPr>
          <w:rStyle w:val="FootnoteReference"/>
        </w:rPr>
        <w:footnoteRef/>
      </w:r>
      <w:r>
        <w:t xml:space="preserve"> </w:t>
      </w:r>
      <w:r>
        <w:rPr>
          <w:i/>
        </w:rPr>
        <w:t xml:space="preserve">Id. </w:t>
      </w:r>
      <w:r>
        <w:t xml:space="preserve">In addition, the Supreme Court relies more on “vertical” legislative history (changes to the text) while appellate courts look more to committee reports. </w:t>
      </w:r>
      <w:r>
        <w:rPr>
          <w:i/>
        </w:rPr>
        <w:t>Id.</w:t>
      </w:r>
      <w:r>
        <w:t xml:space="preserve"> at 686.</w:t>
      </w:r>
    </w:p>
  </w:footnote>
  <w:footnote w:id="97">
    <w:p w14:paraId="4AA70E33" w14:textId="77777777" w:rsidR="00CD3F94" w:rsidRPr="001B0C94" w:rsidRDefault="00CD3F94" w:rsidP="0086288C">
      <w:pPr>
        <w:pStyle w:val="FootnoteText"/>
      </w:pPr>
      <w:r>
        <w:rPr>
          <w:rStyle w:val="FootnoteReference"/>
        </w:rPr>
        <w:footnoteRef/>
      </w:r>
      <w:r>
        <w:t xml:space="preserve"> </w:t>
      </w:r>
      <w:r>
        <w:rPr>
          <w:i/>
        </w:rPr>
        <w:t>Id.</w:t>
      </w:r>
      <w:r>
        <w:t xml:space="preserve"> </w:t>
      </w:r>
    </w:p>
  </w:footnote>
  <w:footnote w:id="98">
    <w:p w14:paraId="05D89678" w14:textId="77777777" w:rsidR="00CD3F94" w:rsidRPr="001B0C94" w:rsidRDefault="00CD3F94" w:rsidP="0086288C">
      <w:pPr>
        <w:pStyle w:val="FootnoteText"/>
        <w:rPr>
          <w:i/>
        </w:rPr>
      </w:pPr>
      <w:r>
        <w:rPr>
          <w:rStyle w:val="FootnoteReference"/>
        </w:rPr>
        <w:footnoteRef/>
      </w:r>
      <w:r>
        <w:t xml:space="preserve"> </w:t>
      </w:r>
      <w:r w:rsidRPr="001B0C94">
        <w:rPr>
          <w:i/>
        </w:rPr>
        <w:t>Id</w:t>
      </w:r>
      <w:r w:rsidRPr="001B0C94">
        <w:t>. at 686</w:t>
      </w:r>
      <w:r>
        <w:rPr>
          <w:i/>
        </w:rPr>
        <w:t>.</w:t>
      </w:r>
    </w:p>
  </w:footnote>
  <w:footnote w:id="99">
    <w:p w14:paraId="61112833" w14:textId="77777777" w:rsidR="00CD3F94" w:rsidRPr="00AA4D70" w:rsidRDefault="00CD3F94" w:rsidP="0086288C">
      <w:pPr>
        <w:pStyle w:val="FootnoteText"/>
        <w:rPr>
          <w:i/>
        </w:rPr>
      </w:pPr>
      <w:r>
        <w:rPr>
          <w:rStyle w:val="FootnoteReference"/>
        </w:rPr>
        <w:footnoteRef/>
      </w:r>
      <w:r>
        <w:t xml:space="preserve"> </w:t>
      </w:r>
      <w:r>
        <w:rPr>
          <w:i/>
        </w:rPr>
        <w:t>Id.</w:t>
      </w:r>
    </w:p>
  </w:footnote>
  <w:footnote w:id="100">
    <w:p w14:paraId="6A40059D" w14:textId="1B95BC6F" w:rsidR="00CD3F94" w:rsidRPr="00D851F9" w:rsidRDefault="00CD3F94" w:rsidP="0086288C">
      <w:pPr>
        <w:pStyle w:val="FootnoteText"/>
      </w:pPr>
      <w:r w:rsidRPr="00D851F9">
        <w:rPr>
          <w:rStyle w:val="FootnoteReference"/>
        </w:rPr>
        <w:footnoteRef/>
      </w:r>
      <w:r w:rsidRPr="00D851F9">
        <w:t xml:space="preserve"> Mashaw, </w:t>
      </w:r>
      <w:r>
        <w:rPr>
          <w:i/>
        </w:rPr>
        <w:t>Beyond Facts and Norms</w:t>
      </w:r>
      <w:r>
        <w:t xml:space="preserve">, </w:t>
      </w:r>
      <w:r w:rsidRPr="00D851F9">
        <w:rPr>
          <w:i/>
        </w:rPr>
        <w:t xml:space="preserve">supra </w:t>
      </w:r>
      <w:r>
        <w:t>note 4</w:t>
      </w:r>
      <w:r w:rsidRPr="00D851F9">
        <w:t xml:space="preserve">, at 519; Strauss, </w:t>
      </w:r>
      <w:r w:rsidRPr="00D851F9">
        <w:rPr>
          <w:i/>
        </w:rPr>
        <w:t xml:space="preserve">supra </w:t>
      </w:r>
      <w:r>
        <w:t>note 23</w:t>
      </w:r>
      <w:r w:rsidRPr="00D851F9">
        <w:t xml:space="preserve">, at 329. </w:t>
      </w:r>
    </w:p>
  </w:footnote>
  <w:footnote w:id="101">
    <w:p w14:paraId="3524571D" w14:textId="3181F3EB"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Pr>
          <w:rFonts w:ascii="Times New Roman" w:hAnsi="Times New Roman"/>
          <w:sz w:val="20"/>
        </w:rPr>
        <w:t xml:space="preserve"> Mashaw, </w:t>
      </w:r>
      <w:r>
        <w:rPr>
          <w:rFonts w:ascii="Times New Roman" w:hAnsi="Times New Roman"/>
          <w:i/>
          <w:sz w:val="20"/>
        </w:rPr>
        <w:t>Beyond Facts and Norms</w:t>
      </w:r>
      <w:r>
        <w:rPr>
          <w:rFonts w:ascii="Times New Roman" w:hAnsi="Times New Roman"/>
          <w:sz w:val="20"/>
        </w:rPr>
        <w:t>,</w:t>
      </w:r>
      <w:r w:rsidRPr="00D851F9">
        <w:rPr>
          <w:rFonts w:ascii="Times New Roman" w:hAnsi="Times New Roman"/>
          <w:sz w:val="20"/>
        </w:rPr>
        <w:t xml:space="preserve">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4</w:t>
      </w:r>
      <w:r w:rsidRPr="00D851F9">
        <w:rPr>
          <w:rFonts w:ascii="Times New Roman" w:hAnsi="Times New Roman"/>
          <w:sz w:val="20"/>
        </w:rPr>
        <w:t xml:space="preserve">, at 503. </w:t>
      </w:r>
    </w:p>
  </w:footnote>
  <w:footnote w:id="102">
    <w:p w14:paraId="4E2ECFC5" w14:textId="77777777" w:rsidR="00CD3F94" w:rsidRPr="00523FD3"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p>
  </w:footnote>
  <w:footnote w:id="103">
    <w:p w14:paraId="74E5A968"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104">
    <w:p w14:paraId="29A0E9C0" w14:textId="382CDC0F" w:rsidR="00CD3F94" w:rsidRPr="00D851F9" w:rsidRDefault="00CD3F94" w:rsidP="0086288C">
      <w:pPr>
        <w:pStyle w:val="FootnoteText"/>
      </w:pPr>
      <w:r w:rsidRPr="00D851F9">
        <w:rPr>
          <w:rStyle w:val="FootnoteReference"/>
        </w:rPr>
        <w:footnoteRef/>
      </w:r>
      <w:r w:rsidRPr="00D851F9">
        <w:t xml:space="preserve"> Strauss, </w:t>
      </w:r>
      <w:r w:rsidRPr="00D851F9">
        <w:rPr>
          <w:i/>
        </w:rPr>
        <w:t>supra</w:t>
      </w:r>
      <w:r w:rsidRPr="00D851F9">
        <w:t xml:space="preserve"> no</w:t>
      </w:r>
      <w:r>
        <w:t>te 23</w:t>
      </w:r>
      <w:r w:rsidRPr="00D851F9">
        <w:t>, at 329.</w:t>
      </w:r>
    </w:p>
  </w:footnote>
  <w:footnote w:id="105">
    <w:p w14:paraId="1D34450B"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346-48.</w:t>
      </w:r>
    </w:p>
  </w:footnote>
  <w:footnote w:id="106">
    <w:p w14:paraId="794965C0"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347.</w:t>
      </w:r>
    </w:p>
  </w:footnote>
  <w:footnote w:id="107">
    <w:p w14:paraId="0FD15DC8"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349.</w:t>
      </w:r>
    </w:p>
  </w:footnote>
  <w:footnote w:id="108">
    <w:p w14:paraId="6E076BD7" w14:textId="0C394AB0" w:rsidR="00CD3F94" w:rsidRPr="00D851F9" w:rsidRDefault="00CD3F94" w:rsidP="0086288C">
      <w:pPr>
        <w:pStyle w:val="FootnoteText"/>
      </w:pPr>
      <w:r w:rsidRPr="00D851F9">
        <w:rPr>
          <w:rStyle w:val="FootnoteReference"/>
        </w:rPr>
        <w:footnoteRef/>
      </w:r>
      <w:r w:rsidRPr="00D851F9">
        <w:t xml:space="preserve"> Mashaw, </w:t>
      </w:r>
      <w:r>
        <w:rPr>
          <w:i/>
        </w:rPr>
        <w:t>Beyond Facts and Norms</w:t>
      </w:r>
      <w:r>
        <w:t xml:space="preserve">, </w:t>
      </w:r>
      <w:r w:rsidRPr="00D851F9">
        <w:rPr>
          <w:i/>
        </w:rPr>
        <w:t>supra</w:t>
      </w:r>
      <w:r w:rsidRPr="00D851F9">
        <w:t xml:space="preserve"> n</w:t>
      </w:r>
      <w:r>
        <w:t>ote 4</w:t>
      </w:r>
      <w:r w:rsidRPr="00D851F9">
        <w:t xml:space="preserve">, at 511 (discussing Strauss, </w:t>
      </w:r>
      <w:r w:rsidRPr="00D851F9">
        <w:rPr>
          <w:i/>
        </w:rPr>
        <w:t xml:space="preserve">supra </w:t>
      </w:r>
      <w:r w:rsidRPr="00D851F9">
        <w:t xml:space="preserve">note 16). </w:t>
      </w:r>
    </w:p>
  </w:footnote>
  <w:footnote w:id="109">
    <w:p w14:paraId="2DC0FB10" w14:textId="5DA42D5D" w:rsidR="00CD3F94" w:rsidRPr="00D851F9" w:rsidRDefault="00CD3F94" w:rsidP="0086288C">
      <w:pPr>
        <w:pStyle w:val="FootnoteText"/>
      </w:pPr>
      <w:r w:rsidRPr="00D851F9">
        <w:rPr>
          <w:rStyle w:val="FootnoteReference"/>
        </w:rPr>
        <w:footnoteRef/>
      </w:r>
      <w:r w:rsidRPr="00D851F9">
        <w:t xml:space="preserve"> Stack, </w:t>
      </w:r>
      <w:r w:rsidRPr="00D851F9">
        <w:rPr>
          <w:i/>
        </w:rPr>
        <w:t>supra</w:t>
      </w:r>
      <w:r w:rsidRPr="00D851F9">
        <w:t xml:space="preserve"> note at</w:t>
      </w:r>
      <w:r>
        <w:t xml:space="preserve"> 21</w:t>
      </w:r>
      <w:r w:rsidRPr="00D851F9">
        <w:t>, at 876.</w:t>
      </w:r>
    </w:p>
  </w:footnote>
  <w:footnote w:id="110">
    <w:p w14:paraId="5F6C5446" w14:textId="77777777" w:rsidR="00CD3F94" w:rsidRPr="003C08FA" w:rsidRDefault="00CD3F94" w:rsidP="0086288C">
      <w:pPr>
        <w:pStyle w:val="FootnoteText"/>
      </w:pPr>
      <w:r>
        <w:rPr>
          <w:rStyle w:val="FootnoteReference"/>
        </w:rPr>
        <w:footnoteRef/>
      </w:r>
      <w:r>
        <w:t xml:space="preserve"> </w:t>
      </w:r>
      <w:r>
        <w:rPr>
          <w:i/>
        </w:rPr>
        <w:t>Id.</w:t>
      </w:r>
      <w:r>
        <w:t xml:space="preserve"> at 875.</w:t>
      </w:r>
    </w:p>
  </w:footnote>
  <w:footnote w:id="111">
    <w:p w14:paraId="59E9FBDC"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871.</w:t>
      </w:r>
    </w:p>
  </w:footnote>
  <w:footnote w:id="112">
    <w:p w14:paraId="00701F7C"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 xml:space="preserve">Id. </w:t>
      </w:r>
      <w:r w:rsidRPr="00D851F9">
        <w:t xml:space="preserve">at 876. </w:t>
      </w:r>
    </w:p>
  </w:footnote>
  <w:footnote w:id="113">
    <w:p w14:paraId="6874957C" w14:textId="3C4640C1" w:rsidR="00CD3F94" w:rsidRPr="00695ABC" w:rsidRDefault="00CD3F94" w:rsidP="0086288C">
      <w:pPr>
        <w:pStyle w:val="FootnoteText"/>
      </w:pPr>
      <w:r>
        <w:rPr>
          <w:rStyle w:val="FootnoteReference"/>
        </w:rPr>
        <w:footnoteRef/>
      </w:r>
      <w:r>
        <w:t xml:space="preserve"> Saiger, </w:t>
      </w:r>
      <w:r>
        <w:rPr>
          <w:i/>
        </w:rPr>
        <w:t>supra</w:t>
      </w:r>
      <w:r>
        <w:t xml:space="preserve"> note 21, at 1232.</w:t>
      </w:r>
    </w:p>
  </w:footnote>
  <w:footnote w:id="114">
    <w:p w14:paraId="5B97B427" w14:textId="77777777" w:rsidR="00CD3F94" w:rsidRPr="00695ABC" w:rsidRDefault="00CD3F94" w:rsidP="0086288C">
      <w:pPr>
        <w:pStyle w:val="FootnoteText"/>
        <w:rPr>
          <w:i/>
        </w:rPr>
      </w:pPr>
      <w:r>
        <w:rPr>
          <w:rStyle w:val="FootnoteReference"/>
        </w:rPr>
        <w:footnoteRef/>
      </w:r>
      <w:r>
        <w:t xml:space="preserve"> </w:t>
      </w:r>
      <w:r>
        <w:rPr>
          <w:i/>
        </w:rPr>
        <w:t>Id.</w:t>
      </w:r>
    </w:p>
  </w:footnote>
  <w:footnote w:id="115">
    <w:p w14:paraId="65E71601" w14:textId="77777777" w:rsidR="00CD3F94" w:rsidRPr="003C08FA" w:rsidRDefault="00CD3F94" w:rsidP="0086288C">
      <w:pPr>
        <w:pStyle w:val="FootnoteText"/>
        <w:rPr>
          <w:i/>
        </w:rPr>
      </w:pPr>
      <w:r>
        <w:rPr>
          <w:rStyle w:val="FootnoteReference"/>
        </w:rPr>
        <w:footnoteRef/>
      </w:r>
      <w:r>
        <w:t xml:space="preserve"> </w:t>
      </w:r>
      <w:r>
        <w:rPr>
          <w:i/>
        </w:rPr>
        <w:t>Id.</w:t>
      </w:r>
    </w:p>
  </w:footnote>
  <w:footnote w:id="116">
    <w:p w14:paraId="6D441C65" w14:textId="417304AF"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w:t>
      </w:r>
      <w:r w:rsidRPr="00D851F9">
        <w:rPr>
          <w:rFonts w:ascii="Times New Roman" w:hAnsi="Times New Roman"/>
          <w:sz w:val="20"/>
        </w:rPr>
        <w:t xml:space="preserve"> Gluck &amp; Bressman, </w:t>
      </w:r>
      <w:r>
        <w:rPr>
          <w:rFonts w:ascii="Times New Roman" w:hAnsi="Times New Roman"/>
          <w:i/>
          <w:sz w:val="20"/>
        </w:rPr>
        <w:t>Part I</w:t>
      </w:r>
      <w:r>
        <w:rPr>
          <w:rFonts w:ascii="Times New Roman" w:hAnsi="Times New Roman"/>
          <w:sz w:val="20"/>
        </w:rPr>
        <w:t xml:space="preserve">,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6</w:t>
      </w:r>
      <w:r w:rsidRPr="00D851F9">
        <w:rPr>
          <w:rFonts w:ascii="Times New Roman" w:hAnsi="Times New Roman"/>
          <w:sz w:val="20"/>
        </w:rPr>
        <w:t xml:space="preserve">, at 905-06. The Gluck and Bressman study was preceded by a smaller study done by Victoria and Jane Schacter. </w:t>
      </w:r>
      <w:r w:rsidRPr="00D851F9">
        <w:rPr>
          <w:rFonts w:ascii="Times New Roman" w:hAnsi="Times New Roman"/>
          <w:i/>
          <w:sz w:val="20"/>
        </w:rPr>
        <w:t>See</w:t>
      </w:r>
      <w:r w:rsidRPr="00D851F9">
        <w:rPr>
          <w:rFonts w:ascii="Times New Roman" w:hAnsi="Times New Roman"/>
          <w:sz w:val="20"/>
        </w:rPr>
        <w:t xml:space="preserve"> Victoria Nourse &amp; Jane S. Schacter, </w:t>
      </w:r>
      <w:r w:rsidRPr="00D851F9">
        <w:rPr>
          <w:rFonts w:ascii="Times New Roman" w:hAnsi="Times New Roman"/>
          <w:i/>
          <w:sz w:val="20"/>
        </w:rPr>
        <w:t>The Politics of Legislative Drafting: A Congressional Case Study</w:t>
      </w:r>
      <w:r w:rsidRPr="00D851F9">
        <w:rPr>
          <w:rFonts w:ascii="Times New Roman" w:hAnsi="Times New Roman"/>
          <w:sz w:val="20"/>
        </w:rPr>
        <w:t xml:space="preserve">, 77 </w:t>
      </w:r>
      <w:r w:rsidRPr="00D851F9">
        <w:rPr>
          <w:rFonts w:ascii="Times New Roman" w:hAnsi="Times New Roman"/>
          <w:smallCaps/>
          <w:sz w:val="20"/>
        </w:rPr>
        <w:t>N.Y.U. L. Rev</w:t>
      </w:r>
      <w:r w:rsidRPr="00D851F9">
        <w:rPr>
          <w:rFonts w:ascii="Times New Roman" w:hAnsi="Times New Roman"/>
          <w:sz w:val="20"/>
        </w:rPr>
        <w:t>. 575 (2002).</w:t>
      </w:r>
    </w:p>
  </w:footnote>
  <w:footnote w:id="117">
    <w:p w14:paraId="69024E71" w14:textId="0E5CFF71"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Gluck &amp; Bressman,</w:t>
      </w:r>
      <w:r>
        <w:rPr>
          <w:rFonts w:ascii="Times New Roman" w:hAnsi="Times New Roman"/>
          <w:sz w:val="20"/>
        </w:rPr>
        <w:t xml:space="preserve"> </w:t>
      </w:r>
      <w:r>
        <w:rPr>
          <w:rFonts w:ascii="Times New Roman" w:hAnsi="Times New Roman"/>
          <w:i/>
          <w:sz w:val="20"/>
        </w:rPr>
        <w:t>Part I</w:t>
      </w:r>
      <w:r>
        <w:rPr>
          <w:rFonts w:ascii="Times New Roman" w:hAnsi="Times New Roman"/>
          <w:sz w:val="20"/>
        </w:rPr>
        <w:t>,</w:t>
      </w:r>
      <w:r w:rsidRPr="00D851F9">
        <w:rPr>
          <w:rFonts w:ascii="Times New Roman" w:hAnsi="Times New Roman"/>
          <w:sz w:val="20"/>
        </w:rPr>
        <w:t xml:space="preserve"> </w:t>
      </w:r>
      <w:r w:rsidRPr="00D851F9">
        <w:rPr>
          <w:rFonts w:ascii="Times New Roman" w:hAnsi="Times New Roman"/>
          <w:i/>
          <w:sz w:val="20"/>
        </w:rPr>
        <w:t>supra</w:t>
      </w:r>
      <w:r>
        <w:rPr>
          <w:rFonts w:ascii="Times New Roman" w:hAnsi="Times New Roman"/>
          <w:sz w:val="20"/>
        </w:rPr>
        <w:t xml:space="preserve"> note 6</w:t>
      </w:r>
      <w:r w:rsidRPr="00D851F9">
        <w:rPr>
          <w:rFonts w:ascii="Times New Roman" w:hAnsi="Times New Roman"/>
          <w:sz w:val="20"/>
        </w:rPr>
        <w:t>, at 905.</w:t>
      </w:r>
    </w:p>
  </w:footnote>
  <w:footnote w:id="118">
    <w:p w14:paraId="188839B8" w14:textId="77777777" w:rsidR="00CD3F94" w:rsidRPr="00D851F9" w:rsidRDefault="00CD3F94" w:rsidP="0086288C">
      <w:pPr>
        <w:pStyle w:val="FootnoteText"/>
        <w:rPr>
          <w:i/>
        </w:rPr>
      </w:pPr>
      <w:r w:rsidRPr="00D851F9">
        <w:rPr>
          <w:rStyle w:val="FootnoteReference"/>
        </w:rPr>
        <w:footnoteRef/>
      </w:r>
      <w:r w:rsidRPr="00D851F9">
        <w:t xml:space="preserve"> </w:t>
      </w:r>
      <w:r w:rsidRPr="00D851F9">
        <w:rPr>
          <w:i/>
        </w:rPr>
        <w:t>Id.</w:t>
      </w:r>
    </w:p>
  </w:footnote>
  <w:footnote w:id="119">
    <w:p w14:paraId="3D1AF43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r w:rsidRPr="00D851F9">
        <w:rPr>
          <w:rFonts w:ascii="Times New Roman" w:hAnsi="Times New Roman"/>
          <w:sz w:val="20"/>
        </w:rPr>
        <w:t>at 907.</w:t>
      </w:r>
    </w:p>
  </w:footnote>
  <w:footnote w:id="120">
    <w:p w14:paraId="4E1736BF"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933-34.</w:t>
      </w:r>
    </w:p>
  </w:footnote>
  <w:footnote w:id="121">
    <w:p w14:paraId="6B9C1EA4" w14:textId="0C631045"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Walker,</w:t>
      </w:r>
      <w:r>
        <w:rPr>
          <w:rFonts w:ascii="Times New Roman" w:hAnsi="Times New Roman"/>
          <w:sz w:val="20"/>
        </w:rPr>
        <w:t xml:space="preserve"> </w:t>
      </w:r>
      <w:r>
        <w:rPr>
          <w:rFonts w:ascii="Times New Roman" w:hAnsi="Times New Roman"/>
          <w:i/>
          <w:sz w:val="20"/>
        </w:rPr>
        <w:t>Inside Agency</w:t>
      </w:r>
      <w:r>
        <w:rPr>
          <w:rFonts w:ascii="Times New Roman" w:hAnsi="Times New Roman"/>
          <w:sz w:val="20"/>
        </w:rPr>
        <w:t>,</w:t>
      </w:r>
      <w:r w:rsidRPr="00D851F9">
        <w:rPr>
          <w:rFonts w:ascii="Times New Roman" w:hAnsi="Times New Roman"/>
          <w:sz w:val="20"/>
        </w:rPr>
        <w:t xml:space="preserve"> </w:t>
      </w:r>
      <w:r w:rsidRPr="00D851F9">
        <w:rPr>
          <w:rFonts w:ascii="Times New Roman" w:hAnsi="Times New Roman"/>
          <w:i/>
          <w:sz w:val="20"/>
        </w:rPr>
        <w:t xml:space="preserve">supra </w:t>
      </w:r>
      <w:r>
        <w:rPr>
          <w:rFonts w:ascii="Times New Roman" w:hAnsi="Times New Roman"/>
          <w:sz w:val="20"/>
        </w:rPr>
        <w:t>note 6</w:t>
      </w:r>
      <w:r w:rsidRPr="00D851F9">
        <w:rPr>
          <w:rFonts w:ascii="Times New Roman" w:hAnsi="Times New Roman"/>
          <w:sz w:val="20"/>
        </w:rPr>
        <w:t>, at 1000.</w:t>
      </w:r>
    </w:p>
  </w:footnote>
  <w:footnote w:id="122">
    <w:p w14:paraId="5F5070F0"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123">
    <w:p w14:paraId="2C098EA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1004.</w:t>
      </w:r>
    </w:p>
  </w:footnote>
  <w:footnote w:id="124">
    <w:p w14:paraId="05B2E3AE"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125">
    <w:p w14:paraId="3AD54E79"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 xml:space="preserve">Id. </w:t>
      </w:r>
      <w:r w:rsidRPr="00D851F9">
        <w:t xml:space="preserve">at 1028. </w:t>
      </w:r>
    </w:p>
  </w:footnote>
  <w:footnote w:id="126">
    <w:p w14:paraId="24303DA4" w14:textId="54B8A541" w:rsidR="00CD3F94" w:rsidRPr="00D851F9" w:rsidRDefault="00CD3F94" w:rsidP="0086288C">
      <w:pPr>
        <w:pStyle w:val="FootnoteText"/>
      </w:pPr>
      <w:r w:rsidRPr="00D851F9">
        <w:rPr>
          <w:rStyle w:val="FootnoteReference"/>
        </w:rPr>
        <w:footnoteRef/>
      </w:r>
      <w:r w:rsidRPr="00D851F9">
        <w:t xml:space="preserve"> Gluck and Bressman, for instance, found greater supporter for </w:t>
      </w:r>
      <w:r>
        <w:rPr>
          <w:i/>
        </w:rPr>
        <w:t>expressio</w:t>
      </w:r>
      <w:r w:rsidRPr="00D851F9">
        <w:rPr>
          <w:i/>
        </w:rPr>
        <w:t xml:space="preserve"> unius</w:t>
      </w:r>
      <w:r w:rsidRPr="00D851F9">
        <w:t xml:space="preserve">, but classified the rule against superfluities as a canon that was known but rejected. Gluck &amp; Bressman, </w:t>
      </w:r>
      <w:r>
        <w:rPr>
          <w:i/>
        </w:rPr>
        <w:t>Part I</w:t>
      </w:r>
      <w:r>
        <w:t xml:space="preserve">, </w:t>
      </w:r>
      <w:r w:rsidRPr="00D851F9">
        <w:rPr>
          <w:i/>
        </w:rPr>
        <w:t>supra</w:t>
      </w:r>
      <w:r w:rsidRPr="00D851F9">
        <w:t xml:space="preserve"> note</w:t>
      </w:r>
      <w:r>
        <w:t xml:space="preserve"> 6</w:t>
      </w:r>
      <w:r w:rsidRPr="00D851F9">
        <w:t>, at 932 &amp; fig.4, 933-36.</w:t>
      </w:r>
    </w:p>
  </w:footnote>
  <w:footnote w:id="127">
    <w:p w14:paraId="69B99391" w14:textId="2C4CC14D"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Walker, </w:t>
      </w:r>
      <w:r>
        <w:rPr>
          <w:rFonts w:ascii="Times New Roman" w:hAnsi="Times New Roman"/>
          <w:i/>
          <w:sz w:val="20"/>
        </w:rPr>
        <w:t>Inside Agency</w:t>
      </w:r>
      <w:r>
        <w:rPr>
          <w:rFonts w:ascii="Times New Roman" w:hAnsi="Times New Roman"/>
          <w:sz w:val="20"/>
        </w:rPr>
        <w:t xml:space="preserve">, </w:t>
      </w:r>
      <w:r w:rsidRPr="00D851F9">
        <w:rPr>
          <w:rFonts w:ascii="Times New Roman" w:hAnsi="Times New Roman"/>
          <w:i/>
          <w:sz w:val="20"/>
        </w:rPr>
        <w:t>supra</w:t>
      </w:r>
      <w:r>
        <w:rPr>
          <w:rFonts w:ascii="Times New Roman" w:hAnsi="Times New Roman"/>
          <w:sz w:val="20"/>
        </w:rPr>
        <w:t xml:space="preserve"> note 6,</w:t>
      </w:r>
      <w:r w:rsidRPr="00D851F9">
        <w:rPr>
          <w:rFonts w:ascii="Times New Roman" w:hAnsi="Times New Roman"/>
          <w:sz w:val="20"/>
        </w:rPr>
        <w:t xml:space="preserve"> at 1041.</w:t>
      </w:r>
    </w:p>
  </w:footnote>
  <w:footnote w:id="128">
    <w:p w14:paraId="0F5F1D76" w14:textId="57F67DDB" w:rsidR="00CD3F94" w:rsidRDefault="00CD3F94" w:rsidP="0086288C">
      <w:pPr>
        <w:pStyle w:val="FootnoteText"/>
      </w:pPr>
      <w:r>
        <w:rPr>
          <w:rStyle w:val="FootnoteReference"/>
        </w:rPr>
        <w:footnoteRef/>
      </w:r>
      <w:r>
        <w:t xml:space="preserve"> Walker, </w:t>
      </w:r>
      <w:r w:rsidRPr="005D2AD9">
        <w:rPr>
          <w:i/>
        </w:rPr>
        <w:t>Legislating</w:t>
      </w:r>
      <w:r>
        <w:t xml:space="preserve">, </w:t>
      </w:r>
      <w:r w:rsidRPr="00A41A5F">
        <w:rPr>
          <w:i/>
        </w:rPr>
        <w:t>supra</w:t>
      </w:r>
      <w:r>
        <w:t xml:space="preserve"> note 6,, at 1377.</w:t>
      </w:r>
    </w:p>
  </w:footnote>
  <w:footnote w:id="129">
    <w:p w14:paraId="4EF9EE0A" w14:textId="77777777" w:rsidR="00CD3F94" w:rsidRPr="00523FD3" w:rsidRDefault="00CD3F94" w:rsidP="0086288C">
      <w:pPr>
        <w:pStyle w:val="FootnoteText"/>
      </w:pPr>
      <w:r>
        <w:rPr>
          <w:rStyle w:val="FootnoteReference"/>
        </w:rPr>
        <w:footnoteRef/>
      </w:r>
      <w:r>
        <w:t xml:space="preserve"> Jarrod Shobe, </w:t>
      </w:r>
      <w:r>
        <w:rPr>
          <w:i/>
        </w:rPr>
        <w:t>Agencies as Legislators: An Empirical Study of the Role of Agencies in the Legislative Process</w:t>
      </w:r>
      <w:r>
        <w:t xml:space="preserve">, 85 </w:t>
      </w:r>
      <w:r w:rsidRPr="00A41A5F">
        <w:rPr>
          <w:smallCaps/>
        </w:rPr>
        <w:t>Geo Wash. L. Rev.</w:t>
      </w:r>
      <w:r>
        <w:t xml:space="preserve"> (2017).</w:t>
      </w:r>
    </w:p>
  </w:footnote>
  <w:footnote w:id="130">
    <w:p w14:paraId="652DDBFC" w14:textId="77777777" w:rsidR="00CD3F94" w:rsidRPr="00C44CA5" w:rsidRDefault="00CD3F94" w:rsidP="0086288C">
      <w:pPr>
        <w:pStyle w:val="FootnoteText"/>
        <w:rPr>
          <w:i/>
        </w:rPr>
      </w:pPr>
      <w:r>
        <w:rPr>
          <w:rStyle w:val="FootnoteReference"/>
        </w:rPr>
        <w:footnoteRef/>
      </w:r>
      <w:r>
        <w:t xml:space="preserve"> </w:t>
      </w:r>
      <w:r>
        <w:rPr>
          <w:i/>
        </w:rPr>
        <w:t>Id.</w:t>
      </w:r>
    </w:p>
  </w:footnote>
  <w:footnote w:id="131">
    <w:p w14:paraId="2B5D3108" w14:textId="77777777" w:rsidR="00CD3F94" w:rsidRPr="00AA4D70" w:rsidRDefault="00CD3F94" w:rsidP="0086288C">
      <w:pPr>
        <w:pStyle w:val="FootnoteText"/>
      </w:pPr>
      <w:r>
        <w:rPr>
          <w:rStyle w:val="FootnoteReference"/>
        </w:rPr>
        <w:footnoteRef/>
      </w:r>
      <w:r>
        <w:t xml:space="preserve"> </w:t>
      </w:r>
      <w:r>
        <w:rPr>
          <w:i/>
        </w:rPr>
        <w:t>Id.</w:t>
      </w:r>
      <w:r>
        <w:t xml:space="preserve"> at 455. </w:t>
      </w:r>
    </w:p>
  </w:footnote>
  <w:footnote w:id="132">
    <w:p w14:paraId="312EDB9F" w14:textId="77777777" w:rsidR="00CD3F94" w:rsidRPr="00AA4D70" w:rsidRDefault="00CD3F94" w:rsidP="0086288C">
      <w:pPr>
        <w:pStyle w:val="FootnoteText"/>
      </w:pPr>
      <w:r>
        <w:rPr>
          <w:rStyle w:val="FootnoteReference"/>
        </w:rPr>
        <w:footnoteRef/>
      </w:r>
      <w:r>
        <w:t xml:space="preserve"> </w:t>
      </w:r>
      <w:r>
        <w:rPr>
          <w:i/>
        </w:rPr>
        <w:t>Id.</w:t>
      </w:r>
      <w:r>
        <w:t xml:space="preserve"> at 452.</w:t>
      </w:r>
    </w:p>
  </w:footnote>
  <w:footnote w:id="133">
    <w:p w14:paraId="6DAC22D3"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w:t>
      </w:r>
      <w:r w:rsidRPr="00D851F9">
        <w:rPr>
          <w:rFonts w:ascii="Times New Roman" w:hAnsi="Times New Roman"/>
          <w:sz w:val="20"/>
        </w:rPr>
        <w:t xml:space="preserve"> National Labor Relations (Wagner) Act, Pub. L. No. 74-198, 49 Stat. 449 § 3 (1935) (codified as amended at 29 U.S.C. §§ 151-69 (2006)). </w:t>
      </w:r>
    </w:p>
  </w:footnote>
  <w:footnote w:id="134">
    <w:p w14:paraId="7FC0DE1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49 </w:t>
      </w:r>
      <w:r w:rsidRPr="00A41A5F">
        <w:rPr>
          <w:rFonts w:ascii="Times New Roman" w:hAnsi="Times New Roman"/>
          <w:sz w:val="20"/>
        </w:rPr>
        <w:t>Stat.</w:t>
      </w:r>
      <w:r w:rsidRPr="00D851F9">
        <w:rPr>
          <w:rFonts w:ascii="Times New Roman" w:hAnsi="Times New Roman"/>
          <w:sz w:val="20"/>
        </w:rPr>
        <w:t xml:space="preserve"> 449, Section 3 (codified as amended at 29 U.S.C. § 151); </w:t>
      </w:r>
      <w:r w:rsidRPr="00D851F9">
        <w:rPr>
          <w:rFonts w:ascii="Times New Roman" w:hAnsi="Times New Roman"/>
          <w:i/>
          <w:sz w:val="20"/>
        </w:rPr>
        <w:t>see also</w:t>
      </w:r>
      <w:r w:rsidRPr="00D851F9">
        <w:rPr>
          <w:rFonts w:ascii="Times New Roman" w:hAnsi="Times New Roman"/>
          <w:sz w:val="20"/>
        </w:rPr>
        <w:t xml:space="preserve"> Irving Bernstein, </w:t>
      </w:r>
      <w:r w:rsidRPr="00D851F9">
        <w:rPr>
          <w:rFonts w:ascii="Times New Roman" w:hAnsi="Times New Roman"/>
          <w:smallCaps/>
          <w:sz w:val="20"/>
        </w:rPr>
        <w:t>The New Deal Collective Bargaining Policy</w:t>
      </w:r>
      <w:r w:rsidRPr="00D851F9">
        <w:rPr>
          <w:rFonts w:ascii="Times New Roman" w:hAnsi="Times New Roman"/>
          <w:sz w:val="20"/>
        </w:rPr>
        <w:t xml:space="preserve"> 90 (1950) (noting the two-fold purpose “to voice an economic philosophy and to lay a constitutional foundation for the Act”).</w:t>
      </w:r>
    </w:p>
  </w:footnote>
  <w:footnote w:id="135">
    <w:p w14:paraId="2515898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b/>
          <w:sz w:val="20"/>
        </w:rPr>
        <w:footnoteRef/>
      </w:r>
      <w:r w:rsidRPr="00D851F9">
        <w:rPr>
          <w:rStyle w:val="FootnoteReference"/>
          <w:rFonts w:ascii="Times New Roman" w:hAnsi="Times New Roman"/>
          <w:b/>
          <w:sz w:val="20"/>
        </w:rPr>
        <w:t xml:space="preserve"> </w:t>
      </w:r>
      <w:r w:rsidRPr="00D851F9">
        <w:rPr>
          <w:rFonts w:ascii="Times New Roman" w:hAnsi="Times New Roman"/>
          <w:sz w:val="20"/>
        </w:rPr>
        <w:t xml:space="preserve">Paul R. Verkuil, </w:t>
      </w:r>
      <w:r w:rsidRPr="00D851F9">
        <w:rPr>
          <w:rFonts w:ascii="Times New Roman" w:hAnsi="Times New Roman"/>
          <w:i/>
          <w:sz w:val="20"/>
        </w:rPr>
        <w:t>The Independence of Independent Agencies: The Purposes and Limits of Administrative Agencies</w:t>
      </w:r>
      <w:r w:rsidRPr="00D851F9">
        <w:rPr>
          <w:rFonts w:ascii="Times New Roman" w:hAnsi="Times New Roman"/>
          <w:sz w:val="20"/>
        </w:rPr>
        <w:t xml:space="preserve">, 1988 </w:t>
      </w:r>
      <w:r w:rsidRPr="00D851F9">
        <w:rPr>
          <w:rFonts w:ascii="Times New Roman" w:hAnsi="Times New Roman"/>
          <w:smallCaps/>
          <w:sz w:val="20"/>
        </w:rPr>
        <w:t>Duke L.J.</w:t>
      </w:r>
      <w:r w:rsidRPr="00D851F9">
        <w:rPr>
          <w:rFonts w:ascii="Times New Roman" w:hAnsi="Times New Roman"/>
          <w:sz w:val="20"/>
        </w:rPr>
        <w:t xml:space="preserve"> 257, 257 (noting that NLRB was one of many administrative agencies created during the New Deal era).</w:t>
      </w:r>
    </w:p>
  </w:footnote>
  <w:footnote w:id="136">
    <w:p w14:paraId="464AB4A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Michael J. Hayes, </w:t>
      </w:r>
      <w:r w:rsidRPr="00D851F9">
        <w:rPr>
          <w:rFonts w:ascii="Times New Roman" w:hAnsi="Times New Roman"/>
          <w:i/>
          <w:sz w:val="20"/>
        </w:rPr>
        <w:t>After ‘Hiding the Ball’ Is Over: How the NLRB Must Change Its Approach to Decision-Making</w:t>
      </w:r>
      <w:r w:rsidRPr="00D851F9">
        <w:rPr>
          <w:rFonts w:ascii="Times New Roman" w:hAnsi="Times New Roman"/>
          <w:sz w:val="20"/>
        </w:rPr>
        <w:t xml:space="preserve">, 33 </w:t>
      </w:r>
      <w:r w:rsidRPr="00D851F9">
        <w:rPr>
          <w:rFonts w:ascii="Times New Roman" w:hAnsi="Times New Roman"/>
          <w:smallCaps/>
          <w:sz w:val="20"/>
        </w:rPr>
        <w:t>Rutgers L.J</w:t>
      </w:r>
      <w:r w:rsidRPr="00D851F9">
        <w:rPr>
          <w:rFonts w:ascii="Times New Roman" w:hAnsi="Times New Roman"/>
          <w:sz w:val="20"/>
        </w:rPr>
        <w:t xml:space="preserve">. 523, 554 (2002) (“[I]n passing the [NLRA], Congress continued the process of diminishing the role of courts in the labor area by creating an </w:t>
      </w:r>
      <w:r w:rsidRPr="00D851F9">
        <w:rPr>
          <w:rFonts w:ascii="Times New Roman" w:hAnsi="Times New Roman"/>
          <w:i/>
          <w:sz w:val="20"/>
        </w:rPr>
        <w:t>alternative</w:t>
      </w:r>
      <w:r w:rsidRPr="00D851F9">
        <w:rPr>
          <w:rFonts w:ascii="Times New Roman" w:hAnsi="Times New Roman"/>
          <w:sz w:val="20"/>
        </w:rPr>
        <w:t xml:space="preserve"> to the courts…”); Ralph P. Winters, Jr. </w:t>
      </w:r>
      <w:r w:rsidRPr="00D851F9">
        <w:rPr>
          <w:rFonts w:ascii="Times New Roman" w:hAnsi="Times New Roman"/>
          <w:i/>
          <w:sz w:val="20"/>
        </w:rPr>
        <w:t>Judicial Review of Agency Decisions: The Labor Board and the Court</w:t>
      </w:r>
      <w:r w:rsidRPr="00D851F9">
        <w:rPr>
          <w:rFonts w:ascii="Times New Roman" w:hAnsi="Times New Roman"/>
          <w:sz w:val="20"/>
        </w:rPr>
        <w:t xml:space="preserve">, 1968 </w:t>
      </w:r>
      <w:r w:rsidRPr="00D851F9">
        <w:rPr>
          <w:rFonts w:ascii="Times New Roman" w:hAnsi="Times New Roman"/>
          <w:smallCaps/>
          <w:sz w:val="20"/>
        </w:rPr>
        <w:t>Sup. Ct. Rev</w:t>
      </w:r>
      <w:r w:rsidRPr="00D851F9">
        <w:rPr>
          <w:rFonts w:ascii="Times New Roman" w:hAnsi="Times New Roman"/>
          <w:sz w:val="20"/>
        </w:rPr>
        <w:t xml:space="preserve">. 53, 59 n.5 (“The creation of the Board, therefore, may fairly be viewed as the result of congressional dissatisfaction with judicial lawmaking in the area of labor law.”). </w:t>
      </w:r>
    </w:p>
  </w:footnote>
  <w:footnote w:id="137">
    <w:p w14:paraId="3B020B2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29 U.S.C.§ 153.</w:t>
      </w:r>
    </w:p>
  </w:footnote>
  <w:footnote w:id="138">
    <w:p w14:paraId="58724A0E"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w:t>
      </w:r>
      <w:r w:rsidRPr="00D851F9">
        <w:rPr>
          <w:rFonts w:ascii="Times New Roman" w:hAnsi="Times New Roman"/>
          <w:sz w:val="20"/>
        </w:rPr>
        <w:t>1 Nat’l Labor Relations Bd., Legislative History of the National Labor Relations Act of 1935, at 1428 (1949) (noting Senator Wagner stating “[f]or years lawyers and economists have pleaded for a dignified administrative tribunal detached from any particular administration that happens to be in power, and entitled to deal quasi-judicially with issues with which the courts have neither the time nor the special facilities to cope.”).</w:t>
      </w:r>
      <w:r w:rsidRPr="00D851F9">
        <w:rPr>
          <w:rFonts w:ascii="Times New Roman" w:hAnsi="Times New Roman"/>
          <w:i/>
          <w:sz w:val="20"/>
        </w:rPr>
        <w:t xml:space="preserve"> </w:t>
      </w:r>
    </w:p>
  </w:footnote>
  <w:footnote w:id="139">
    <w:p w14:paraId="338FDD18"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Judy Flynn, </w:t>
      </w:r>
      <w:r w:rsidRPr="00D851F9">
        <w:rPr>
          <w:rFonts w:ascii="Times New Roman" w:hAnsi="Times New Roman"/>
          <w:i/>
          <w:sz w:val="20"/>
        </w:rPr>
        <w:t>A Quiet Revolution at the Labor Board: The Transformation of the NLRB</w:t>
      </w:r>
      <w:r w:rsidRPr="00D851F9">
        <w:rPr>
          <w:rFonts w:ascii="Times New Roman" w:hAnsi="Times New Roman"/>
          <w:sz w:val="20"/>
        </w:rPr>
        <w:t xml:space="preserve">, </w:t>
      </w:r>
      <w:r w:rsidRPr="00D851F9">
        <w:rPr>
          <w:rFonts w:ascii="Times New Roman" w:hAnsi="Times New Roman"/>
          <w:i/>
          <w:sz w:val="20"/>
        </w:rPr>
        <w:t xml:space="preserve">1935-2000, </w:t>
      </w:r>
      <w:r w:rsidRPr="00D851F9">
        <w:rPr>
          <w:rFonts w:ascii="Times New Roman" w:hAnsi="Times New Roman"/>
          <w:sz w:val="20"/>
        </w:rPr>
        <w:t xml:space="preserve">61 </w:t>
      </w:r>
      <w:r w:rsidRPr="00D851F9">
        <w:rPr>
          <w:rFonts w:ascii="Times New Roman" w:hAnsi="Times New Roman"/>
          <w:smallCaps/>
          <w:sz w:val="20"/>
        </w:rPr>
        <w:t>Ohio St. L.J</w:t>
      </w:r>
      <w:r w:rsidRPr="00D851F9">
        <w:rPr>
          <w:rFonts w:ascii="Times New Roman" w:hAnsi="Times New Roman"/>
          <w:sz w:val="20"/>
        </w:rPr>
        <w:t>. 1361, 1363 (2000).</w:t>
      </w:r>
    </w:p>
  </w:footnote>
  <w:footnote w:id="140">
    <w:p w14:paraId="3121ABAD" w14:textId="77777777" w:rsidR="00CD3F94" w:rsidRPr="00297D38" w:rsidRDefault="00CD3F94" w:rsidP="0086288C">
      <w:pPr>
        <w:pStyle w:val="FootnoteText"/>
        <w:rPr>
          <w:i/>
        </w:rPr>
      </w:pPr>
      <w:r>
        <w:rPr>
          <w:rStyle w:val="FootnoteReference"/>
        </w:rPr>
        <w:footnoteRef/>
      </w:r>
      <w:r>
        <w:t xml:space="preserve"> </w:t>
      </w:r>
      <w:r>
        <w:rPr>
          <w:i/>
        </w:rPr>
        <w:t>Id.</w:t>
      </w:r>
    </w:p>
  </w:footnote>
  <w:footnote w:id="141">
    <w:p w14:paraId="73C3CA09" w14:textId="77777777" w:rsidR="00CD3F94" w:rsidRPr="006658C5" w:rsidRDefault="00CD3F94" w:rsidP="0086288C">
      <w:pPr>
        <w:rPr>
          <w:rFonts w:ascii="Times New Roman" w:hAnsi="Times New Roman"/>
          <w:sz w:val="20"/>
        </w:rPr>
      </w:pPr>
      <w:r w:rsidRPr="00D851F9">
        <w:rPr>
          <w:rStyle w:val="FootnoteReference"/>
          <w:rFonts w:ascii="Times New Roman" w:hAnsi="Times New Roman"/>
          <w:sz w:val="20"/>
        </w:rPr>
        <w:footnoteRef/>
      </w:r>
      <w:r>
        <w:rPr>
          <w:rFonts w:ascii="Times New Roman" w:hAnsi="Times New Roman"/>
          <w:sz w:val="20"/>
        </w:rPr>
        <w:t xml:space="preserve"> </w:t>
      </w:r>
      <w:r w:rsidRPr="006658C5">
        <w:rPr>
          <w:rFonts w:ascii="Times New Roman" w:hAnsi="Times New Roman"/>
          <w:smallCaps/>
          <w:sz w:val="20"/>
        </w:rPr>
        <w:t>James A. Gross</w:t>
      </w:r>
      <w:r w:rsidRPr="006658C5">
        <w:rPr>
          <w:rFonts w:ascii="Times New Roman" w:hAnsi="Times New Roman"/>
          <w:sz w:val="20"/>
        </w:rPr>
        <w:t xml:space="preserve">, </w:t>
      </w:r>
      <w:r w:rsidRPr="006658C5">
        <w:rPr>
          <w:rFonts w:ascii="Times New Roman" w:hAnsi="Times New Roman"/>
          <w:smallCaps/>
          <w:sz w:val="20"/>
        </w:rPr>
        <w:t>The Making of the National Labor Relations Board: A Study in Economics, Policy, and the Law</w:t>
      </w:r>
      <w:r w:rsidRPr="006658C5">
        <w:rPr>
          <w:rFonts w:ascii="Times New Roman" w:hAnsi="Times New Roman"/>
          <w:sz w:val="20"/>
        </w:rPr>
        <w:t xml:space="preserve"> 150 (1974); </w:t>
      </w:r>
      <w:r w:rsidRPr="006658C5">
        <w:rPr>
          <w:rFonts w:ascii="Times New Roman" w:hAnsi="Times New Roman"/>
          <w:smallCaps/>
          <w:sz w:val="20"/>
        </w:rPr>
        <w:t>James A. Gross</w:t>
      </w:r>
      <w:r w:rsidRPr="006658C5">
        <w:rPr>
          <w:rFonts w:ascii="Times New Roman" w:hAnsi="Times New Roman"/>
          <w:sz w:val="20"/>
        </w:rPr>
        <w:t xml:space="preserve">, </w:t>
      </w:r>
      <w:r w:rsidRPr="006658C5">
        <w:rPr>
          <w:rFonts w:ascii="Times New Roman" w:hAnsi="Times New Roman"/>
          <w:smallCaps/>
          <w:sz w:val="20"/>
        </w:rPr>
        <w:t>The Reshaping of the National Labor Relations Board: National Labor Policy in Transition 1937-1947 226 (1981</w:t>
      </w:r>
      <w:r w:rsidRPr="006658C5">
        <w:rPr>
          <w:smallCaps/>
          <w:sz w:val="20"/>
        </w:rPr>
        <w:t>).</w:t>
      </w:r>
      <w:r w:rsidRPr="006658C5">
        <w:rPr>
          <w:rFonts w:ascii="Times New Roman" w:hAnsi="Times New Roman"/>
          <w:sz w:val="20"/>
        </w:rPr>
        <w:t xml:space="preserve"> </w:t>
      </w:r>
    </w:p>
  </w:footnote>
  <w:footnote w:id="142">
    <w:p w14:paraId="392AB255" w14:textId="77777777" w:rsidR="00CD3F94" w:rsidRPr="000E6D59" w:rsidRDefault="00CD3F94" w:rsidP="0086288C">
      <w:pPr>
        <w:pStyle w:val="FootnoteText"/>
        <w:rPr>
          <w:i/>
        </w:rPr>
      </w:pPr>
      <w:r>
        <w:rPr>
          <w:rStyle w:val="FootnoteReference"/>
        </w:rPr>
        <w:footnoteRef/>
      </w:r>
      <w:r>
        <w:t xml:space="preserve"> </w:t>
      </w:r>
      <w:r>
        <w:rPr>
          <w:i/>
        </w:rPr>
        <w:t>Id.</w:t>
      </w:r>
    </w:p>
  </w:footnote>
  <w:footnote w:id="143">
    <w:p w14:paraId="3608327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Samuel Estreicher, </w:t>
      </w:r>
      <w:r w:rsidRPr="00D851F9">
        <w:rPr>
          <w:rFonts w:ascii="Times New Roman" w:hAnsi="Times New Roman"/>
          <w:i/>
          <w:sz w:val="20"/>
        </w:rPr>
        <w:t>Policy Oscillations at the Labor Board: A Plea for Rulemaking</w:t>
      </w:r>
      <w:r w:rsidRPr="00D851F9">
        <w:rPr>
          <w:rFonts w:ascii="Times New Roman" w:hAnsi="Times New Roman"/>
          <w:sz w:val="20"/>
        </w:rPr>
        <w:t xml:space="preserve">, 37 </w:t>
      </w:r>
      <w:r w:rsidRPr="00D851F9">
        <w:rPr>
          <w:rFonts w:ascii="Times New Roman" w:hAnsi="Times New Roman"/>
          <w:smallCaps/>
          <w:sz w:val="20"/>
        </w:rPr>
        <w:t>Admin. L. Rev</w:t>
      </w:r>
      <w:r w:rsidRPr="00D851F9">
        <w:rPr>
          <w:rFonts w:ascii="Times New Roman" w:hAnsi="Times New Roman"/>
          <w:sz w:val="20"/>
        </w:rPr>
        <w:t xml:space="preserve">. 163, 167 (1985). </w:t>
      </w:r>
    </w:p>
  </w:footnote>
  <w:footnote w:id="144">
    <w:p w14:paraId="73857D16" w14:textId="0076DD0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For instance, legislators thought that expanding the term to five years would prevent Board members “from being subject to immediate political reactions at elections.” Flynn, </w:t>
      </w:r>
      <w:r w:rsidRPr="00D851F9">
        <w:rPr>
          <w:rFonts w:ascii="Times New Roman" w:hAnsi="Times New Roman"/>
          <w:i/>
          <w:sz w:val="20"/>
        </w:rPr>
        <w:t>supra</w:t>
      </w:r>
      <w:r>
        <w:rPr>
          <w:rFonts w:ascii="Times New Roman" w:hAnsi="Times New Roman"/>
          <w:sz w:val="20"/>
        </w:rPr>
        <w:t xml:space="preserve"> note 138</w:t>
      </w:r>
      <w:r w:rsidRPr="00D851F9">
        <w:rPr>
          <w:rFonts w:ascii="Times New Roman" w:hAnsi="Times New Roman"/>
          <w:sz w:val="20"/>
        </w:rPr>
        <w:t>, at 1363.</w:t>
      </w:r>
    </w:p>
  </w:footnote>
  <w:footnote w:id="145">
    <w:p w14:paraId="631C9E1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Labor Management Relations (Taft-Hartley) Act, Pub. L. No. 80-101, 61 Stat. 136 (1947) (codified at 29 U.S.C. §§ 141-44.  </w:t>
      </w:r>
    </w:p>
  </w:footnote>
  <w:footnote w:id="146">
    <w:p w14:paraId="5BEAB8BE" w14:textId="647C2B34" w:rsidR="00CD3F94" w:rsidRPr="00D851F9" w:rsidRDefault="00CD3F94" w:rsidP="0086288C">
      <w:pPr>
        <w:pStyle w:val="FootnoteText"/>
      </w:pPr>
      <w:r w:rsidRPr="00D851F9">
        <w:rPr>
          <w:rStyle w:val="FootnoteReference"/>
        </w:rPr>
        <w:footnoteRef/>
      </w:r>
      <w:r w:rsidRPr="00D851F9">
        <w:t xml:space="preserve"> Fisk &amp; Malamud, </w:t>
      </w:r>
      <w:r w:rsidRPr="00D851F9">
        <w:rPr>
          <w:i/>
        </w:rPr>
        <w:t>supra</w:t>
      </w:r>
      <w:r>
        <w:t xml:space="preserve"> note 24</w:t>
      </w:r>
      <w:r w:rsidRPr="00D851F9">
        <w:t>, at 2036.</w:t>
      </w:r>
    </w:p>
  </w:footnote>
  <w:footnote w:id="147">
    <w:p w14:paraId="56BE34AD"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2034. </w:t>
      </w:r>
    </w:p>
  </w:footnote>
  <w:footnote w:id="148">
    <w:p w14:paraId="59F7C104"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2034; William N. Eskridge, Jr. and John Ferejohn, </w:t>
      </w:r>
      <w:r w:rsidRPr="00D851F9">
        <w:rPr>
          <w:i/>
        </w:rPr>
        <w:t>Super-Statutes</w:t>
      </w:r>
      <w:r w:rsidRPr="00D851F9">
        <w:t xml:space="preserve">, 50 </w:t>
      </w:r>
      <w:r w:rsidRPr="00D851F9">
        <w:rPr>
          <w:smallCaps/>
        </w:rPr>
        <w:t>Duke L. J</w:t>
      </w:r>
      <w:r w:rsidRPr="00D851F9">
        <w:t>. 1215, 1217 (2001) (using the NLRB as an example of a super-statute).</w:t>
      </w:r>
    </w:p>
  </w:footnote>
  <w:footnote w:id="149">
    <w:p w14:paraId="10B48D13" w14:textId="28C72866" w:rsidR="00CD3F94" w:rsidRPr="00D851F9" w:rsidRDefault="00CD3F94" w:rsidP="0086288C">
      <w:pPr>
        <w:pStyle w:val="FootnoteText"/>
      </w:pPr>
      <w:r w:rsidRPr="00D851F9">
        <w:rPr>
          <w:rStyle w:val="FootnoteReference"/>
        </w:rPr>
        <w:footnoteRef/>
      </w:r>
      <w:r w:rsidRPr="00D851F9">
        <w:t xml:space="preserve"> Fisk &amp; Malamud, </w:t>
      </w:r>
      <w:r w:rsidRPr="00D851F9">
        <w:rPr>
          <w:i/>
        </w:rPr>
        <w:t>supra</w:t>
      </w:r>
      <w:r>
        <w:t xml:space="preserve"> note 24</w:t>
      </w:r>
      <w:r w:rsidRPr="00D851F9">
        <w:t xml:space="preserve">, at 2034; </w:t>
      </w:r>
      <w:r w:rsidRPr="00D851F9">
        <w:rPr>
          <w:i/>
        </w:rPr>
        <w:t>see also</w:t>
      </w:r>
      <w:r w:rsidRPr="00D851F9">
        <w:t xml:space="preserve"> Nelson Lichtenstein, </w:t>
      </w:r>
      <w:r w:rsidRPr="00D851F9">
        <w:rPr>
          <w:i/>
        </w:rPr>
        <w:t>Politicized Unions and the New Deal Model: Labor, Business and Taft-Hartley</w:t>
      </w:r>
      <w:r w:rsidRPr="00D851F9">
        <w:t xml:space="preserve">, in </w:t>
      </w:r>
      <w:r w:rsidRPr="00D851F9">
        <w:rPr>
          <w:smallCaps/>
        </w:rPr>
        <w:t>The New Deal and the Triumph of Liberalism</w:t>
      </w:r>
      <w:r w:rsidRPr="00D851F9">
        <w:rPr>
          <w:i/>
        </w:rPr>
        <w:t xml:space="preserve"> </w:t>
      </w:r>
      <w:r w:rsidRPr="00D851F9">
        <w:t xml:space="preserve">135, 138 (Sidney M. Milkis &amp; Jerone M. Mileur, eds. 2002); Cynthia Estlund, </w:t>
      </w:r>
      <w:r w:rsidRPr="00D851F9">
        <w:rPr>
          <w:i/>
        </w:rPr>
        <w:t xml:space="preserve">The Ossification of American Labor </w:t>
      </w:r>
      <w:r w:rsidRPr="00D851F9">
        <w:t xml:space="preserve">Law, 102 </w:t>
      </w:r>
      <w:r w:rsidRPr="00D851F9">
        <w:rPr>
          <w:smallCaps/>
        </w:rPr>
        <w:t>Colum. L. Rev</w:t>
      </w:r>
      <w:r w:rsidRPr="00D851F9">
        <w:t xml:space="preserve">. 1527, 1533-35 (2002) (noting that Taft-Hartley set back the labor movement and arguing that the Taft-Hartley amendments work “largely by addition, not subtractions; they left the core provisions of the original New Deal text—and in particular the existing employer unfair labor practices—essentially intact.”); </w:t>
      </w:r>
      <w:r w:rsidRPr="00D851F9">
        <w:rPr>
          <w:i/>
        </w:rPr>
        <w:t>cf</w:t>
      </w:r>
      <w:r w:rsidRPr="00D851F9">
        <w:t xml:space="preserve"> Archibald Cox, </w:t>
      </w:r>
      <w:r w:rsidRPr="00D851F9">
        <w:rPr>
          <w:i/>
        </w:rPr>
        <w:t>Some Aspects of the Labor Management Relations Act</w:t>
      </w:r>
      <w:r w:rsidRPr="00D851F9">
        <w:t xml:space="preserve">, 1947, 61 </w:t>
      </w:r>
      <w:r w:rsidRPr="00D851F9">
        <w:rPr>
          <w:smallCaps/>
        </w:rPr>
        <w:t xml:space="preserve">Harvard L. Rev. </w:t>
      </w:r>
      <w:r w:rsidRPr="00D851F9">
        <w:t xml:space="preserve">274, 274 (1961) (arguing that Taft-Hartley “appears to reject the policy of encouraging the spread of collective bargaining, [and] accepts the institution where it already exists.”). </w:t>
      </w:r>
    </w:p>
  </w:footnote>
  <w:footnote w:id="150">
    <w:p w14:paraId="7994C47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A41A5F">
        <w:rPr>
          <w:rFonts w:ascii="Times New Roman" w:hAnsi="Times New Roman"/>
          <w:smallCaps/>
          <w:sz w:val="20"/>
        </w:rPr>
        <w:t>Labor Management Relations Act of 1947</w:t>
      </w:r>
      <w:r>
        <w:rPr>
          <w:rFonts w:ascii="Times New Roman" w:hAnsi="Times New Roman"/>
          <w:sz w:val="20"/>
        </w:rPr>
        <w:t>, ch.</w:t>
      </w:r>
      <w:r w:rsidRPr="00D851F9">
        <w:rPr>
          <w:rFonts w:ascii="Times New Roman" w:hAnsi="Times New Roman"/>
          <w:sz w:val="20"/>
        </w:rPr>
        <w:t>120, 61 Stat. 136 (1947) (codified a</w:t>
      </w:r>
      <w:r>
        <w:rPr>
          <w:rFonts w:ascii="Times New Roman" w:hAnsi="Times New Roman"/>
          <w:sz w:val="20"/>
        </w:rPr>
        <w:t xml:space="preserve">t 29 U.S.C. sections 141-187). </w:t>
      </w:r>
      <w:r w:rsidRPr="00D851F9">
        <w:rPr>
          <w:rFonts w:ascii="Times New Roman" w:hAnsi="Times New Roman"/>
          <w:sz w:val="20"/>
        </w:rPr>
        <w:t>Taft-Hartley states the following concerning its purpose. “Experience has further demonstrated that certain practices by some labor organizations, their officers and members have the intent or the necessary effect of burdening or obstructing commerce by preventing the free flow of goods in such commerce through strikes and other forms of industrial unrest or through concerted activities which impair the interest of the public in the free flow of such commerce. The elimination of such practices is a necessary condition to the assurance of the rights herein guaranteed.”). Unlike other agencies, the Board has an independent General Counsel, who is appointed by the President, and who is separate from the Board, with adjudicatory and prosecutor functions being divided.</w:t>
      </w:r>
    </w:p>
  </w:footnote>
  <w:footnote w:id="151">
    <w:p w14:paraId="5B426D76"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Pr>
          <w:rFonts w:ascii="Times New Roman" w:hAnsi="Times New Roman"/>
          <w:sz w:val="20"/>
        </w:rPr>
        <w:t xml:space="preserve"> 29 U.S.C. § 153(a) (2006). </w:t>
      </w:r>
      <w:r w:rsidRPr="00D851F9">
        <w:rPr>
          <w:rFonts w:ascii="Times New Roman" w:hAnsi="Times New Roman"/>
          <w:sz w:val="20"/>
        </w:rPr>
        <w:t xml:space="preserve">The Taft-Hartley Act of 1947 expanded the Board from three to five members. </w:t>
      </w:r>
      <w:r>
        <w:rPr>
          <w:rFonts w:ascii="Times New Roman" w:hAnsi="Times New Roman"/>
          <w:i/>
          <w:sz w:val="20"/>
        </w:rPr>
        <w:t>I</w:t>
      </w:r>
      <w:r w:rsidRPr="00D851F9">
        <w:rPr>
          <w:rFonts w:ascii="Times New Roman" w:hAnsi="Times New Roman"/>
          <w:i/>
          <w:sz w:val="20"/>
        </w:rPr>
        <w:t>d.</w:t>
      </w:r>
    </w:p>
  </w:footnote>
  <w:footnote w:id="152">
    <w:p w14:paraId="1E6E2C80" w14:textId="0562AFFD"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Flynn, </w:t>
      </w:r>
      <w:r w:rsidRPr="00D851F9">
        <w:rPr>
          <w:rFonts w:ascii="Times New Roman" w:hAnsi="Times New Roman"/>
          <w:i/>
          <w:sz w:val="20"/>
        </w:rPr>
        <w:t>supra</w:t>
      </w:r>
      <w:r>
        <w:rPr>
          <w:rFonts w:ascii="Times New Roman" w:hAnsi="Times New Roman"/>
          <w:sz w:val="20"/>
        </w:rPr>
        <w:t xml:space="preserve"> note 138</w:t>
      </w:r>
      <w:r w:rsidRPr="00D851F9">
        <w:rPr>
          <w:rFonts w:ascii="Times New Roman" w:hAnsi="Times New Roman"/>
          <w:sz w:val="20"/>
        </w:rPr>
        <w:t>, at 1364-65.</w:t>
      </w:r>
    </w:p>
  </w:footnote>
  <w:footnote w:id="153">
    <w:p w14:paraId="03ADDBCF" w14:textId="7A0545C2"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Estreicher, </w:t>
      </w:r>
      <w:r w:rsidRPr="00D851F9">
        <w:rPr>
          <w:rFonts w:ascii="Times New Roman" w:hAnsi="Times New Roman"/>
          <w:i/>
          <w:sz w:val="20"/>
        </w:rPr>
        <w:t>supra</w:t>
      </w:r>
      <w:r>
        <w:rPr>
          <w:rFonts w:ascii="Times New Roman" w:hAnsi="Times New Roman"/>
          <w:sz w:val="20"/>
        </w:rPr>
        <w:t xml:space="preserve"> note 142</w:t>
      </w:r>
      <w:r w:rsidRPr="00D851F9">
        <w:rPr>
          <w:rFonts w:ascii="Times New Roman" w:hAnsi="Times New Roman"/>
          <w:sz w:val="20"/>
        </w:rPr>
        <w:t>, at 175 (noting that the Board uses adjudication to make policy as opposed to rulemaking);</w:t>
      </w:r>
      <w:r w:rsidRPr="00C44CA5">
        <w:rPr>
          <w:rFonts w:ascii="Times New Roman" w:hAnsi="Times New Roman"/>
          <w:sz w:val="20"/>
        </w:rPr>
        <w:t xml:space="preserve"> </w:t>
      </w:r>
      <w:r w:rsidRPr="00D851F9">
        <w:rPr>
          <w:rFonts w:ascii="Times New Roman" w:hAnsi="Times New Roman"/>
          <w:sz w:val="20"/>
        </w:rPr>
        <w:t xml:space="preserve">Judy Flynn, </w:t>
      </w:r>
      <w:r w:rsidRPr="00D851F9">
        <w:rPr>
          <w:rFonts w:ascii="Times New Roman" w:hAnsi="Times New Roman"/>
          <w:i/>
          <w:sz w:val="20"/>
        </w:rPr>
        <w:t>Costs and Benefits of ‘Hiding the Ball’: NLRB Policymaking and the Failure of Judicial Review</w:t>
      </w:r>
      <w:r w:rsidRPr="00D851F9">
        <w:rPr>
          <w:rFonts w:ascii="Times New Roman" w:hAnsi="Times New Roman"/>
          <w:sz w:val="20"/>
        </w:rPr>
        <w:t xml:space="preserve">, 75 </w:t>
      </w:r>
      <w:r w:rsidRPr="00A41A5F">
        <w:rPr>
          <w:rFonts w:ascii="Times New Roman" w:hAnsi="Times New Roman"/>
          <w:smallCaps/>
          <w:sz w:val="20"/>
        </w:rPr>
        <w:t>B</w:t>
      </w:r>
      <w:r>
        <w:rPr>
          <w:rFonts w:ascii="Times New Roman" w:hAnsi="Times New Roman"/>
          <w:smallCaps/>
          <w:sz w:val="20"/>
        </w:rPr>
        <w:t>.</w:t>
      </w:r>
      <w:r w:rsidRPr="00A41A5F">
        <w:rPr>
          <w:rFonts w:ascii="Times New Roman" w:hAnsi="Times New Roman"/>
          <w:smallCaps/>
          <w:sz w:val="20"/>
        </w:rPr>
        <w:t>U</w:t>
      </w:r>
      <w:r>
        <w:rPr>
          <w:rFonts w:ascii="Times New Roman" w:hAnsi="Times New Roman"/>
          <w:smallCaps/>
          <w:sz w:val="20"/>
        </w:rPr>
        <w:t>.</w:t>
      </w:r>
      <w:r w:rsidRPr="00A41A5F">
        <w:rPr>
          <w:rFonts w:ascii="Times New Roman" w:hAnsi="Times New Roman"/>
          <w:smallCaps/>
          <w:sz w:val="20"/>
        </w:rPr>
        <w:t xml:space="preserve"> L. Rev</w:t>
      </w:r>
      <w:r w:rsidRPr="00D851F9">
        <w:rPr>
          <w:rFonts w:ascii="Times New Roman" w:hAnsi="Times New Roman"/>
          <w:sz w:val="20"/>
        </w:rPr>
        <w:t xml:space="preserve">. 387, 421 (1995), at 470 n.21 (same). NLRB has faced criticism of its failure to use rulemaking, with critics contending that an adjudicatory approach results in the Board frequently changing policies. </w:t>
      </w:r>
      <w:r>
        <w:rPr>
          <w:rFonts w:ascii="Times New Roman" w:hAnsi="Times New Roman"/>
          <w:i/>
          <w:sz w:val="20"/>
        </w:rPr>
        <w:t>I</w:t>
      </w:r>
      <w:r w:rsidRPr="00D851F9">
        <w:rPr>
          <w:rFonts w:ascii="Times New Roman" w:hAnsi="Times New Roman"/>
          <w:i/>
          <w:sz w:val="20"/>
        </w:rPr>
        <w:t>d.</w:t>
      </w:r>
    </w:p>
  </w:footnote>
  <w:footnote w:id="154">
    <w:p w14:paraId="3FD6353E"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Claire Tuck, Note: Policy Formulation at the NLRB: A Viable Alternative to Notice and Comment Rulemaking, 27 </w:t>
      </w:r>
      <w:r w:rsidRPr="00D851F9">
        <w:rPr>
          <w:rFonts w:ascii="Times New Roman" w:hAnsi="Times New Roman"/>
          <w:smallCaps/>
          <w:sz w:val="20"/>
        </w:rPr>
        <w:t>Cardozo L. Rev</w:t>
      </w:r>
      <w:r w:rsidRPr="00D851F9">
        <w:rPr>
          <w:rFonts w:ascii="Times New Roman" w:hAnsi="Times New Roman"/>
          <w:sz w:val="20"/>
        </w:rPr>
        <w:t xml:space="preserve">. 1117, 1137-38 n.162 (2005) (noting role of General Counsel); Robert A. Gorman &amp; Matthew W. Finkin, </w:t>
      </w:r>
      <w:r w:rsidRPr="00D851F9">
        <w:rPr>
          <w:rFonts w:ascii="Times New Roman" w:hAnsi="Times New Roman"/>
          <w:smallCaps/>
          <w:sz w:val="20"/>
        </w:rPr>
        <w:t>Basic Text on Labor Law: Unionization and Collective Bargaining</w:t>
      </w:r>
      <w:r w:rsidRPr="00D851F9">
        <w:rPr>
          <w:rFonts w:ascii="Times New Roman" w:hAnsi="Times New Roman"/>
          <w:sz w:val="20"/>
        </w:rPr>
        <w:t xml:space="preserve"> 11-12 (2d ed. 2004) (noting procedures).</w:t>
      </w:r>
    </w:p>
  </w:footnote>
  <w:footnote w:id="155">
    <w:p w14:paraId="17C56956"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Less than 1% of decisions ever reach the Board as most cases are resolved by a regional hearing officer on or before they are heard by ALJs, who are bound by Board precedent in issuing their decisions. </w:t>
      </w:r>
    </w:p>
  </w:footnote>
  <w:footnote w:id="156">
    <w:p w14:paraId="0B66CB9B" w14:textId="3F9B3B53"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w:t>
      </w:r>
      <w:r w:rsidRPr="00D851F9">
        <w:rPr>
          <w:rFonts w:ascii="Times New Roman" w:hAnsi="Times New Roman"/>
          <w:sz w:val="20"/>
        </w:rPr>
        <w:t xml:space="preserve"> Winter, </w:t>
      </w:r>
      <w:r w:rsidRPr="00D851F9">
        <w:rPr>
          <w:rFonts w:ascii="Times New Roman" w:hAnsi="Times New Roman"/>
          <w:i/>
          <w:sz w:val="20"/>
        </w:rPr>
        <w:t>supra</w:t>
      </w:r>
      <w:r>
        <w:rPr>
          <w:rFonts w:ascii="Times New Roman" w:hAnsi="Times New Roman"/>
          <w:sz w:val="20"/>
        </w:rPr>
        <w:t xml:space="preserve"> note 135</w:t>
      </w:r>
      <w:r w:rsidRPr="00D851F9">
        <w:rPr>
          <w:rFonts w:ascii="Times New Roman" w:hAnsi="Times New Roman"/>
          <w:sz w:val="20"/>
        </w:rPr>
        <w:t xml:space="preserve">, at 55. </w:t>
      </w:r>
    </w:p>
  </w:footnote>
  <w:footnote w:id="157">
    <w:p w14:paraId="019DB81A" w14:textId="469443D5"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Samuel Estreicher &amp; Richard L. Revesz, </w:t>
      </w:r>
      <w:r w:rsidRPr="00D851F9">
        <w:rPr>
          <w:rFonts w:ascii="Times New Roman" w:hAnsi="Times New Roman"/>
          <w:i/>
          <w:sz w:val="20"/>
        </w:rPr>
        <w:t>Nonacquiescence by Federal Administrative Agencies</w:t>
      </w:r>
      <w:r w:rsidRPr="00D851F9">
        <w:rPr>
          <w:rFonts w:ascii="Times New Roman" w:hAnsi="Times New Roman"/>
          <w:sz w:val="20"/>
        </w:rPr>
        <w:t xml:space="preserve">, 98 </w:t>
      </w:r>
      <w:r w:rsidRPr="00D851F9">
        <w:rPr>
          <w:rFonts w:ascii="Times New Roman" w:hAnsi="Times New Roman"/>
          <w:smallCaps/>
          <w:sz w:val="20"/>
        </w:rPr>
        <w:t>Yale L. J</w:t>
      </w:r>
      <w:r w:rsidRPr="00D851F9">
        <w:rPr>
          <w:rFonts w:ascii="Times New Roman" w:hAnsi="Times New Roman"/>
          <w:sz w:val="20"/>
        </w:rPr>
        <w:t xml:space="preserve">. 679, 681 (1989); Flynn, </w:t>
      </w:r>
      <w:r>
        <w:rPr>
          <w:rFonts w:ascii="Times New Roman" w:hAnsi="Times New Roman"/>
          <w:i/>
          <w:sz w:val="20"/>
        </w:rPr>
        <w:t xml:space="preserve">supra </w:t>
      </w:r>
      <w:r>
        <w:rPr>
          <w:rFonts w:ascii="Times New Roman" w:hAnsi="Times New Roman"/>
          <w:sz w:val="20"/>
        </w:rPr>
        <w:t xml:space="preserve">note 138, at </w:t>
      </w:r>
      <w:r w:rsidRPr="00D851F9">
        <w:rPr>
          <w:rFonts w:ascii="Times New Roman" w:hAnsi="Times New Roman"/>
          <w:sz w:val="20"/>
        </w:rPr>
        <w:t xml:space="preserve">421 (1995) (noting that the General Counsel does not look to circuit precedent in deciding whether or not to issue a complaint); Rebecca Hanner White, </w:t>
      </w:r>
      <w:r w:rsidRPr="00D851F9">
        <w:rPr>
          <w:rFonts w:ascii="Times New Roman" w:hAnsi="Times New Roman"/>
          <w:i/>
          <w:sz w:val="20"/>
        </w:rPr>
        <w:t>Time for a New Approach: Why the Judiciary Should Disregard the ‘Law of the Circuit’ When Confronting Nonacquiescence by the National Labor Relations Board</w:t>
      </w:r>
      <w:r w:rsidRPr="00D851F9">
        <w:rPr>
          <w:rFonts w:ascii="Times New Roman" w:hAnsi="Times New Roman"/>
          <w:sz w:val="20"/>
        </w:rPr>
        <w:t xml:space="preserve">, 69 </w:t>
      </w:r>
      <w:r w:rsidRPr="00A41A5F">
        <w:rPr>
          <w:rFonts w:ascii="Times New Roman" w:hAnsi="Times New Roman"/>
          <w:smallCaps/>
          <w:sz w:val="20"/>
        </w:rPr>
        <w:t>N.C. L. Rev</w:t>
      </w:r>
      <w:r w:rsidRPr="00D851F9">
        <w:rPr>
          <w:rFonts w:ascii="Times New Roman" w:hAnsi="Times New Roman"/>
          <w:sz w:val="20"/>
        </w:rPr>
        <w:t xml:space="preserve">. 639 (1991).  </w:t>
      </w:r>
    </w:p>
  </w:footnote>
  <w:footnote w:id="158">
    <w:p w14:paraId="1AAC792A" w14:textId="77777777" w:rsidR="00CD3F94" w:rsidRPr="00D851F9" w:rsidRDefault="00CD3F94" w:rsidP="0086288C">
      <w:pPr>
        <w:pStyle w:val="FootnoteText"/>
      </w:pPr>
      <w:r w:rsidRPr="00D851F9">
        <w:rPr>
          <w:rStyle w:val="FootnoteReference"/>
        </w:rPr>
        <w:footnoteRef/>
      </w:r>
      <w:r w:rsidRPr="00D851F9">
        <w:t xml:space="preserve"> Losing parties can seek judicial review of an adverse Board decision in the federal court where they petition for relief or seek enforcement of a Board order. 29 U.S.C. §160(e)-(f) (2012). The General Counsel can also seek enforcement of a Board order. </w:t>
      </w:r>
      <w:r w:rsidRPr="00D851F9">
        <w:rPr>
          <w:i/>
        </w:rPr>
        <w:t>Id.</w:t>
      </w:r>
      <w:r w:rsidRPr="00D851F9">
        <w:t xml:space="preserve"> Parties can file appeals “wherein such person resides or conducts business” or in the D.C. Circuit. </w:t>
      </w:r>
      <w:r w:rsidRPr="00D851F9">
        <w:rPr>
          <w:i/>
        </w:rPr>
        <w:t>Id.</w:t>
      </w:r>
      <w:r w:rsidRPr="00D851F9">
        <w:t xml:space="preserve"> § 160(f).</w:t>
      </w:r>
    </w:p>
  </w:footnote>
  <w:footnote w:id="159">
    <w:p w14:paraId="65B1112E" w14:textId="7A45DB3B" w:rsidR="00CD3F94" w:rsidRPr="00D851F9" w:rsidRDefault="00CD3F94" w:rsidP="0086288C">
      <w:pPr>
        <w:pStyle w:val="FootnoteText"/>
      </w:pPr>
      <w:r w:rsidRPr="00D851F9">
        <w:rPr>
          <w:rStyle w:val="FootnoteReference"/>
        </w:rPr>
        <w:footnoteRef/>
      </w:r>
      <w:r w:rsidRPr="00D851F9">
        <w:t xml:space="preserve"> Flynn, </w:t>
      </w:r>
      <w:r w:rsidRPr="00D851F9">
        <w:rPr>
          <w:i/>
        </w:rPr>
        <w:t>supra</w:t>
      </w:r>
      <w:r>
        <w:t xml:space="preserve"> note 152</w:t>
      </w:r>
      <w:r w:rsidRPr="00D851F9">
        <w:t>, at 426 n.165.</w:t>
      </w:r>
    </w:p>
  </w:footnote>
  <w:footnote w:id="160">
    <w:p w14:paraId="54ECFDA5" w14:textId="0B4611E1"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Estlund,</w:t>
      </w:r>
      <w:r w:rsidRPr="00D851F9">
        <w:rPr>
          <w:rFonts w:ascii="Times New Roman" w:hAnsi="Times New Roman"/>
          <w:i/>
          <w:sz w:val="20"/>
        </w:rPr>
        <w:t xml:space="preserve"> supra </w:t>
      </w:r>
      <w:r>
        <w:rPr>
          <w:rFonts w:ascii="Times New Roman" w:hAnsi="Times New Roman"/>
          <w:sz w:val="20"/>
        </w:rPr>
        <w:t>note 148</w:t>
      </w:r>
      <w:r w:rsidRPr="00D851F9">
        <w:rPr>
          <w:rFonts w:ascii="Times New Roman" w:hAnsi="Times New Roman"/>
          <w:sz w:val="20"/>
        </w:rPr>
        <w:t xml:space="preserve">, at 1530. The last major change was in 1959. </w:t>
      </w:r>
      <w:r w:rsidRPr="00D851F9">
        <w:rPr>
          <w:rFonts w:ascii="Times New Roman" w:hAnsi="Times New Roman"/>
          <w:i/>
          <w:sz w:val="20"/>
        </w:rPr>
        <w:t xml:space="preserve">See </w:t>
      </w:r>
      <w:r w:rsidRPr="00A41A5F">
        <w:rPr>
          <w:rFonts w:ascii="Times New Roman" w:hAnsi="Times New Roman"/>
          <w:smallCaps/>
          <w:sz w:val="20"/>
        </w:rPr>
        <w:t>Labor-Management Reporting &amp; Disclosure (Landrum-Griffin) Act,</w:t>
      </w:r>
      <w:r w:rsidRPr="00D851F9">
        <w:rPr>
          <w:rFonts w:ascii="Times New Roman" w:hAnsi="Times New Roman"/>
          <w:sz w:val="20"/>
        </w:rPr>
        <w:t xml:space="preserve"> Pub. L. No. 86-257, 73 Stat. 519 (1959) (codified at 29 U.S.C. §§ 401-503).</w:t>
      </w:r>
    </w:p>
  </w:footnote>
  <w:footnote w:id="161">
    <w:p w14:paraId="22CB82B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29 U.S.C. § 160.</w:t>
      </w:r>
    </w:p>
  </w:footnote>
  <w:footnote w:id="162">
    <w:p w14:paraId="7461EC1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29 U.S.C. § 159.</w:t>
      </w:r>
    </w:p>
  </w:footnote>
  <w:footnote w:id="163">
    <w:p w14:paraId="6BABDB44" w14:textId="37FEAA2C"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See, e.g.,</w:t>
      </w:r>
      <w:r w:rsidRPr="00D851F9">
        <w:rPr>
          <w:rFonts w:ascii="Times New Roman" w:hAnsi="Times New Roman"/>
          <w:sz w:val="20"/>
        </w:rPr>
        <w:t xml:space="preserve"> Fisk &amp; Malamud, </w:t>
      </w:r>
      <w:r w:rsidRPr="00D851F9">
        <w:rPr>
          <w:rFonts w:ascii="Times New Roman" w:hAnsi="Times New Roman"/>
          <w:i/>
          <w:sz w:val="20"/>
        </w:rPr>
        <w:t xml:space="preserve">supra </w:t>
      </w:r>
      <w:r>
        <w:rPr>
          <w:rFonts w:ascii="Times New Roman" w:hAnsi="Times New Roman"/>
          <w:sz w:val="20"/>
        </w:rPr>
        <w:t>note 24</w:t>
      </w:r>
      <w:r w:rsidRPr="00D851F9">
        <w:rPr>
          <w:rFonts w:ascii="Times New Roman" w:hAnsi="Times New Roman"/>
          <w:sz w:val="20"/>
        </w:rPr>
        <w:t xml:space="preserve">, at 2020 (noting that “[a]cross a range of doctrinal areas, it is apparent that Bush II labor policy made a decisive shift in favor of protecting managerial prerogatives and augmenting the ability of employers and employees to oppose unionization”); Ronald Turner, </w:t>
      </w:r>
      <w:r w:rsidRPr="00D851F9">
        <w:rPr>
          <w:rFonts w:ascii="Times New Roman" w:hAnsi="Times New Roman"/>
          <w:i/>
          <w:sz w:val="20"/>
        </w:rPr>
        <w:t>Ideological Voting on the National Labor Relations Board</w:t>
      </w:r>
      <w:r w:rsidRPr="00D851F9">
        <w:rPr>
          <w:rFonts w:ascii="Times New Roman" w:hAnsi="Times New Roman"/>
          <w:sz w:val="20"/>
        </w:rPr>
        <w:t xml:space="preserve">, 8 </w:t>
      </w:r>
      <w:r w:rsidRPr="00D851F9">
        <w:rPr>
          <w:rFonts w:ascii="Times New Roman" w:hAnsi="Times New Roman"/>
          <w:smallCaps/>
          <w:sz w:val="20"/>
        </w:rPr>
        <w:t>U. Pa. Lab. &amp; Emp. L.</w:t>
      </w:r>
      <w:r w:rsidRPr="00D851F9">
        <w:rPr>
          <w:rFonts w:ascii="Times New Roman" w:hAnsi="Times New Roman"/>
          <w:sz w:val="20"/>
        </w:rPr>
        <w:t xml:space="preserve"> 707, 712 (2006) (noting the predictive value of ideology in votes at the Board); Flynn, </w:t>
      </w:r>
      <w:r w:rsidRPr="00D851F9">
        <w:rPr>
          <w:rFonts w:ascii="Times New Roman" w:hAnsi="Times New Roman"/>
          <w:i/>
          <w:sz w:val="20"/>
        </w:rPr>
        <w:t>supra</w:t>
      </w:r>
      <w:r>
        <w:rPr>
          <w:rFonts w:ascii="Times New Roman" w:hAnsi="Times New Roman"/>
          <w:sz w:val="20"/>
        </w:rPr>
        <w:t xml:space="preserve"> note  138</w:t>
      </w:r>
      <w:r w:rsidRPr="00D851F9">
        <w:rPr>
          <w:rFonts w:ascii="Times New Roman" w:hAnsi="Times New Roman"/>
          <w:sz w:val="20"/>
        </w:rPr>
        <w:t xml:space="preserve">, at 1411 (noting the partisan-based voting patterns); William N. Cooke &amp; Frederick H. Gautschi III, </w:t>
      </w:r>
      <w:r w:rsidRPr="00D851F9">
        <w:rPr>
          <w:rFonts w:ascii="Times New Roman" w:hAnsi="Times New Roman"/>
          <w:i/>
          <w:sz w:val="20"/>
        </w:rPr>
        <w:t>Political Bias in NLRB Unfair Labor Practice Decisions</w:t>
      </w:r>
      <w:r w:rsidRPr="00D851F9">
        <w:rPr>
          <w:rFonts w:ascii="Times New Roman" w:hAnsi="Times New Roman"/>
          <w:sz w:val="20"/>
        </w:rPr>
        <w:t xml:space="preserve">, 35 </w:t>
      </w:r>
      <w:r w:rsidRPr="00D851F9">
        <w:rPr>
          <w:rFonts w:ascii="Times New Roman" w:hAnsi="Times New Roman"/>
          <w:smallCaps/>
          <w:sz w:val="20"/>
        </w:rPr>
        <w:t>Indus. &amp; Lab. Rel. Rev.</w:t>
      </w:r>
      <w:r w:rsidRPr="00D851F9">
        <w:rPr>
          <w:rFonts w:ascii="Times New Roman" w:hAnsi="Times New Roman"/>
          <w:sz w:val="20"/>
        </w:rPr>
        <w:t xml:space="preserve"> 539, 549 (1982).</w:t>
      </w:r>
    </w:p>
  </w:footnote>
  <w:footnote w:id="164">
    <w:p w14:paraId="3B07AB87" w14:textId="25C28874"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Tuck, </w:t>
      </w:r>
      <w:r w:rsidRPr="00D851F9">
        <w:rPr>
          <w:rFonts w:ascii="Times New Roman" w:hAnsi="Times New Roman"/>
          <w:i/>
          <w:sz w:val="20"/>
        </w:rPr>
        <w:t>supra</w:t>
      </w:r>
      <w:r>
        <w:rPr>
          <w:rFonts w:ascii="Times New Roman" w:hAnsi="Times New Roman"/>
          <w:sz w:val="20"/>
        </w:rPr>
        <w:t xml:space="preserve"> note 153</w:t>
      </w:r>
      <w:r w:rsidRPr="00D851F9">
        <w:rPr>
          <w:rFonts w:ascii="Times New Roman" w:hAnsi="Times New Roman"/>
          <w:sz w:val="20"/>
        </w:rPr>
        <w:t>, at 1153 (noting how after there is a change in presidential administration, resulting in new Board members, the Board often reverses many of the precedents made by the prior Board).</w:t>
      </w:r>
    </w:p>
  </w:footnote>
  <w:footnote w:id="165">
    <w:p w14:paraId="304C1C35" w14:textId="2BFB1E0A"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Cooke &amp; Gautschi, </w:t>
      </w:r>
      <w:r w:rsidRPr="00D851F9">
        <w:rPr>
          <w:rFonts w:ascii="Times New Roman" w:hAnsi="Times New Roman"/>
          <w:i/>
          <w:sz w:val="20"/>
        </w:rPr>
        <w:t>supra</w:t>
      </w:r>
      <w:r>
        <w:rPr>
          <w:rFonts w:ascii="Times New Roman" w:hAnsi="Times New Roman"/>
          <w:sz w:val="20"/>
        </w:rPr>
        <w:t xml:space="preserve"> note 153</w:t>
      </w:r>
      <w:r w:rsidRPr="00D851F9">
        <w:rPr>
          <w:rFonts w:ascii="Times New Roman" w:hAnsi="Times New Roman"/>
          <w:sz w:val="20"/>
        </w:rPr>
        <w:t>, at 549 (noting how the inconsistency and ambiguity that plagues Board’s decisions can hinder labor management relations).</w:t>
      </w:r>
    </w:p>
  </w:footnote>
  <w:footnote w:id="166">
    <w:p w14:paraId="72E2DFA3" w14:textId="2FCC38DF" w:rsidR="00CD3F94" w:rsidRPr="00D851F9" w:rsidRDefault="00CD3F94" w:rsidP="0086288C">
      <w:pPr>
        <w:pStyle w:val="FootnoteText"/>
      </w:pPr>
      <w:r w:rsidRPr="00D851F9">
        <w:rPr>
          <w:rStyle w:val="FootnoteReference"/>
        </w:rPr>
        <w:footnoteRef/>
      </w:r>
      <w:r w:rsidRPr="00D851F9">
        <w:t xml:space="preserve"> Flynn, </w:t>
      </w:r>
      <w:r w:rsidRPr="00D851F9">
        <w:rPr>
          <w:i/>
        </w:rPr>
        <w:t xml:space="preserve">supra </w:t>
      </w:r>
      <w:r>
        <w:t>note 138</w:t>
      </w:r>
      <w:r w:rsidRPr="00D851F9">
        <w:t>, at 1366. Changes in the app</w:t>
      </w:r>
      <w:r>
        <w:t xml:space="preserve">ointment process over the years </w:t>
      </w:r>
      <w:r w:rsidRPr="00D851F9">
        <w:t>—</w:t>
      </w:r>
      <w:r>
        <w:t xml:space="preserve"> </w:t>
      </w:r>
      <w:r w:rsidRPr="00D851F9">
        <w:t>including the rise of “package” appointments where groups of nominees for different governmental posts are “packaged” together for a Senate vote</w:t>
      </w:r>
      <w:r>
        <w:t xml:space="preserve"> </w:t>
      </w:r>
      <w:r w:rsidRPr="00D851F9">
        <w:t>—</w:t>
      </w:r>
      <w:r>
        <w:t xml:space="preserve"> </w:t>
      </w:r>
      <w:r w:rsidRPr="00D851F9">
        <w:t xml:space="preserve">exacerbated the trend of a more partisan nomination process. </w:t>
      </w:r>
      <w:r>
        <w:rPr>
          <w:i/>
        </w:rPr>
        <w:t>I</w:t>
      </w:r>
      <w:r w:rsidRPr="00D851F9">
        <w:rPr>
          <w:i/>
        </w:rPr>
        <w:t>d.</w:t>
      </w:r>
      <w:r w:rsidRPr="00D851F9">
        <w:t xml:space="preserve"> at 1366. Indeed, with one exception, all of President Clinton’s appointees have been package nominations. </w:t>
      </w:r>
      <w:r w:rsidRPr="00D851F9">
        <w:rPr>
          <w:i/>
        </w:rPr>
        <w:t>Administration Faces Possibility pf Four Vacancies, No Quorum on NLRB</w:t>
      </w:r>
      <w:r w:rsidRPr="00D851F9">
        <w:t xml:space="preserve">, 1997 </w:t>
      </w:r>
      <w:r w:rsidRPr="00D851F9">
        <w:rPr>
          <w:smallCaps/>
        </w:rPr>
        <w:t>Daily Lab. Rep</w:t>
      </w:r>
      <w:r w:rsidRPr="00D851F9">
        <w:t xml:space="preserve">. (BNA) No. 202, at A-8 (Oct. 20, 1997) (noting that Clinton had to make recess appointments to keep the agency up and running). </w:t>
      </w:r>
    </w:p>
  </w:footnote>
  <w:footnote w:id="167">
    <w:p w14:paraId="04AA6DE0" w14:textId="77777777" w:rsidR="00CD3F94" w:rsidRPr="00D851F9" w:rsidRDefault="00CD3F94" w:rsidP="0086288C">
      <w:pPr>
        <w:pStyle w:val="FootnoteText"/>
      </w:pPr>
      <w:r w:rsidRPr="00D851F9">
        <w:rPr>
          <w:rStyle w:val="FootnoteReference"/>
        </w:rPr>
        <w:footnoteRef/>
      </w:r>
      <w:r w:rsidRPr="00D851F9">
        <w:t xml:space="preserve"> William P. Gould, IV, </w:t>
      </w:r>
      <w:r w:rsidRPr="00D851F9">
        <w:rPr>
          <w:i/>
        </w:rPr>
        <w:t>Politics and the Effects of the National Labor Relations Board’s Adjudicative and Rulemaking Processes</w:t>
      </w:r>
      <w:r w:rsidRPr="00D851F9">
        <w:t xml:space="preserve">, 64 </w:t>
      </w:r>
      <w:r w:rsidRPr="00D851F9">
        <w:rPr>
          <w:smallCaps/>
        </w:rPr>
        <w:t>Emory L. J</w:t>
      </w:r>
      <w:r w:rsidRPr="00D851F9">
        <w:t xml:space="preserve">. 1501, 1526 (2015); Gilliam E. Metzger, </w:t>
      </w:r>
      <w:r w:rsidRPr="00D851F9">
        <w:rPr>
          <w:i/>
        </w:rPr>
        <w:t>Agencies, Polarization and the States</w:t>
      </w:r>
      <w:r w:rsidRPr="00D851F9">
        <w:t xml:space="preserve">, 115 </w:t>
      </w:r>
      <w:r w:rsidRPr="00D851F9">
        <w:rPr>
          <w:smallCaps/>
        </w:rPr>
        <w:t>Colum. L. Rev</w:t>
      </w:r>
      <w:r w:rsidRPr="00D851F9">
        <w:t xml:space="preserve">. 1739, 1762 &amp; n.112 (2015) (noting how insiders composed many of the appointments). </w:t>
      </w:r>
    </w:p>
  </w:footnote>
  <w:footnote w:id="168">
    <w:p w14:paraId="1945CF05" w14:textId="77C99610"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w:t>
      </w:r>
      <w:r w:rsidRPr="00D851F9">
        <w:rPr>
          <w:rFonts w:ascii="Times New Roman" w:hAnsi="Times New Roman"/>
          <w:sz w:val="20"/>
        </w:rPr>
        <w:t xml:space="preserve">Turner, </w:t>
      </w:r>
      <w:r w:rsidRPr="00D851F9">
        <w:rPr>
          <w:rFonts w:ascii="Times New Roman" w:hAnsi="Times New Roman"/>
          <w:i/>
          <w:sz w:val="20"/>
        </w:rPr>
        <w:t xml:space="preserve">supra </w:t>
      </w:r>
      <w:r>
        <w:rPr>
          <w:rFonts w:ascii="Times New Roman" w:hAnsi="Times New Roman"/>
          <w:sz w:val="20"/>
        </w:rPr>
        <w:t>note 162</w:t>
      </w:r>
      <w:r w:rsidRPr="00D851F9">
        <w:rPr>
          <w:rFonts w:ascii="Times New Roman" w:hAnsi="Times New Roman"/>
          <w:sz w:val="20"/>
        </w:rPr>
        <w:t xml:space="preserve">, at 714 (“As a matter of custom, and not law, no more than three of the five NLRB members may belong to the President’s political party.”); Estreicher, </w:t>
      </w:r>
      <w:r w:rsidRPr="00D851F9">
        <w:rPr>
          <w:rFonts w:ascii="Times New Roman" w:hAnsi="Times New Roman"/>
          <w:i/>
          <w:sz w:val="20"/>
        </w:rPr>
        <w:t xml:space="preserve">supra </w:t>
      </w:r>
      <w:r>
        <w:rPr>
          <w:rFonts w:ascii="Times New Roman" w:hAnsi="Times New Roman"/>
          <w:sz w:val="20"/>
        </w:rPr>
        <w:t>note 142</w:t>
      </w:r>
      <w:r w:rsidRPr="00D851F9">
        <w:rPr>
          <w:rFonts w:ascii="Times New Roman" w:hAnsi="Times New Roman"/>
          <w:sz w:val="20"/>
        </w:rPr>
        <w:t xml:space="preserve">, at 170 (noting how the Board’s law-making is often seen as “unstable”); Tuck, </w:t>
      </w:r>
      <w:r w:rsidRPr="00D851F9">
        <w:rPr>
          <w:rFonts w:ascii="Times New Roman" w:hAnsi="Times New Roman"/>
          <w:i/>
          <w:sz w:val="20"/>
        </w:rPr>
        <w:t>supra</w:t>
      </w:r>
      <w:r>
        <w:rPr>
          <w:rFonts w:ascii="Times New Roman" w:hAnsi="Times New Roman"/>
          <w:sz w:val="20"/>
        </w:rPr>
        <w:t xml:space="preserve"> note 153</w:t>
      </w:r>
      <w:r w:rsidRPr="00D851F9">
        <w:rPr>
          <w:rFonts w:ascii="Times New Roman" w:hAnsi="Times New Roman"/>
          <w:sz w:val="20"/>
        </w:rPr>
        <w:t xml:space="preserve">, at 1118 (arguing that the Board’s flip-flops “undermine[] the stability, certainty and efficiency of …. policies…because neither party can rely on Board precedent”). </w:t>
      </w:r>
    </w:p>
  </w:footnote>
  <w:footnote w:id="169">
    <w:p w14:paraId="26239F7A" w14:textId="23DF0F78" w:rsidR="00CD3F94" w:rsidRPr="00D851F9" w:rsidRDefault="00CD3F94" w:rsidP="0086288C">
      <w:pPr>
        <w:pStyle w:val="FootnoteText"/>
      </w:pPr>
      <w:r w:rsidRPr="00D851F9">
        <w:rPr>
          <w:rStyle w:val="FootnoteReference"/>
        </w:rPr>
        <w:footnoteRef/>
      </w:r>
      <w:r w:rsidRPr="00D851F9">
        <w:t xml:space="preserve"> Turner, </w:t>
      </w:r>
      <w:r w:rsidRPr="00D851F9">
        <w:rPr>
          <w:i/>
        </w:rPr>
        <w:t>supra</w:t>
      </w:r>
      <w:r>
        <w:t xml:space="preserve"> note 162</w:t>
      </w:r>
      <w:r w:rsidRPr="00D851F9">
        <w:t xml:space="preserve">, at 74 (listing experience of Board members in the Appendix). </w:t>
      </w:r>
    </w:p>
  </w:footnote>
  <w:footnote w:id="170">
    <w:p w14:paraId="3FA9C8B0"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Pr>
          <w:rFonts w:ascii="Times New Roman" w:hAnsi="Times New Roman"/>
          <w:sz w:val="20"/>
        </w:rPr>
        <w:t xml:space="preserve"> </w:t>
      </w:r>
      <w:r w:rsidRPr="00D851F9">
        <w:rPr>
          <w:rFonts w:ascii="Times New Roman" w:hAnsi="Times New Roman"/>
          <w:sz w:val="20"/>
        </w:rPr>
        <w:t xml:space="preserve">Amy Semet, </w:t>
      </w:r>
      <w:r w:rsidRPr="00D851F9">
        <w:rPr>
          <w:rFonts w:ascii="Times New Roman" w:hAnsi="Times New Roman"/>
          <w:i/>
          <w:sz w:val="20"/>
        </w:rPr>
        <w:t xml:space="preserve">Political Decision Making at the National Labor Relations Board: An Empirical Examination of the Board’s Decisions through the Clinton and Bush Years, </w:t>
      </w:r>
      <w:r w:rsidRPr="00D851F9">
        <w:rPr>
          <w:rFonts w:ascii="Times New Roman" w:hAnsi="Times New Roman"/>
          <w:sz w:val="20"/>
        </w:rPr>
        <w:t xml:space="preserve">37 </w:t>
      </w:r>
      <w:r w:rsidRPr="00D851F9">
        <w:rPr>
          <w:rFonts w:ascii="Times New Roman" w:hAnsi="Times New Roman"/>
          <w:smallCaps/>
          <w:sz w:val="20"/>
        </w:rPr>
        <w:t>Berkeley J. Emp. &amp; Lab. Law</w:t>
      </w:r>
      <w:r w:rsidRPr="00D851F9">
        <w:rPr>
          <w:rFonts w:ascii="Times New Roman" w:hAnsi="Times New Roman"/>
          <w:sz w:val="20"/>
        </w:rPr>
        <w:t xml:space="preserve">. 2 (2016). In the prior analysis, I only looked at unfair labor practice cases. </w:t>
      </w:r>
    </w:p>
  </w:footnote>
  <w:footnote w:id="171">
    <w:p w14:paraId="6F84D8B5"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These words include “statutory construction,” “statutory interpretation,” “plain meaning,” “dictionary,” “statutory canons,” “redundancy,” “exclusion,” “clear statement,” “canons of construction,” searches for the Latin canons and the names of other substantive and textual cases as well as searches for “ambiguous” or “text” within the same sentence as “statute” or “statutory.” I also did searches under “concerted action,” and various iterations of the word “violations” or “violate” and “statute.” I separately did a search in the federal courts of appeals to see cases where courts applied </w:t>
      </w:r>
      <w:r w:rsidRPr="00D851F9">
        <w:rPr>
          <w:rFonts w:ascii="Times New Roman" w:hAnsi="Times New Roman"/>
          <w:i/>
          <w:sz w:val="20"/>
        </w:rPr>
        <w:t>Chevron</w:t>
      </w:r>
      <w:r w:rsidRPr="00D851F9">
        <w:rPr>
          <w:rFonts w:ascii="Times New Roman" w:hAnsi="Times New Roman"/>
          <w:sz w:val="20"/>
        </w:rPr>
        <w:t xml:space="preserve"> or other deference regimes to see I could pick up additional cases. As part of another project, I coded over 1,000 appellate court decisions referencing the NLRB from 1993-2012 and I referred to that database as an additional check.</w:t>
      </w:r>
    </w:p>
  </w:footnote>
  <w:footnote w:id="172">
    <w:p w14:paraId="567A909D" w14:textId="10950DFA"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Fisk &amp; Malamud, </w:t>
      </w:r>
      <w:r w:rsidRPr="00D851F9">
        <w:rPr>
          <w:rFonts w:ascii="Times New Roman" w:hAnsi="Times New Roman"/>
          <w:i/>
          <w:sz w:val="20"/>
        </w:rPr>
        <w:t xml:space="preserve">supra </w:t>
      </w:r>
      <w:r>
        <w:rPr>
          <w:rFonts w:ascii="Times New Roman" w:hAnsi="Times New Roman"/>
          <w:sz w:val="20"/>
        </w:rPr>
        <w:t>note 24</w:t>
      </w:r>
      <w:r w:rsidRPr="00D851F9">
        <w:rPr>
          <w:rFonts w:ascii="Times New Roman" w:hAnsi="Times New Roman"/>
          <w:sz w:val="20"/>
        </w:rPr>
        <w:t>, at 2039.</w:t>
      </w:r>
    </w:p>
  </w:footnote>
  <w:footnote w:id="173">
    <w:p w14:paraId="370AB06D"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d.</w:t>
      </w:r>
    </w:p>
  </w:footnote>
  <w:footnote w:id="174">
    <w:p w14:paraId="301F13D3" w14:textId="77777777" w:rsidR="00CD3F94" w:rsidRPr="006A07F2" w:rsidRDefault="00CD3F94" w:rsidP="0086288C">
      <w:pPr>
        <w:pStyle w:val="FootnoteText"/>
      </w:pPr>
      <w:r>
        <w:rPr>
          <w:rStyle w:val="FootnoteReference"/>
        </w:rPr>
        <w:footnoteRef/>
      </w:r>
      <w:r>
        <w:t xml:space="preserve"> I excluded cases where the majority applied well-settled precedent but the dissent advocated an overturning of that precedent. I also did not double count cases issued the same day where the Board made identical statutory interpretation issues. </w:t>
      </w:r>
      <w:r>
        <w:rPr>
          <w:i/>
        </w:rPr>
        <w:t>See</w:t>
      </w:r>
      <w:r>
        <w:t xml:space="preserve"> Yukon Koshokwim Health Corp., 329 N.L.R.B. 86 (1999) (case issued same day as another case discussing jurisdiction under NLRA).</w:t>
      </w:r>
    </w:p>
  </w:footnote>
  <w:footnote w:id="175">
    <w:p w14:paraId="33485168"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Wright Line et al., 343 N.L.R.B. 344 (1996).</w:t>
      </w:r>
    </w:p>
  </w:footnote>
  <w:footnote w:id="176">
    <w:p w14:paraId="4173C95C" w14:textId="2C234D55" w:rsidR="00CD3F94" w:rsidRPr="00BF63DC" w:rsidRDefault="00CD3F94" w:rsidP="00BF63DC">
      <w:pPr>
        <w:rPr>
          <w:rFonts w:ascii="Times New Roman" w:hAnsi="Times New Roman"/>
          <w:sz w:val="20"/>
        </w:rPr>
      </w:pPr>
      <w:r w:rsidRPr="00D851F9">
        <w:rPr>
          <w:rStyle w:val="FootnoteReference"/>
          <w:rFonts w:ascii="Times New Roman" w:hAnsi="Times New Roman"/>
          <w:sz w:val="20"/>
        </w:rPr>
        <w:footnoteRef/>
      </w:r>
      <w:r>
        <w:rPr>
          <w:rFonts w:ascii="Times New Roman" w:hAnsi="Times New Roman"/>
          <w:sz w:val="20"/>
        </w:rPr>
        <w:t xml:space="preserve"> For instance, in Firstline Transportation Security, Inc., 347 N.L.R.B. 40 (2006), the Board deferred to another administrative agency in how to interpret the Aviation and Transportation Security Act. In other cases, the Board interpreted a different statute. </w:t>
      </w:r>
      <w:r>
        <w:rPr>
          <w:rFonts w:ascii="Times New Roman" w:hAnsi="Times New Roman"/>
          <w:i/>
          <w:sz w:val="20"/>
        </w:rPr>
        <w:t>See</w:t>
      </w:r>
      <w:r>
        <w:rPr>
          <w:rFonts w:ascii="Times New Roman" w:hAnsi="Times New Roman"/>
          <w:sz w:val="20"/>
        </w:rPr>
        <w:t xml:space="preserve"> Times Herald Printing Co., 315 N.L.R.B. 100 (1994) (interpreting the Worker Adjustment and Training Renotification Act of 1988). I also did not include cases where the Board ruled on its own procedures or processes or interpreted its own regulations regarding the conduct of internal adjudicative matters. For instance, I did not include cases where the Board interpreted the format of briefs or how a subpoena should issue. I did, however, include the small number of cases where the Board ruled on its own jurisdiction. Some of these cases concerned whether the Board could exercise jurisdiction over disputes at Native-American owed casinos. </w:t>
      </w:r>
    </w:p>
  </w:footnote>
  <w:footnote w:id="177">
    <w:p w14:paraId="1200A305"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The Board rarely relies on circuit court cases as precedent in guiding decision-making. The Board occasionally cites circuit court cases and it sometimes uses their reasoning to guide decision-making, but its use is usually supplementary to Board or Supreme Court decisions. This is not all together surprising given that the Board engages in a policy of nonacquiescence of appellate court decisions. My data reveals that this policy is not merely theoretical; in actuality, my own observation after reading over 4,000 NLRB cases it that the Board rarely will voice concern that its ruling will conflict with a precedent set by whatever regional court will likely review the case.</w:t>
      </w:r>
      <w:r>
        <w:rPr>
          <w:rFonts w:ascii="Times New Roman" w:hAnsi="Times New Roman"/>
          <w:sz w:val="20"/>
        </w:rPr>
        <w:t xml:space="preserve"> That said, I did include cases remanded from the court of appeals. Sometimes the court of appeals would remand for the Board to either 1) adopt the statutory interpretation of the court of appeals; or to 2) make clear what the Board’s statutory interpretation actually was. I did not, however, double count cases. In the few situations where the Board heard a case multiple times, I included either the first case in which the Board interpreted the statute. </w:t>
      </w:r>
    </w:p>
  </w:footnote>
  <w:footnote w:id="178">
    <w:p w14:paraId="3D7AAD11" w14:textId="69540282"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See. e.g., </w:t>
      </w:r>
      <w:r w:rsidRPr="00D851F9">
        <w:rPr>
          <w:rFonts w:ascii="Times New Roman" w:hAnsi="Times New Roman"/>
          <w:sz w:val="20"/>
        </w:rPr>
        <w:t xml:space="preserve">Krishnakumar, </w:t>
      </w:r>
      <w:r w:rsidRPr="00D851F9">
        <w:rPr>
          <w:rFonts w:ascii="Times New Roman" w:hAnsi="Times New Roman"/>
          <w:i/>
          <w:sz w:val="20"/>
        </w:rPr>
        <w:t xml:space="preserve">supra </w:t>
      </w:r>
      <w:r w:rsidRPr="00D851F9">
        <w:rPr>
          <w:rFonts w:ascii="Times New Roman" w:hAnsi="Times New Roman"/>
          <w:sz w:val="20"/>
        </w:rPr>
        <w:t>note</w:t>
      </w:r>
      <w:r>
        <w:rPr>
          <w:rFonts w:ascii="Times New Roman" w:hAnsi="Times New Roman"/>
          <w:sz w:val="20"/>
        </w:rPr>
        <w:t xml:space="preserve"> 10</w:t>
      </w:r>
      <w:r w:rsidRPr="00D851F9">
        <w:rPr>
          <w:rFonts w:ascii="Times New Roman" w:hAnsi="Times New Roman"/>
          <w:sz w:val="20"/>
        </w:rPr>
        <w:t xml:space="preserve">, at 922; </w:t>
      </w:r>
      <w:r>
        <w:rPr>
          <w:rFonts w:ascii="Times New Roman" w:hAnsi="Times New Roman"/>
          <w:sz w:val="20"/>
        </w:rPr>
        <w:t xml:space="preserve">Cross, </w:t>
      </w:r>
      <w:r>
        <w:rPr>
          <w:rFonts w:ascii="Times New Roman" w:hAnsi="Times New Roman"/>
          <w:i/>
          <w:sz w:val="20"/>
        </w:rPr>
        <w:t xml:space="preserve">supra </w:t>
      </w:r>
      <w:r>
        <w:rPr>
          <w:rFonts w:ascii="Times New Roman" w:hAnsi="Times New Roman"/>
          <w:sz w:val="20"/>
        </w:rPr>
        <w:t xml:space="preserve">note </w:t>
      </w:r>
      <w:r>
        <w:rPr>
          <w:rFonts w:ascii="Times New Roman" w:hAnsi="Times New Roman"/>
          <w:sz w:val="20"/>
        </w:rPr>
        <w:fldChar w:fldCharType="begin"/>
      </w:r>
      <w:r>
        <w:rPr>
          <w:rFonts w:ascii="Times New Roman" w:hAnsi="Times New Roman"/>
          <w:sz w:val="20"/>
        </w:rPr>
        <w:instrText xml:space="preserve"> NOTEREF _Ref489471909 \h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4</w:t>
      </w:r>
      <w:r>
        <w:rPr>
          <w:rFonts w:ascii="Times New Roman" w:hAnsi="Times New Roman"/>
          <w:sz w:val="20"/>
        </w:rPr>
        <w:fldChar w:fldCharType="end"/>
      </w:r>
      <w:r>
        <w:rPr>
          <w:rFonts w:ascii="Times New Roman" w:hAnsi="Times New Roman"/>
          <w:sz w:val="20"/>
        </w:rPr>
        <w:t xml:space="preserve">, at 148 </w:t>
      </w:r>
      <w:r w:rsidRPr="00D851F9">
        <w:rPr>
          <w:rFonts w:ascii="Times New Roman" w:hAnsi="Times New Roman"/>
          <w:sz w:val="20"/>
        </w:rPr>
        <w:t xml:space="preserve">(analyzing Roberts’ Court use of statutory interpretive tools); </w:t>
      </w:r>
    </w:p>
  </w:footnote>
  <w:footnote w:id="179">
    <w:p w14:paraId="264E2C23" w14:textId="798B28F5"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But see </w:t>
      </w:r>
      <w:r w:rsidRPr="00D851F9">
        <w:rPr>
          <w:rFonts w:ascii="Times New Roman" w:hAnsi="Times New Roman"/>
          <w:sz w:val="20"/>
        </w:rPr>
        <w:t xml:space="preserve">Krishnakumar, </w:t>
      </w:r>
      <w:r w:rsidRPr="00D851F9">
        <w:rPr>
          <w:rFonts w:ascii="Times New Roman" w:hAnsi="Times New Roman"/>
          <w:i/>
          <w:sz w:val="20"/>
        </w:rPr>
        <w:t xml:space="preserve">supra </w:t>
      </w:r>
      <w:r w:rsidRPr="00D851F9">
        <w:rPr>
          <w:rFonts w:ascii="Times New Roman" w:hAnsi="Times New Roman"/>
          <w:sz w:val="20"/>
        </w:rPr>
        <w:t>note</w:t>
      </w:r>
      <w:r>
        <w:rPr>
          <w:rFonts w:ascii="Times New Roman" w:hAnsi="Times New Roman"/>
          <w:sz w:val="20"/>
        </w:rPr>
        <w:t xml:space="preserve"> 10</w:t>
      </w:r>
      <w:r w:rsidRPr="00D851F9">
        <w:rPr>
          <w:rFonts w:ascii="Times New Roman" w:hAnsi="Times New Roman"/>
          <w:sz w:val="20"/>
        </w:rPr>
        <w:t xml:space="preserve">, at 922. </w:t>
      </w:r>
    </w:p>
  </w:footnote>
  <w:footnote w:id="180">
    <w:p w14:paraId="1FFFEEB8"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 xml:space="preserve">d. </w:t>
      </w:r>
      <w:r w:rsidRPr="00D851F9">
        <w:rPr>
          <w:rFonts w:ascii="Times New Roman" w:hAnsi="Times New Roman"/>
          <w:sz w:val="20"/>
        </w:rPr>
        <w:t>at 961.</w:t>
      </w:r>
    </w:p>
  </w:footnote>
  <w:footnote w:id="181">
    <w:p w14:paraId="3875BE91"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 xml:space="preserve">d. </w:t>
      </w:r>
      <w:r w:rsidRPr="00D851F9">
        <w:rPr>
          <w:rFonts w:ascii="Times New Roman" w:hAnsi="Times New Roman"/>
          <w:sz w:val="20"/>
        </w:rPr>
        <w:t xml:space="preserve">at 971. </w:t>
      </w:r>
    </w:p>
  </w:footnote>
  <w:footnote w:id="182">
    <w:p w14:paraId="181CA395"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In any event, the results likely would not differ. Most dissent writers employed the same methodology as their fellow dissent writer; in only four or five cases did one dissent use a statutory methodology that was not employed by the other dissents. Often, this methodology was legislative history, with one dissent writer employing legislative history to buttress their point to a limited extent. Moreover, about 80% of cases concerned a single dissent, and nearly 90% of cases in the Bush II and Clinton years concerned a single or joint dissent. Recent Board members Philip Miscimarra and Harry Johnson have a habit of writing very long and detailed separate dissents, a pattern that contrasts with the single dissents written during the Bush II and Clinton year. During the earlier period, Hurtgen/Brame and Liebman/Walsh often wrote joint dissents.</w:t>
      </w:r>
    </w:p>
  </w:footnote>
  <w:footnote w:id="183">
    <w:p w14:paraId="1DBC5BFB" w14:textId="77777777" w:rsidR="00CD3F94" w:rsidRDefault="00CD3F94" w:rsidP="0086288C">
      <w:pPr>
        <w:pStyle w:val="FootnoteText"/>
      </w:pPr>
      <w:r>
        <w:rPr>
          <w:rStyle w:val="FootnoteReference"/>
        </w:rPr>
        <w:footnoteRef/>
      </w:r>
      <w:r>
        <w:t xml:space="preserve"> </w:t>
      </w:r>
      <w:r w:rsidRPr="00D851F9">
        <w:t>* signifies statistical significance at 90% confidence; ** 95% confidence; and *** 99% confidence. The standard benchmark is to use 95% confidence to imply statistical significance.</w:t>
      </w:r>
    </w:p>
  </w:footnote>
  <w:footnote w:id="184">
    <w:p w14:paraId="5E215F48" w14:textId="77777777" w:rsidR="00CD3F94" w:rsidRDefault="00CD3F94" w:rsidP="0086288C">
      <w:pPr>
        <w:pStyle w:val="FootnoteText"/>
      </w:pPr>
      <w:r>
        <w:rPr>
          <w:rStyle w:val="FootnoteReference"/>
        </w:rPr>
        <w:footnoteRef/>
      </w:r>
      <w:r>
        <w:t xml:space="preserve"> The figure denotes percentages. There was only one Republican panel that heard relevant cases during the Obama administration. </w:t>
      </w:r>
    </w:p>
  </w:footnote>
  <w:footnote w:id="185">
    <w:p w14:paraId="415148B7" w14:textId="6B34A55B"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Miles &amp; Sunstein, </w:t>
      </w:r>
      <w:r w:rsidRPr="00D851F9">
        <w:rPr>
          <w:rFonts w:ascii="Times New Roman" w:hAnsi="Times New Roman"/>
          <w:i/>
          <w:sz w:val="20"/>
        </w:rPr>
        <w:t>supra</w:t>
      </w:r>
      <w:r>
        <w:rPr>
          <w:rFonts w:ascii="Times New Roman" w:hAnsi="Times New Roman"/>
          <w:sz w:val="20"/>
        </w:rPr>
        <w:t xml:space="preserve"> note 72</w:t>
      </w:r>
      <w:r w:rsidRPr="00D851F9">
        <w:rPr>
          <w:rFonts w:ascii="Times New Roman" w:hAnsi="Times New Roman"/>
          <w:sz w:val="20"/>
        </w:rPr>
        <w:t>, at 828-29 (“[T]here is no logical or necessary connection between adoption of ‘plain meaning’ approaches and being ‘liberal’ or ‘conservative.’ But as an empirical matter, the more conservative Justices …have embraced ‘plain meaning’ approaches and the more liberal justices have not.”).</w:t>
      </w:r>
    </w:p>
  </w:footnote>
  <w:footnote w:id="186">
    <w:p w14:paraId="665F5C1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Alexandria Clinic, P.A. et al., 339 N.L.R.B. 162, 2003 WL 22027491 (Aug. 21, 2003).</w:t>
      </w:r>
    </w:p>
  </w:footnote>
  <w:footnote w:id="187">
    <w:p w14:paraId="735D90E2"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w:t>
      </w:r>
    </w:p>
  </w:footnote>
  <w:footnote w:id="188">
    <w:p w14:paraId="678C31D3"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(“We view this case as covered by the clear language of Section 8(g).”  Section 8(g) requires that strikers give ten days written notice and that “notice, once given, may be extended by written agreement of the parties.”</w:t>
      </w:r>
      <w:r>
        <w:rPr>
          <w:rFonts w:ascii="Times New Roman" w:hAnsi="Times New Roman"/>
          <w:sz w:val="20"/>
        </w:rPr>
        <w:t>).</w:t>
      </w:r>
    </w:p>
  </w:footnote>
  <w:footnote w:id="189">
    <w:p w14:paraId="08605215"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7. </w:t>
      </w:r>
    </w:p>
  </w:footnote>
  <w:footnote w:id="190">
    <w:p w14:paraId="7239AEB7"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Greater New Orleans Artificial Kidney Center, 240 N.L.R.B. 432 (1979) (finding no violation under section 8(g).</w:t>
      </w:r>
    </w:p>
  </w:footnote>
  <w:footnote w:id="191">
    <w:p w14:paraId="29F0A070"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Alexandria Clinic, 2003 WL 22027491, at 3.</w:t>
      </w:r>
    </w:p>
  </w:footnote>
  <w:footnote w:id="192">
    <w:p w14:paraId="0F47A93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w:t>
      </w:r>
    </w:p>
  </w:footnote>
  <w:footnote w:id="193">
    <w:p w14:paraId="4B32F26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w:t>
      </w:r>
    </w:p>
  </w:footnote>
  <w:footnote w:id="194">
    <w:p w14:paraId="7C8B24D3"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The Board noted that the use of the word “shall” made it mandatory. </w:t>
      </w:r>
      <w:r w:rsidRPr="00D851F9">
        <w:rPr>
          <w:rFonts w:ascii="Times New Roman" w:hAnsi="Times New Roman"/>
          <w:i/>
          <w:sz w:val="20"/>
        </w:rPr>
        <w:t>Id.</w:t>
      </w:r>
    </w:p>
  </w:footnote>
  <w:footnote w:id="195">
    <w:p w14:paraId="01109BB5"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196">
    <w:p w14:paraId="75321557"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(noting that “Congress intended that the 10 day notice provision of Section 8(g) be interpreted according to its literal meaning”). </w:t>
      </w:r>
    </w:p>
  </w:footnote>
  <w:footnote w:id="197">
    <w:p w14:paraId="1D69995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5. </w:t>
      </w:r>
    </w:p>
  </w:footnote>
  <w:footnote w:id="198">
    <w:p w14:paraId="772CE28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7. </w:t>
      </w:r>
    </w:p>
  </w:footnote>
  <w:footnote w:id="199">
    <w:p w14:paraId="0FFBC7F7" w14:textId="77777777" w:rsidR="00CD3F94" w:rsidRPr="0007234D" w:rsidRDefault="00CD3F94" w:rsidP="0086288C">
      <w:pPr>
        <w:rPr>
          <w:rFonts w:ascii="Times New Roman" w:hAnsi="Times New Roman"/>
          <w:sz w:val="20"/>
        </w:rPr>
      </w:pPr>
      <w:r w:rsidRPr="00D851F9">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See, e.g.</w:t>
      </w:r>
      <w:r>
        <w:rPr>
          <w:rFonts w:ascii="Times New Roman" w:hAnsi="Times New Roman"/>
          <w:sz w:val="20"/>
        </w:rPr>
        <w:t xml:space="preserve">, </w:t>
      </w:r>
      <w:r w:rsidRPr="00D851F9">
        <w:rPr>
          <w:rFonts w:ascii="Times New Roman" w:hAnsi="Times New Roman"/>
          <w:sz w:val="20"/>
        </w:rPr>
        <w:t>St</w:t>
      </w:r>
      <w:r>
        <w:rPr>
          <w:rFonts w:ascii="Times New Roman" w:hAnsi="Times New Roman"/>
          <w:sz w:val="20"/>
        </w:rPr>
        <w:t>.</w:t>
      </w:r>
      <w:r w:rsidRPr="00D851F9">
        <w:rPr>
          <w:rFonts w:ascii="Times New Roman" w:hAnsi="Times New Roman"/>
          <w:sz w:val="20"/>
        </w:rPr>
        <w:t xml:space="preserve"> Clare’s Hosp. &amp; Health Ctr., </w:t>
      </w:r>
      <w:r w:rsidRPr="0007234D">
        <w:rPr>
          <w:rFonts w:ascii="Times New Roman" w:hAnsi="Times New Roman"/>
          <w:sz w:val="20"/>
        </w:rPr>
        <w:t>226 N.L.R.B. 1000, 1003-04 (1977) (holding that house staff are employees but cannot bargain); Cedar’s Sinai Med. Ctr., 223 N</w:t>
      </w:r>
      <w:r>
        <w:rPr>
          <w:rFonts w:ascii="Times New Roman" w:hAnsi="Times New Roman"/>
          <w:sz w:val="20"/>
        </w:rPr>
        <w:t>.</w:t>
      </w:r>
      <w:r w:rsidRPr="0007234D">
        <w:rPr>
          <w:rFonts w:ascii="Times New Roman" w:hAnsi="Times New Roman"/>
          <w:sz w:val="20"/>
        </w:rPr>
        <w:t>L</w:t>
      </w:r>
      <w:r>
        <w:rPr>
          <w:rFonts w:ascii="Times New Roman" w:hAnsi="Times New Roman"/>
          <w:sz w:val="20"/>
        </w:rPr>
        <w:t>.</w:t>
      </w:r>
      <w:r w:rsidRPr="0007234D">
        <w:rPr>
          <w:rFonts w:ascii="Times New Roman" w:hAnsi="Times New Roman"/>
          <w:sz w:val="20"/>
        </w:rPr>
        <w:t>R</w:t>
      </w:r>
      <w:r>
        <w:rPr>
          <w:rFonts w:ascii="Times New Roman" w:hAnsi="Times New Roman"/>
          <w:sz w:val="20"/>
        </w:rPr>
        <w:t>.</w:t>
      </w:r>
      <w:r w:rsidRPr="0007234D">
        <w:rPr>
          <w:rFonts w:ascii="Times New Roman" w:hAnsi="Times New Roman"/>
          <w:sz w:val="20"/>
        </w:rPr>
        <w:t>B</w:t>
      </w:r>
      <w:r>
        <w:rPr>
          <w:rFonts w:ascii="Times New Roman" w:hAnsi="Times New Roman"/>
          <w:sz w:val="20"/>
        </w:rPr>
        <w:t>.</w:t>
      </w:r>
      <w:r w:rsidRPr="0007234D">
        <w:rPr>
          <w:rFonts w:ascii="Times New Roman" w:hAnsi="Times New Roman"/>
          <w:sz w:val="20"/>
        </w:rPr>
        <w:t xml:space="preserve"> 251, 251 (1976) ((holding that house staff are not ‘employees’ under the NLRA); Leland Stanford Junior Univ., 214 N</w:t>
      </w:r>
      <w:r>
        <w:rPr>
          <w:rFonts w:ascii="Times New Roman" w:hAnsi="Times New Roman"/>
          <w:sz w:val="20"/>
        </w:rPr>
        <w:t>.</w:t>
      </w:r>
      <w:r w:rsidRPr="0007234D">
        <w:rPr>
          <w:rFonts w:ascii="Times New Roman" w:hAnsi="Times New Roman"/>
          <w:sz w:val="20"/>
        </w:rPr>
        <w:t>L</w:t>
      </w:r>
      <w:r>
        <w:rPr>
          <w:rFonts w:ascii="Times New Roman" w:hAnsi="Times New Roman"/>
          <w:sz w:val="20"/>
        </w:rPr>
        <w:t>.</w:t>
      </w:r>
      <w:r w:rsidRPr="0007234D">
        <w:rPr>
          <w:rFonts w:ascii="Times New Roman" w:hAnsi="Times New Roman"/>
          <w:sz w:val="20"/>
        </w:rPr>
        <w:t>R</w:t>
      </w:r>
      <w:r>
        <w:rPr>
          <w:rFonts w:ascii="Times New Roman" w:hAnsi="Times New Roman"/>
          <w:sz w:val="20"/>
        </w:rPr>
        <w:t>.</w:t>
      </w:r>
      <w:r w:rsidRPr="0007234D">
        <w:rPr>
          <w:rFonts w:ascii="Times New Roman" w:hAnsi="Times New Roman"/>
          <w:sz w:val="20"/>
        </w:rPr>
        <w:t>B</w:t>
      </w:r>
      <w:r>
        <w:rPr>
          <w:rFonts w:ascii="Times New Roman" w:hAnsi="Times New Roman"/>
          <w:sz w:val="20"/>
        </w:rPr>
        <w:t>.</w:t>
      </w:r>
      <w:r w:rsidRPr="0007234D">
        <w:rPr>
          <w:rFonts w:ascii="Times New Roman" w:hAnsi="Times New Roman"/>
          <w:sz w:val="20"/>
        </w:rPr>
        <w:t xml:space="preserve"> 621, 621 (1974) (holding that TAs are not employees); Cornell Univ., 183 N</w:t>
      </w:r>
      <w:r>
        <w:rPr>
          <w:rFonts w:ascii="Times New Roman" w:hAnsi="Times New Roman"/>
          <w:sz w:val="20"/>
        </w:rPr>
        <w:t>.</w:t>
      </w:r>
      <w:r w:rsidRPr="0007234D">
        <w:rPr>
          <w:rFonts w:ascii="Times New Roman" w:hAnsi="Times New Roman"/>
          <w:sz w:val="20"/>
        </w:rPr>
        <w:t>L</w:t>
      </w:r>
      <w:r>
        <w:rPr>
          <w:rFonts w:ascii="Times New Roman" w:hAnsi="Times New Roman"/>
          <w:sz w:val="20"/>
        </w:rPr>
        <w:t>.</w:t>
      </w:r>
      <w:r w:rsidRPr="0007234D">
        <w:rPr>
          <w:rFonts w:ascii="Times New Roman" w:hAnsi="Times New Roman"/>
          <w:sz w:val="20"/>
        </w:rPr>
        <w:t>R</w:t>
      </w:r>
      <w:r>
        <w:rPr>
          <w:rFonts w:ascii="Times New Roman" w:hAnsi="Times New Roman"/>
          <w:sz w:val="20"/>
        </w:rPr>
        <w:t>.</w:t>
      </w:r>
      <w:r w:rsidRPr="0007234D">
        <w:rPr>
          <w:rFonts w:ascii="Times New Roman" w:hAnsi="Times New Roman"/>
          <w:sz w:val="20"/>
        </w:rPr>
        <w:t>B</w:t>
      </w:r>
      <w:r>
        <w:rPr>
          <w:rFonts w:ascii="Times New Roman" w:hAnsi="Times New Roman"/>
          <w:sz w:val="20"/>
        </w:rPr>
        <w:t>.</w:t>
      </w:r>
      <w:r w:rsidRPr="0007234D">
        <w:rPr>
          <w:rFonts w:ascii="Times New Roman" w:hAnsi="Times New Roman"/>
          <w:sz w:val="20"/>
        </w:rPr>
        <w:t xml:space="preserve"> 329, 331 (1971) (asserting jxn over private, nonprofit universities).</w:t>
      </w:r>
    </w:p>
  </w:footnote>
  <w:footnote w:id="200">
    <w:p w14:paraId="4932FDB6" w14:textId="77777777" w:rsidR="00CD3F94" w:rsidRPr="00D851F9" w:rsidRDefault="00CD3F94" w:rsidP="0086288C">
      <w:pPr>
        <w:rPr>
          <w:rFonts w:ascii="Times New Roman" w:hAnsi="Times New Roman"/>
          <w:sz w:val="20"/>
        </w:rPr>
      </w:pPr>
      <w:r w:rsidRPr="0007234D">
        <w:rPr>
          <w:rStyle w:val="FootnoteReference"/>
          <w:rFonts w:ascii="Times New Roman" w:hAnsi="Times New Roman"/>
          <w:sz w:val="20"/>
        </w:rPr>
        <w:footnoteRef/>
      </w:r>
      <w:r w:rsidRPr="0007234D">
        <w:rPr>
          <w:rFonts w:ascii="Times New Roman" w:hAnsi="Times New Roman"/>
          <w:sz w:val="20"/>
        </w:rPr>
        <w:t xml:space="preserve"> Boston Med. Ctr. Corp., 330 N</w:t>
      </w:r>
      <w:r>
        <w:rPr>
          <w:rFonts w:ascii="Times New Roman" w:hAnsi="Times New Roman"/>
          <w:sz w:val="20"/>
        </w:rPr>
        <w:t>.</w:t>
      </w:r>
      <w:r w:rsidRPr="0007234D">
        <w:rPr>
          <w:rFonts w:ascii="Times New Roman" w:hAnsi="Times New Roman"/>
          <w:sz w:val="20"/>
        </w:rPr>
        <w:t>L</w:t>
      </w:r>
      <w:r>
        <w:rPr>
          <w:rFonts w:ascii="Times New Roman" w:hAnsi="Times New Roman"/>
          <w:sz w:val="20"/>
        </w:rPr>
        <w:t>.</w:t>
      </w:r>
      <w:r w:rsidRPr="0007234D">
        <w:rPr>
          <w:rFonts w:ascii="Times New Roman" w:hAnsi="Times New Roman"/>
          <w:sz w:val="20"/>
        </w:rPr>
        <w:t>R</w:t>
      </w:r>
      <w:r>
        <w:rPr>
          <w:rFonts w:ascii="Times New Roman" w:hAnsi="Times New Roman"/>
          <w:sz w:val="20"/>
        </w:rPr>
        <w:t>.</w:t>
      </w:r>
      <w:r w:rsidRPr="0007234D">
        <w:rPr>
          <w:rFonts w:ascii="Times New Roman" w:hAnsi="Times New Roman"/>
          <w:sz w:val="20"/>
        </w:rPr>
        <w:t>B</w:t>
      </w:r>
      <w:r>
        <w:rPr>
          <w:rFonts w:ascii="Times New Roman" w:hAnsi="Times New Roman"/>
          <w:sz w:val="20"/>
        </w:rPr>
        <w:t>.</w:t>
      </w:r>
      <w:r w:rsidRPr="0007234D">
        <w:rPr>
          <w:rFonts w:ascii="Times New Roman" w:hAnsi="Times New Roman"/>
          <w:sz w:val="20"/>
        </w:rPr>
        <w:t xml:space="preserve"> 152 (1999); N.Y. Univ., 332 N</w:t>
      </w:r>
      <w:r>
        <w:rPr>
          <w:rFonts w:ascii="Times New Roman" w:hAnsi="Times New Roman"/>
          <w:sz w:val="20"/>
        </w:rPr>
        <w:t>.</w:t>
      </w:r>
      <w:r w:rsidRPr="0007234D">
        <w:rPr>
          <w:rFonts w:ascii="Times New Roman" w:hAnsi="Times New Roman"/>
          <w:sz w:val="20"/>
        </w:rPr>
        <w:t>L</w:t>
      </w:r>
      <w:r>
        <w:rPr>
          <w:rFonts w:ascii="Times New Roman" w:hAnsi="Times New Roman"/>
          <w:sz w:val="20"/>
        </w:rPr>
        <w:t>.</w:t>
      </w:r>
      <w:r w:rsidRPr="0007234D">
        <w:rPr>
          <w:rFonts w:ascii="Times New Roman" w:hAnsi="Times New Roman"/>
          <w:sz w:val="20"/>
        </w:rPr>
        <w:t>R</w:t>
      </w:r>
      <w:r>
        <w:rPr>
          <w:rFonts w:ascii="Times New Roman" w:hAnsi="Times New Roman"/>
          <w:sz w:val="20"/>
        </w:rPr>
        <w:t>.</w:t>
      </w:r>
      <w:r w:rsidRPr="0007234D">
        <w:rPr>
          <w:rFonts w:ascii="Times New Roman" w:hAnsi="Times New Roman"/>
          <w:sz w:val="20"/>
        </w:rPr>
        <w:t>B</w:t>
      </w:r>
      <w:r>
        <w:rPr>
          <w:rFonts w:ascii="Times New Roman" w:hAnsi="Times New Roman"/>
          <w:sz w:val="20"/>
        </w:rPr>
        <w:t>.</w:t>
      </w:r>
      <w:r w:rsidRPr="0007234D">
        <w:rPr>
          <w:rFonts w:ascii="Times New Roman" w:hAnsi="Times New Roman"/>
          <w:sz w:val="20"/>
        </w:rPr>
        <w:t xml:space="preserve"> 1205 (2000).</w:t>
      </w:r>
    </w:p>
  </w:footnote>
  <w:footnote w:id="201">
    <w:p w14:paraId="443C04AF"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Brown Univ., 342 NLRB 483, 490 (2004).</w:t>
      </w:r>
    </w:p>
  </w:footnote>
  <w:footnote w:id="202">
    <w:p w14:paraId="4D8C980C" w14:textId="77777777" w:rsidR="00CD3F94" w:rsidRPr="0097610A"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Colum. Univ. et al., Case No. 02-RC-143012</w:t>
      </w:r>
      <w:r w:rsidRPr="0097610A">
        <w:rPr>
          <w:rFonts w:ascii="Times New Roman" w:hAnsi="Times New Roman"/>
          <w:sz w:val="20"/>
        </w:rPr>
        <w:t>, 364 N.L.R.B. 90 (Aug. 26, 2016) (NLRB website).</w:t>
      </w:r>
    </w:p>
  </w:footnote>
  <w:footnote w:id="203">
    <w:p w14:paraId="25B1E279" w14:textId="77777777" w:rsidR="00CD3F94" w:rsidRPr="00D851F9" w:rsidRDefault="00CD3F94" w:rsidP="0086288C">
      <w:pPr>
        <w:rPr>
          <w:rFonts w:ascii="Times New Roman" w:hAnsi="Times New Roman"/>
          <w:sz w:val="20"/>
        </w:rPr>
      </w:pPr>
      <w:r w:rsidRPr="0097610A">
        <w:rPr>
          <w:rStyle w:val="FootnoteReference"/>
          <w:rFonts w:ascii="Times New Roman" w:hAnsi="Times New Roman"/>
          <w:sz w:val="20"/>
        </w:rPr>
        <w:footnoteRef/>
      </w:r>
      <w:r w:rsidRPr="0097610A">
        <w:rPr>
          <w:rFonts w:ascii="Times New Roman" w:hAnsi="Times New Roman"/>
          <w:sz w:val="20"/>
        </w:rPr>
        <w:t xml:space="preserve"> </w:t>
      </w:r>
      <w:r w:rsidRPr="0097610A">
        <w:rPr>
          <w:rFonts w:ascii="Times New Roman" w:hAnsi="Times New Roman"/>
          <w:i/>
          <w:sz w:val="20"/>
        </w:rPr>
        <w:t>Id; see also</w:t>
      </w:r>
      <w:r w:rsidRPr="0097610A">
        <w:rPr>
          <w:rFonts w:ascii="Times New Roman" w:hAnsi="Times New Roman"/>
          <w:sz w:val="20"/>
        </w:rPr>
        <w:t xml:space="preserve"> New York University et al., 332</w:t>
      </w:r>
      <w:r w:rsidRPr="00D851F9">
        <w:rPr>
          <w:rFonts w:ascii="Times New Roman" w:hAnsi="Times New Roman"/>
          <w:sz w:val="20"/>
        </w:rPr>
        <w:t xml:space="preserve"> N.L.R.B. 1205, 1209 (2006) which, like Columbia University, advanced a textualist approach to find TAs as covered. In turn, Columbia University reversed Brown in August 2016. </w:t>
      </w:r>
    </w:p>
  </w:footnote>
  <w:footnote w:id="204">
    <w:p w14:paraId="3449F4D4" w14:textId="77777777" w:rsidR="00CD3F94" w:rsidRPr="00D851F9" w:rsidRDefault="00CD3F94" w:rsidP="0086288C">
      <w:pPr>
        <w:pStyle w:val="FootnoteText"/>
      </w:pPr>
      <w:r w:rsidRPr="00D851F9">
        <w:rPr>
          <w:rStyle w:val="FootnoteReference"/>
        </w:rPr>
        <w:footnoteRef/>
      </w:r>
      <w:r w:rsidRPr="00D851F9">
        <w:t xml:space="preserve"> Colum. Univ., 364 N.L.R.B. 90, Case No. 02-RC-143012 (Aug. 23, 2016), at 1.</w:t>
      </w:r>
    </w:p>
  </w:footnote>
  <w:footnote w:id="205">
    <w:p w14:paraId="14423DB0"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1-2.</w:t>
      </w:r>
    </w:p>
  </w:footnote>
  <w:footnote w:id="206">
    <w:p w14:paraId="4C454627"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4-6 (“The absence of student assistants from the Act’s enumeration of categories excluded from the definition of employee is itself strong evidence of statutory coverage.”).</w:t>
      </w:r>
    </w:p>
  </w:footnote>
  <w:footnote w:id="207">
    <w:p w14:paraId="18A12F5F" w14:textId="77777777" w:rsidR="00CD3F94" w:rsidRPr="00D851F9" w:rsidRDefault="00CD3F94" w:rsidP="00190A0F">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When the Board advanced an expansionist “no limits” reading of the statute, it only referred to practical implications 39% of the time.</w:t>
      </w:r>
    </w:p>
  </w:footnote>
  <w:footnote w:id="208">
    <w:p w14:paraId="7AA303E2" w14:textId="6291C79B"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Interestingly, the only time the Board expressly invoked any of the Latin terms was in contract interpretation cases.  In those cases, the Board would on occasion note that methods of statutory interpretation</w:t>
      </w:r>
      <w:r>
        <w:rPr>
          <w:rFonts w:ascii="Times New Roman" w:hAnsi="Times New Roman"/>
          <w:sz w:val="20"/>
        </w:rPr>
        <w:t xml:space="preserve"> </w:t>
      </w:r>
      <w:r w:rsidRPr="00D851F9">
        <w:rPr>
          <w:rFonts w:ascii="Times New Roman" w:hAnsi="Times New Roman"/>
          <w:sz w:val="20"/>
        </w:rPr>
        <w:t xml:space="preserve">— such as </w:t>
      </w:r>
      <w:r w:rsidRPr="00D851F9">
        <w:rPr>
          <w:rFonts w:ascii="Times New Roman" w:hAnsi="Times New Roman"/>
          <w:i/>
          <w:sz w:val="20"/>
        </w:rPr>
        <w:t>expression unius</w:t>
      </w:r>
      <w:r w:rsidRPr="00D851F9">
        <w:rPr>
          <w:rFonts w:ascii="Times New Roman" w:hAnsi="Times New Roman"/>
          <w:sz w:val="20"/>
        </w:rPr>
        <w:t>, etc.</w:t>
      </w:r>
      <w:r>
        <w:rPr>
          <w:rFonts w:ascii="Times New Roman" w:hAnsi="Times New Roman"/>
          <w:sz w:val="20"/>
        </w:rPr>
        <w:t xml:space="preserve"> </w:t>
      </w:r>
      <w:r w:rsidRPr="00D851F9">
        <w:rPr>
          <w:rFonts w:ascii="Times New Roman" w:hAnsi="Times New Roman"/>
          <w:sz w:val="20"/>
        </w:rPr>
        <w:t>— could also be used to interpret the language of the contract.</w:t>
      </w:r>
    </w:p>
  </w:footnote>
  <w:footnote w:id="209">
    <w:p w14:paraId="5AD8F407" w14:textId="77777777" w:rsidR="00CD3F94" w:rsidRPr="00F45650" w:rsidRDefault="00CD3F94" w:rsidP="0086288C">
      <w:pPr>
        <w:pStyle w:val="FootnoteText"/>
      </w:pPr>
      <w:r>
        <w:rPr>
          <w:rStyle w:val="FootnoteReference"/>
        </w:rPr>
        <w:footnoteRef/>
      </w:r>
      <w:r>
        <w:t xml:space="preserve"> In </w:t>
      </w:r>
      <w:r w:rsidRPr="00F45650">
        <w:rPr>
          <w:i/>
        </w:rPr>
        <w:t>Ellis v. Brac,</w:t>
      </w:r>
      <w:r>
        <w:t xml:space="preserve"> 460 U.S. 433 (1984) the Supreme Court held that the Railway Labor Act and the NLRA were statutory equivalents, thus spawning disputes about when the NLRA case is analogous to a Railway Labor Act case so as to come within the Ellis holding. Some cases consider whether standards applied for the Railway Labor Act should also apply to Taft-Hartley labor unions. </w:t>
      </w:r>
      <w:r>
        <w:rPr>
          <w:i/>
        </w:rPr>
        <w:t>See, e.g.,</w:t>
      </w:r>
      <w:r>
        <w:t xml:space="preserve"> Roger C. Hartley, </w:t>
      </w:r>
      <w:r>
        <w:rPr>
          <w:i/>
        </w:rPr>
        <w:t>Constitutional Values and the Adjudication of Taft-Hartley Act Dues Objector Cases</w:t>
      </w:r>
      <w:r>
        <w:t xml:space="preserve">, 1989 </w:t>
      </w:r>
      <w:r w:rsidRPr="005E768D">
        <w:rPr>
          <w:smallCaps/>
        </w:rPr>
        <w:t>Hastings L. J.</w:t>
      </w:r>
      <w:r>
        <w:t xml:space="preserve"> 1, 12 (1989). About 5% of the cases in the dataset concerned applicability of the Railway Act.</w:t>
      </w:r>
    </w:p>
  </w:footnote>
  <w:footnote w:id="210">
    <w:p w14:paraId="5016A55B" w14:textId="77777777" w:rsidR="00CD3F94" w:rsidRPr="00783C36" w:rsidRDefault="00CD3F94" w:rsidP="0086288C">
      <w:pPr>
        <w:pStyle w:val="FootnoteText"/>
        <w:rPr>
          <w:i/>
        </w:rPr>
      </w:pPr>
      <w:r>
        <w:rPr>
          <w:rStyle w:val="FootnoteReference"/>
        </w:rPr>
        <w:footnoteRef/>
      </w:r>
      <w:r>
        <w:t xml:space="preserve"> </w:t>
      </w:r>
      <w:r>
        <w:rPr>
          <w:i/>
        </w:rPr>
        <w:t>Id.</w:t>
      </w:r>
    </w:p>
  </w:footnote>
  <w:footnote w:id="211">
    <w:p w14:paraId="0FD274B8"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Lincoln Lutheran of Racine et al., 2015 WL 5047778, at 5.</w:t>
      </w:r>
    </w:p>
  </w:footnote>
  <w:footnote w:id="212">
    <w:p w14:paraId="17D47676"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at 5.</w:t>
      </w:r>
    </w:p>
  </w:footnote>
  <w:footnote w:id="213">
    <w:p w14:paraId="4CD14882"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(“Congress’ treatment of employer payments to employee trust funds [in another provision of the statute] further illustrates that Congress contemplated that dues-checkoff arrangements could survive contract expiration.”</w:t>
      </w:r>
    </w:p>
  </w:footnote>
  <w:footnote w:id="214">
    <w:p w14:paraId="13D7938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w:t>
      </w:r>
    </w:p>
  </w:footnote>
  <w:footnote w:id="215">
    <w:p w14:paraId="5044200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at 7.</w:t>
      </w:r>
    </w:p>
  </w:footnote>
  <w:footnote w:id="216">
    <w:p w14:paraId="608E636B" w14:textId="77777777" w:rsidR="00CD3F94" w:rsidRPr="00D851F9" w:rsidRDefault="00CD3F94" w:rsidP="0086288C">
      <w:pPr>
        <w:pStyle w:val="FootnoteText"/>
        <w:rPr>
          <w:i/>
        </w:rPr>
      </w:pPr>
      <w:r w:rsidRPr="00D851F9">
        <w:rPr>
          <w:rStyle w:val="FootnoteReference"/>
        </w:rPr>
        <w:footnoteRef/>
      </w:r>
      <w:r w:rsidRPr="00D851F9">
        <w:t xml:space="preserve"> </w:t>
      </w:r>
      <w:r w:rsidRPr="00D851F9">
        <w:rPr>
          <w:i/>
        </w:rPr>
        <w:t>Id.</w:t>
      </w:r>
    </w:p>
  </w:footnote>
  <w:footnote w:id="217">
    <w:p w14:paraId="5188F1C3"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6 &amp; n17 (“the policies of the Act strongly support a finding that dues checkoff should be included with the overwhelming majority of terms and conditions of employment that remain in effect even after the contract containing them expires”)</w:t>
      </w:r>
    </w:p>
  </w:footnote>
  <w:footnote w:id="218">
    <w:p w14:paraId="0DAFA347" w14:textId="441A0DFC" w:rsidR="00CD3F94" w:rsidRPr="00AF6108" w:rsidRDefault="00CD3F94" w:rsidP="0086288C">
      <w:pPr>
        <w:pStyle w:val="FootnoteText"/>
      </w:pPr>
      <w:r>
        <w:rPr>
          <w:rStyle w:val="FootnoteReference"/>
        </w:rPr>
        <w:footnoteRef/>
      </w:r>
      <w:r>
        <w:t xml:space="preserve"> Krishkanamur, </w:t>
      </w:r>
      <w:r>
        <w:rPr>
          <w:i/>
        </w:rPr>
        <w:t>supra</w:t>
      </w:r>
      <w:r>
        <w:t xml:space="preserve"> note 10, at 825.</w:t>
      </w:r>
    </w:p>
  </w:footnote>
  <w:footnote w:id="219">
    <w:p w14:paraId="2617A1AD" w14:textId="50FBF978" w:rsidR="00CD3F94" w:rsidRPr="00D851F9" w:rsidRDefault="00CD3F94" w:rsidP="0086288C">
      <w:pPr>
        <w:pStyle w:val="FootnoteText"/>
      </w:pPr>
      <w:r w:rsidRPr="00D851F9">
        <w:rPr>
          <w:rStyle w:val="FootnoteReference"/>
        </w:rPr>
        <w:footnoteRef/>
      </w:r>
      <w:r w:rsidRPr="00D851F9">
        <w:t xml:space="preserve"> Gluck &amp; Bressman and Walker similarly found that legislative history helps explain the purpose of the statute, with 80% of respondents in the Walker survey also finding that legislative history also helped define terms. Gluck &amp; Bressman, </w:t>
      </w:r>
      <w:r>
        <w:rPr>
          <w:i/>
        </w:rPr>
        <w:t>Part I</w:t>
      </w:r>
      <w:r>
        <w:t xml:space="preserve">, </w:t>
      </w:r>
      <w:r w:rsidRPr="00D851F9">
        <w:rPr>
          <w:i/>
        </w:rPr>
        <w:t xml:space="preserve">supra </w:t>
      </w:r>
      <w:r w:rsidRPr="00D851F9">
        <w:t>note</w:t>
      </w:r>
      <w:r>
        <w:t xml:space="preserve"> 6</w:t>
      </w:r>
      <w:r w:rsidRPr="00D851F9">
        <w:t xml:space="preserve">, at 971 fig. 7; Walker, </w:t>
      </w:r>
      <w:r>
        <w:rPr>
          <w:i/>
        </w:rPr>
        <w:t xml:space="preserve">Inside </w:t>
      </w:r>
      <w:r w:rsidRPr="005D6AFE">
        <w:t>Agency</w:t>
      </w:r>
      <w:r>
        <w:t xml:space="preserve">, </w:t>
      </w:r>
      <w:r w:rsidRPr="005D6AFE">
        <w:rPr>
          <w:i/>
        </w:rPr>
        <w:t>supra</w:t>
      </w:r>
      <w:r w:rsidRPr="00D851F9">
        <w:t xml:space="preserve"> note</w:t>
      </w:r>
      <w:r>
        <w:t xml:space="preserve"> 6</w:t>
      </w:r>
      <w:r w:rsidRPr="00D851F9">
        <w:t xml:space="preserve">, at 1040. As one respondent in the Walker survey put it, “Legislative history can help to clarify Congress’s purpose in enacting particular provisions, which in turn can help the Agency resolve ambiguities in a way that is consistent with legislative intent.” </w:t>
      </w:r>
      <w:r>
        <w:rPr>
          <w:i/>
        </w:rPr>
        <w:t>Id.</w:t>
      </w:r>
      <w:r>
        <w:t xml:space="preserve"> at </w:t>
      </w:r>
      <w:r w:rsidRPr="00D851F9">
        <w:t xml:space="preserve">1044. </w:t>
      </w:r>
    </w:p>
  </w:footnote>
  <w:footnote w:id="220">
    <w:p w14:paraId="73A23D3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Northeast Ohio District Council of the United Brotherhood of Carpenters and Joinders of America et al., 310 N.L.R.B. 172, 1993 WL 104853, at 1(1993).</w:t>
      </w:r>
    </w:p>
  </w:footnote>
  <w:footnote w:id="221">
    <w:p w14:paraId="321453B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w:t>
      </w:r>
    </w:p>
  </w:footnote>
  <w:footnote w:id="222">
    <w:p w14:paraId="50DD0F77"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223">
    <w:p w14:paraId="4BA71C99"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r w:rsidRPr="00D851F9">
        <w:rPr>
          <w:rFonts w:ascii="Times New Roman" w:hAnsi="Times New Roman"/>
          <w:sz w:val="20"/>
        </w:rPr>
        <w:t>at 7.</w:t>
      </w:r>
    </w:p>
  </w:footnote>
  <w:footnote w:id="224">
    <w:p w14:paraId="650107A6"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r w:rsidRPr="00D851F9">
        <w:rPr>
          <w:rFonts w:ascii="Times New Roman" w:hAnsi="Times New Roman"/>
          <w:sz w:val="20"/>
        </w:rPr>
        <w:t>at 6.</w:t>
      </w:r>
    </w:p>
  </w:footnote>
  <w:footnote w:id="225">
    <w:p w14:paraId="738F64F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226">
    <w:p w14:paraId="5F221726"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w:t>
      </w:r>
    </w:p>
  </w:footnote>
  <w:footnote w:id="227">
    <w:p w14:paraId="39DEF388"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8. For instance, the Board said that a somewhat contrary statement by the bill’s sponsor, Senator Kennedy were too “ambiguous” to support a contrary reading of the statute, despite what the dissent argued. </w:t>
      </w:r>
      <w:r w:rsidRPr="00D851F9">
        <w:rPr>
          <w:rFonts w:ascii="Times New Roman" w:hAnsi="Times New Roman"/>
          <w:i/>
          <w:sz w:val="20"/>
        </w:rPr>
        <w:t xml:space="preserve">Id. </w:t>
      </w:r>
      <w:r w:rsidRPr="00D851F9">
        <w:rPr>
          <w:rFonts w:ascii="Times New Roman" w:hAnsi="Times New Roman"/>
          <w:sz w:val="20"/>
        </w:rPr>
        <w:t xml:space="preserve">at 9. </w:t>
      </w:r>
    </w:p>
  </w:footnote>
  <w:footnote w:id="228">
    <w:p w14:paraId="3931835F"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Id.</w:t>
      </w:r>
      <w:r w:rsidRPr="00D851F9">
        <w:rPr>
          <w:rFonts w:ascii="Times New Roman" w:hAnsi="Times New Roman"/>
          <w:i/>
          <w:sz w:val="20"/>
        </w:rPr>
        <w:t xml:space="preserve"> </w:t>
      </w:r>
      <w:r w:rsidRPr="00D851F9">
        <w:rPr>
          <w:rFonts w:ascii="Times New Roman" w:hAnsi="Times New Roman"/>
          <w:sz w:val="20"/>
        </w:rPr>
        <w:t xml:space="preserve">at 7. Specifically, the Board relied on a statement from the House Conference Report that the construction proviso was not meant to “change the present state of the law” as signifying that the proviso should be interpreted according to the “status quo” of the enacting legislature. </w:t>
      </w:r>
      <w:r w:rsidRPr="00D851F9">
        <w:rPr>
          <w:rFonts w:ascii="Times New Roman" w:hAnsi="Times New Roman"/>
          <w:i/>
          <w:sz w:val="20"/>
        </w:rPr>
        <w:t>Id</w:t>
      </w:r>
      <w:r>
        <w:rPr>
          <w:rFonts w:ascii="Times New Roman" w:hAnsi="Times New Roman"/>
          <w:i/>
          <w:sz w:val="20"/>
        </w:rPr>
        <w:t>.</w:t>
      </w:r>
      <w:r w:rsidRPr="00D851F9">
        <w:rPr>
          <w:rFonts w:ascii="Times New Roman" w:hAnsi="Times New Roman"/>
          <w:i/>
          <w:sz w:val="20"/>
        </w:rPr>
        <w:t xml:space="preserve"> </w:t>
      </w:r>
      <w:r w:rsidRPr="00D851F9">
        <w:rPr>
          <w:rFonts w:ascii="Times New Roman" w:hAnsi="Times New Roman"/>
          <w:sz w:val="20"/>
        </w:rPr>
        <w:t>at 8.</w:t>
      </w:r>
    </w:p>
  </w:footnote>
  <w:footnote w:id="229">
    <w:p w14:paraId="3B899A9F"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Lincoln Lutheran of Racine, 2015 WL 5047778, at *5 n17 (citing 93 Cong. Rec. 4876, reprinted in 2 NLRB, Legislative History of the Labor Management Relations Act, 1947, at 1311 (1948).</w:t>
      </w:r>
    </w:p>
  </w:footnote>
  <w:footnote w:id="230">
    <w:p w14:paraId="28FD87B3"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Service Employees International Union et al., 329 N.L.R.B. 64, 1999 WL 958483, at 14 (Sept. 30, 1999).</w:t>
      </w:r>
    </w:p>
  </w:footnote>
  <w:footnote w:id="231">
    <w:p w14:paraId="214BB1E0"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w:t>
      </w:r>
    </w:p>
  </w:footnote>
  <w:footnote w:id="232">
    <w:p w14:paraId="6FF39BA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14.</w:t>
      </w:r>
    </w:p>
  </w:footnote>
  <w:footnote w:id="233">
    <w:p w14:paraId="6FA7B8E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(noting that “[a]s clear as the legislative intent may appear, its boundaries … have consequently produced much additional gloss.”).</w:t>
      </w:r>
    </w:p>
  </w:footnote>
  <w:footnote w:id="234">
    <w:p w14:paraId="106E32CB" w14:textId="77777777" w:rsidR="00CD3F94" w:rsidRDefault="00CD3F94" w:rsidP="0086288C">
      <w:pPr>
        <w:pStyle w:val="FootnoteText"/>
      </w:pPr>
      <w:r>
        <w:rPr>
          <w:rStyle w:val="FootnoteReference"/>
        </w:rPr>
        <w:footnoteRef/>
      </w:r>
      <w:r>
        <w:t xml:space="preserve"> Int’l Paper Co., 319 N.L.R.B. 150 (1995).</w:t>
      </w:r>
    </w:p>
  </w:footnote>
  <w:footnote w:id="235">
    <w:p w14:paraId="6E9F4F5D" w14:textId="77777777" w:rsidR="00CD3F94" w:rsidRPr="00A24A31" w:rsidRDefault="00CD3F94" w:rsidP="0086288C">
      <w:pPr>
        <w:pStyle w:val="FootnoteText"/>
        <w:rPr>
          <w:i/>
        </w:rPr>
      </w:pPr>
      <w:r>
        <w:rPr>
          <w:rStyle w:val="FootnoteReference"/>
        </w:rPr>
        <w:footnoteRef/>
      </w:r>
      <w:r>
        <w:t xml:space="preserve"> </w:t>
      </w:r>
      <w:r>
        <w:rPr>
          <w:i/>
        </w:rPr>
        <w:t>Id.</w:t>
      </w:r>
    </w:p>
  </w:footnote>
  <w:footnote w:id="236">
    <w:p w14:paraId="70B496C6" w14:textId="77777777" w:rsidR="00CD3F94" w:rsidRDefault="00CD3F94" w:rsidP="0086288C">
      <w:pPr>
        <w:pStyle w:val="FootnoteText"/>
      </w:pPr>
      <w:r>
        <w:rPr>
          <w:rStyle w:val="FootnoteReference"/>
        </w:rPr>
        <w:footnoteRef/>
      </w:r>
      <w:r>
        <w:t xml:space="preserve"> Int’l Paper Co. v. N.L.R.B., 115 F.3d 1045 (1997) (refusing to enforce Board order, disagreeing with application of Supreme Court precedent).</w:t>
      </w:r>
    </w:p>
  </w:footnote>
  <w:footnote w:id="237">
    <w:p w14:paraId="5B090AA9" w14:textId="77777777" w:rsidR="00CD3F94" w:rsidRDefault="00CD3F94" w:rsidP="0086288C">
      <w:pPr>
        <w:pStyle w:val="FootnoteText"/>
      </w:pPr>
      <w:r>
        <w:rPr>
          <w:rStyle w:val="FootnoteReference"/>
        </w:rPr>
        <w:footnoteRef/>
      </w:r>
      <w:r>
        <w:t xml:space="preserve"> Mississippi Power &amp; Light Co., 328 N.L.R.B. 146 (1999). </w:t>
      </w:r>
    </w:p>
  </w:footnote>
  <w:footnote w:id="238">
    <w:p w14:paraId="04EAE26B" w14:textId="77777777" w:rsidR="00CD3F94" w:rsidRPr="00A24A31" w:rsidRDefault="00CD3F94" w:rsidP="0086288C">
      <w:pPr>
        <w:pStyle w:val="FootnoteText"/>
        <w:rPr>
          <w:i/>
        </w:rPr>
      </w:pPr>
      <w:r>
        <w:rPr>
          <w:rStyle w:val="FootnoteReference"/>
        </w:rPr>
        <w:footnoteRef/>
      </w:r>
      <w:r>
        <w:t xml:space="preserve"> </w:t>
      </w:r>
      <w:r w:rsidRPr="00A24A31">
        <w:rPr>
          <w:i/>
        </w:rPr>
        <w:t>Id.</w:t>
      </w:r>
    </w:p>
  </w:footnote>
  <w:footnote w:id="239">
    <w:p w14:paraId="41FCE15D" w14:textId="77777777" w:rsidR="00CD3F94" w:rsidRDefault="00CD3F94" w:rsidP="0086288C">
      <w:pPr>
        <w:pStyle w:val="FootnoteText"/>
      </w:pPr>
      <w:r>
        <w:rPr>
          <w:rStyle w:val="FootnoteReference"/>
        </w:rPr>
        <w:footnoteRef/>
      </w:r>
      <w:r>
        <w:t xml:space="preserve"> Martin Luther Memorial Home., Inc., 343 N.L.R.B. 75 (2004).</w:t>
      </w:r>
    </w:p>
  </w:footnote>
  <w:footnote w:id="240">
    <w:p w14:paraId="1D5E72FF" w14:textId="77777777" w:rsidR="00CD3F94" w:rsidRDefault="00CD3F94" w:rsidP="0086288C">
      <w:pPr>
        <w:pStyle w:val="FootnoteText"/>
      </w:pPr>
      <w:r>
        <w:rPr>
          <w:rStyle w:val="FootnoteReference"/>
        </w:rPr>
        <w:footnoteRef/>
      </w:r>
      <w:r>
        <w:t xml:space="preserve"> Murphy Oil USA, Inc., 361 N.L.R.B. 72 (2014) (rejecting guidance of Fifth Circuit).</w:t>
      </w:r>
    </w:p>
  </w:footnote>
  <w:footnote w:id="241">
    <w:p w14:paraId="4B6E5BAE"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Because much of the Board’s interpretation is so caselaw-based it is difficult to tease out exactly how they are interpreting statutes as they cite to Supreme Court or Board decisions, which in turn have internal citations to statutory interpretation or references to legislative history. Moreover, in about 35% of cases, the Board advances concerns for practical implications of its rulings, such as the impact imposing a strict deadline will have on striking words </w:t>
      </w:r>
      <w:r>
        <w:rPr>
          <w:rFonts w:ascii="Times New Roman" w:hAnsi="Times New Roman"/>
          <w:sz w:val="20"/>
        </w:rPr>
        <w:t>if they strictly read the text.</w:t>
      </w:r>
    </w:p>
  </w:footnote>
  <w:footnote w:id="242">
    <w:p w14:paraId="63C00125" w14:textId="6D0D169A" w:rsidR="00CD3F94" w:rsidRPr="00D851F9" w:rsidRDefault="00CD3F94" w:rsidP="0086288C">
      <w:pPr>
        <w:pStyle w:val="FootnoteText"/>
      </w:pPr>
      <w:r w:rsidRPr="00D851F9">
        <w:rPr>
          <w:rStyle w:val="FootnoteReference"/>
        </w:rPr>
        <w:footnoteRef/>
      </w:r>
      <w:r w:rsidRPr="00D851F9">
        <w:t xml:space="preserve"> Fisk &amp; Malamud, </w:t>
      </w:r>
      <w:r w:rsidRPr="00D851F9">
        <w:rPr>
          <w:i/>
        </w:rPr>
        <w:t>supra</w:t>
      </w:r>
      <w:r>
        <w:t xml:space="preserve"> note 24</w:t>
      </w:r>
      <w:r w:rsidRPr="00D851F9">
        <w:t>, at 2020.</w:t>
      </w:r>
    </w:p>
  </w:footnote>
  <w:footnote w:id="243">
    <w:p w14:paraId="57F8C799"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Brown Univ., 342 N.L.R.B. at 483.</w:t>
      </w:r>
    </w:p>
  </w:footnote>
  <w:footnote w:id="244">
    <w:p w14:paraId="7E0E2CA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27. </w:t>
      </w:r>
    </w:p>
  </w:footnote>
  <w:footnote w:id="245">
    <w:p w14:paraId="00D39DA5"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36. </w:t>
      </w:r>
    </w:p>
  </w:footnote>
  <w:footnote w:id="246">
    <w:p w14:paraId="51538567" w14:textId="77777777" w:rsidR="00CD3F94" w:rsidRPr="00D851F9" w:rsidRDefault="00CD3F94" w:rsidP="0086288C">
      <w:pPr>
        <w:pStyle w:val="FootnoteText"/>
      </w:pPr>
      <w:r w:rsidRPr="00D851F9">
        <w:rPr>
          <w:rStyle w:val="FootnoteReference"/>
        </w:rPr>
        <w:footnoteRef/>
      </w:r>
      <w:r w:rsidRPr="00D851F9">
        <w:t xml:space="preserve"> Colum. Univ., Case No. 02-RC-143012, 364 N.L.R.B. 90 (Aug. 23, 2016).</w:t>
      </w:r>
    </w:p>
  </w:footnote>
  <w:footnote w:id="247">
    <w:p w14:paraId="0C319EAF"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7.</w:t>
      </w:r>
    </w:p>
  </w:footnote>
  <w:footnote w:id="248">
    <w:p w14:paraId="66A14B7B"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159.</w:t>
      </w:r>
    </w:p>
  </w:footnote>
  <w:footnote w:id="249">
    <w:p w14:paraId="54D99875"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 xml:space="preserve">Id. </w:t>
      </w:r>
      <w:r w:rsidRPr="00D851F9">
        <w:t>at 159-60.</w:t>
      </w:r>
    </w:p>
  </w:footnote>
  <w:footnote w:id="250">
    <w:p w14:paraId="3ABA9420"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163. </w:t>
      </w:r>
    </w:p>
  </w:footnote>
  <w:footnote w:id="251">
    <w:p w14:paraId="22D15E60"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163. </w:t>
      </w:r>
    </w:p>
  </w:footnote>
  <w:footnote w:id="252">
    <w:p w14:paraId="551E5F0B" w14:textId="77777777" w:rsidR="00CD3F94" w:rsidRPr="00D851F9" w:rsidRDefault="00CD3F94" w:rsidP="0086288C">
      <w:pPr>
        <w:pStyle w:val="FootnoteText"/>
        <w:rPr>
          <w:i/>
        </w:rPr>
      </w:pPr>
      <w:r w:rsidRPr="00D851F9">
        <w:rPr>
          <w:rStyle w:val="FootnoteReference"/>
        </w:rPr>
        <w:footnoteRef/>
      </w:r>
      <w:r w:rsidRPr="00D851F9">
        <w:t xml:space="preserve"> </w:t>
      </w:r>
      <w:r w:rsidRPr="00D851F9">
        <w:rPr>
          <w:i/>
        </w:rPr>
        <w:t>Id.</w:t>
      </w:r>
    </w:p>
  </w:footnote>
  <w:footnote w:id="253">
    <w:p w14:paraId="0930FE7E"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Id.</w:t>
      </w:r>
      <w:r w:rsidRPr="00D851F9">
        <w:t xml:space="preserve"> at 153-156.</w:t>
      </w:r>
    </w:p>
  </w:footnote>
  <w:footnote w:id="254">
    <w:p w14:paraId="379FE4E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Browning-Ferris Industries of California, Inc. et al., 326 N.L.R.B. 186 (2015).</w:t>
      </w:r>
    </w:p>
  </w:footnote>
  <w:footnote w:id="255">
    <w:p w14:paraId="0C1DC73E"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at 2.</w:t>
      </w:r>
    </w:p>
  </w:footnote>
  <w:footnote w:id="256">
    <w:p w14:paraId="6D714E0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257">
    <w:p w14:paraId="2ECAEE02"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15.</w:t>
      </w:r>
    </w:p>
  </w:footnote>
  <w:footnote w:id="258">
    <w:p w14:paraId="3A1994A0"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259">
    <w:p w14:paraId="0267860F"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17.</w:t>
      </w:r>
    </w:p>
  </w:footnote>
  <w:footnote w:id="260">
    <w:p w14:paraId="588EAF4F"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20-21.</w:t>
      </w:r>
    </w:p>
  </w:footnote>
  <w:footnote w:id="261">
    <w:p w14:paraId="74E85CF0"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24. The Board cited to the Supreme Court in noting that “[t]he use by an administrative agency of the evolutional approach is particularly fitting. To hold that the Board’s earlier decisions froze the development … of the national labor law would misconceive the nature of administrative decisionmaking.” </w:t>
      </w:r>
      <w:r w:rsidRPr="00D851F9">
        <w:rPr>
          <w:rFonts w:ascii="Times New Roman" w:hAnsi="Times New Roman"/>
          <w:i/>
          <w:sz w:val="20"/>
        </w:rPr>
        <w:t>Id.</w:t>
      </w:r>
      <w:r w:rsidRPr="00D851F9">
        <w:rPr>
          <w:rFonts w:ascii="Times New Roman" w:hAnsi="Times New Roman"/>
          <w:sz w:val="20"/>
        </w:rPr>
        <w:t xml:space="preserve"> at 24 (internal citations omitted).</w:t>
      </w:r>
    </w:p>
  </w:footnote>
  <w:footnote w:id="262">
    <w:p w14:paraId="114261F8"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Auciello Iron Works, Inc. et al., 317 N.L.R.B. 60, 369, 1995 WL 291061, at *7 (1995).</w:t>
      </w:r>
    </w:p>
  </w:footnote>
  <w:footnote w:id="263">
    <w:p w14:paraId="3AB52775"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w:t>
      </w:r>
    </w:p>
  </w:footnote>
  <w:footnote w:id="264">
    <w:p w14:paraId="52B78E77"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N.L.R.B. v. Aucielle Iron Works, 980 F.2d 804, 812 (1</w:t>
      </w:r>
      <w:r w:rsidRPr="00D851F9">
        <w:rPr>
          <w:rFonts w:ascii="Times New Roman" w:hAnsi="Times New Roman"/>
          <w:sz w:val="20"/>
          <w:vertAlign w:val="superscript"/>
        </w:rPr>
        <w:t>st</w:t>
      </w:r>
      <w:r w:rsidRPr="00D851F9">
        <w:rPr>
          <w:rFonts w:ascii="Times New Roman" w:hAnsi="Times New Roman"/>
          <w:sz w:val="20"/>
        </w:rPr>
        <w:t xml:space="preserve"> Cir. 1992).</w:t>
      </w:r>
    </w:p>
  </w:footnote>
  <w:footnote w:id="265">
    <w:p w14:paraId="66E158B3"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812 (noting that “we reaffirm as consistent with our statutory mandate and the practicalities of case litigation the rule that once the union accepts the employer’s offer, in the absence of a previous assertion of good faith doubt or other changed circumstance to call into question the union’s competence to enter into a contract, the parties have formed a valid contract precluding the employer from raising a good faith doubt or refusing to bargain with the union…”).</w:t>
      </w:r>
    </w:p>
  </w:footnote>
  <w:footnote w:id="266">
    <w:p w14:paraId="6E14B353" w14:textId="5AA8B888" w:rsidR="00CD3F94" w:rsidRPr="00D851F9" w:rsidRDefault="00CD3F94" w:rsidP="0086288C">
      <w:pPr>
        <w:pStyle w:val="FootnoteText"/>
        <w:rPr>
          <w:i/>
        </w:rPr>
      </w:pPr>
      <w:r w:rsidRPr="00D851F9">
        <w:rPr>
          <w:rStyle w:val="FootnoteReference"/>
        </w:rPr>
        <w:footnoteRef/>
      </w:r>
      <w:r w:rsidRPr="00D851F9">
        <w:t xml:space="preserve"> In his survey, Walker found that many rule drafters commented on the declining usefulness of legislative history. Walker,</w:t>
      </w:r>
      <w:r>
        <w:t xml:space="preserve"> </w:t>
      </w:r>
      <w:r w:rsidRPr="002D5EA8">
        <w:rPr>
          <w:i/>
        </w:rPr>
        <w:t>Inside Agency</w:t>
      </w:r>
      <w:r>
        <w:t>,</w:t>
      </w:r>
      <w:r w:rsidRPr="00D851F9">
        <w:t xml:space="preserve"> </w:t>
      </w:r>
      <w:r w:rsidRPr="00D851F9">
        <w:rPr>
          <w:i/>
        </w:rPr>
        <w:t>supra</w:t>
      </w:r>
      <w:r w:rsidRPr="00D851F9">
        <w:t xml:space="preserve"> note</w:t>
      </w:r>
      <w:r>
        <w:t xml:space="preserve"> 6</w:t>
      </w:r>
      <w:r w:rsidRPr="00D851F9">
        <w:t xml:space="preserve">, at 1040. As one respondent noted: “Legislative history is sometimes useful, but it is becoming less so. Congress puts less time into drafting legislative history that is useful to interpretation of the statute and leaving more of the work to agencies. The administrative rulemaking process is taking on a larger role in shaping the rules that actually apply to the country.” </w:t>
      </w:r>
      <w:r w:rsidRPr="00D851F9">
        <w:rPr>
          <w:i/>
        </w:rPr>
        <w:t>Id.</w:t>
      </w:r>
    </w:p>
  </w:footnote>
  <w:footnote w:id="267">
    <w:p w14:paraId="2B30715D" w14:textId="6FC19570" w:rsidR="00CD3F94" w:rsidRPr="00D851F9" w:rsidRDefault="00CD3F94" w:rsidP="0086288C">
      <w:pPr>
        <w:pStyle w:val="FootnoteText"/>
      </w:pPr>
      <w:r w:rsidRPr="00D851F9">
        <w:rPr>
          <w:rStyle w:val="FootnoteReference"/>
        </w:rPr>
        <w:footnoteRef/>
      </w:r>
      <w:r w:rsidRPr="00D851F9">
        <w:t xml:space="preserve"> Gluck &amp; Bressman, </w:t>
      </w:r>
      <w:r w:rsidRPr="00D851F9">
        <w:rPr>
          <w:i/>
        </w:rPr>
        <w:t>supra</w:t>
      </w:r>
      <w:r w:rsidRPr="00D851F9">
        <w:t xml:space="preserve"> note</w:t>
      </w:r>
      <w:r>
        <w:t xml:space="preserve"> 6</w:t>
      </w:r>
      <w:r w:rsidRPr="00D851F9">
        <w:t xml:space="preserve">, at 936. </w:t>
      </w:r>
    </w:p>
  </w:footnote>
  <w:footnote w:id="268">
    <w:p w14:paraId="7C79BA26"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 xml:space="preserve">Id. </w:t>
      </w:r>
      <w:r w:rsidRPr="00D851F9">
        <w:t xml:space="preserve">at 937. </w:t>
      </w:r>
    </w:p>
  </w:footnote>
  <w:footnote w:id="269">
    <w:p w14:paraId="64E73AF0" w14:textId="745DDA74"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Pr>
          <w:rFonts w:ascii="Times New Roman" w:hAnsi="Times New Roman"/>
          <w:sz w:val="20"/>
        </w:rPr>
        <w:t xml:space="preserve"> </w:t>
      </w:r>
      <w:r w:rsidRPr="00D851F9">
        <w:rPr>
          <w:rFonts w:ascii="Times New Roman" w:hAnsi="Times New Roman"/>
          <w:sz w:val="20"/>
        </w:rPr>
        <w:t xml:space="preserve">Krishmanuar,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10,</w:t>
      </w:r>
      <w:r w:rsidRPr="00D851F9">
        <w:rPr>
          <w:rFonts w:ascii="Times New Roman" w:hAnsi="Times New Roman"/>
          <w:sz w:val="20"/>
        </w:rPr>
        <w:t xml:space="preserve"> at 961.</w:t>
      </w:r>
    </w:p>
  </w:footnote>
  <w:footnote w:id="270">
    <w:p w14:paraId="15CD0233"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 xml:space="preserve">d. </w:t>
      </w:r>
      <w:r w:rsidRPr="00D851F9">
        <w:rPr>
          <w:rFonts w:ascii="Times New Roman" w:hAnsi="Times New Roman"/>
          <w:sz w:val="20"/>
        </w:rPr>
        <w:t xml:space="preserve">at 971. </w:t>
      </w:r>
    </w:p>
  </w:footnote>
  <w:footnote w:id="271">
    <w:p w14:paraId="74DA1F6A" w14:textId="77777777" w:rsidR="00CD3F94" w:rsidRDefault="00CD3F94" w:rsidP="0086288C">
      <w:pPr>
        <w:pStyle w:val="FootnoteText"/>
      </w:pPr>
      <w:r>
        <w:rPr>
          <w:rStyle w:val="FootnoteReference"/>
        </w:rPr>
        <w:footnoteRef/>
      </w:r>
      <w:r>
        <w:t xml:space="preserve"> As noted, there was only one Democratic dissenting panel during the Obama administration. </w:t>
      </w:r>
    </w:p>
  </w:footnote>
  <w:footnote w:id="272">
    <w:p w14:paraId="6EF40AE2"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This is why we see the sharp uptake up to 21% in CB cases under “Statute” in Table 13.</w:t>
      </w:r>
    </w:p>
  </w:footnote>
  <w:footnote w:id="273">
    <w:p w14:paraId="2352772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Alexandria Clinic, P.A. et al, 339 N.L.R.B. 162, 2003 WL 22027491, at *5.</w:t>
      </w:r>
    </w:p>
  </w:footnote>
  <w:footnote w:id="274">
    <w:p w14:paraId="2DB251DD" w14:textId="77777777" w:rsidR="00CD3F94" w:rsidRPr="000168C3" w:rsidRDefault="00CD3F94" w:rsidP="0086288C">
      <w:pPr>
        <w:pStyle w:val="FootnoteText"/>
        <w:rPr>
          <w:i/>
        </w:rPr>
      </w:pPr>
      <w:r>
        <w:rPr>
          <w:rStyle w:val="FootnoteReference"/>
        </w:rPr>
        <w:footnoteRef/>
      </w:r>
      <w:r>
        <w:t xml:space="preserve"> </w:t>
      </w:r>
      <w:r>
        <w:rPr>
          <w:i/>
        </w:rPr>
        <w:t>Id.</w:t>
      </w:r>
    </w:p>
  </w:footnote>
  <w:footnote w:id="275">
    <w:p w14:paraId="2CFB4954"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15.</w:t>
      </w:r>
    </w:p>
  </w:footnote>
  <w:footnote w:id="276">
    <w:p w14:paraId="3F38DE47"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at 16 (citing S. Rep. 93-766, 93d Cong., 2d Sess, at 4; H.R. Rep. 93-1051, 93d Cong., 2d Sess., at 5, as reprinted in Legislative History of the Coverage of Nonprofit Hospitals under the National Labor Relations Act, 1974, at 11 &amp; 273 (1974).</w:t>
      </w:r>
    </w:p>
  </w:footnote>
  <w:footnote w:id="277">
    <w:p w14:paraId="03B41D91"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16. </w:t>
      </w:r>
    </w:p>
  </w:footnote>
  <w:footnote w:id="278">
    <w:p w14:paraId="2FDEFA00"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Alexandria Clinic, P.A. et al., 339 N.L.R.B. 162, 2003 WL 22027491, at *5 (2003).</w:t>
      </w:r>
    </w:p>
  </w:footnote>
  <w:footnote w:id="279">
    <w:p w14:paraId="18299FEE"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7.</w:t>
      </w:r>
    </w:p>
  </w:footnote>
  <w:footnote w:id="280">
    <w:p w14:paraId="0FE91D58"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w:t>
      </w:r>
    </w:p>
  </w:footnote>
  <w:footnote w:id="281">
    <w:p w14:paraId="7D176F10"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14.</w:t>
      </w:r>
    </w:p>
  </w:footnote>
  <w:footnote w:id="282">
    <w:p w14:paraId="070CBE90" w14:textId="77777777" w:rsidR="00CD3F94" w:rsidRPr="00D851F9"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p>
  </w:footnote>
  <w:footnote w:id="283">
    <w:p w14:paraId="0EF756A2"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15. </w:t>
      </w:r>
    </w:p>
  </w:footnote>
  <w:footnote w:id="284">
    <w:p w14:paraId="41C340CB"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16. </w:t>
      </w:r>
    </w:p>
  </w:footnote>
  <w:footnote w:id="285">
    <w:p w14:paraId="7A999192"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17.</w:t>
      </w:r>
    </w:p>
  </w:footnote>
  <w:footnote w:id="286">
    <w:p w14:paraId="70728878" w14:textId="4EE0E0E0"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Krishnakumara,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10</w:t>
      </w:r>
      <w:r w:rsidRPr="00D851F9">
        <w:rPr>
          <w:rFonts w:ascii="Times New Roman" w:hAnsi="Times New Roman"/>
          <w:sz w:val="20"/>
        </w:rPr>
        <w:t>, at 959.</w:t>
      </w:r>
    </w:p>
  </w:footnote>
  <w:footnote w:id="287">
    <w:p w14:paraId="74EA5C4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Krishnakumara found that for most canons used during the Roberts court, “reliance by a majority opinion is not resulting in a dissenting opinion countering that </w:t>
      </w:r>
      <w:r w:rsidRPr="00D851F9">
        <w:rPr>
          <w:rFonts w:ascii="Times New Roman" w:hAnsi="Times New Roman"/>
          <w:i/>
          <w:sz w:val="20"/>
        </w:rPr>
        <w:t>same</w:t>
      </w:r>
      <w:r w:rsidRPr="00D851F9">
        <w:rPr>
          <w:rFonts w:ascii="Times New Roman" w:hAnsi="Times New Roman"/>
          <w:sz w:val="20"/>
        </w:rPr>
        <w:t xml:space="preserve"> canon or tool most of the time (in roug</w:t>
      </w:r>
      <w:r>
        <w:rPr>
          <w:rFonts w:ascii="Times New Roman" w:hAnsi="Times New Roman"/>
          <w:sz w:val="20"/>
        </w:rPr>
        <w:t>hly 75 percent of the cases.”).</w:t>
      </w:r>
      <w:r w:rsidRPr="00D851F9">
        <w:rPr>
          <w:rFonts w:ascii="Times New Roman" w:hAnsi="Times New Roman"/>
          <w:sz w:val="20"/>
        </w:rPr>
        <w:t xml:space="preserve"> </w:t>
      </w:r>
      <w:r>
        <w:rPr>
          <w:rFonts w:ascii="Times New Roman" w:hAnsi="Times New Roman"/>
          <w:i/>
          <w:sz w:val="20"/>
        </w:rPr>
        <w:t>I</w:t>
      </w:r>
      <w:r w:rsidRPr="00D851F9">
        <w:rPr>
          <w:rFonts w:ascii="Times New Roman" w:hAnsi="Times New Roman"/>
          <w:i/>
          <w:sz w:val="20"/>
        </w:rPr>
        <w:t xml:space="preserve">d. </w:t>
      </w:r>
      <w:r w:rsidRPr="00D851F9">
        <w:rPr>
          <w:rFonts w:ascii="Times New Roman" w:hAnsi="Times New Roman"/>
          <w:sz w:val="20"/>
        </w:rPr>
        <w:t>at 960</w:t>
      </w:r>
      <w:r w:rsidRPr="00D851F9">
        <w:rPr>
          <w:rFonts w:ascii="Times New Roman" w:hAnsi="Times New Roman"/>
          <w:i/>
          <w:sz w:val="20"/>
        </w:rPr>
        <w:t xml:space="preserve">. </w:t>
      </w:r>
      <w:r w:rsidRPr="00D851F9">
        <w:rPr>
          <w:rFonts w:ascii="Times New Roman" w:hAnsi="Times New Roman"/>
          <w:sz w:val="20"/>
        </w:rPr>
        <w:t>She found that only the plain meaning rule and Supreme Court precedent to be used in a dueling manner, while other can</w:t>
      </w:r>
      <w:r>
        <w:rPr>
          <w:rFonts w:ascii="Times New Roman" w:hAnsi="Times New Roman"/>
          <w:sz w:val="20"/>
        </w:rPr>
        <w:t>ons commonly seen as suscep</w:t>
      </w:r>
      <w:r w:rsidRPr="00D851F9">
        <w:rPr>
          <w:rFonts w:ascii="Times New Roman" w:hAnsi="Times New Roman"/>
          <w:sz w:val="20"/>
        </w:rPr>
        <w:t>tible to mul</w:t>
      </w:r>
      <w:r>
        <w:rPr>
          <w:rFonts w:ascii="Times New Roman" w:hAnsi="Times New Roman"/>
          <w:sz w:val="20"/>
        </w:rPr>
        <w:t>tiple interpretations—</w:t>
      </w:r>
      <w:r w:rsidRPr="00D851F9">
        <w:rPr>
          <w:rFonts w:ascii="Times New Roman" w:hAnsi="Times New Roman"/>
          <w:sz w:val="20"/>
        </w:rPr>
        <w:t xml:space="preserve">such as legislative history- were often not invoked in a dueling way by justices. </w:t>
      </w:r>
      <w:r>
        <w:rPr>
          <w:rFonts w:ascii="Times New Roman" w:hAnsi="Times New Roman"/>
          <w:i/>
          <w:sz w:val="20"/>
        </w:rPr>
        <w:t>I</w:t>
      </w:r>
      <w:r w:rsidRPr="00D851F9">
        <w:rPr>
          <w:rFonts w:ascii="Times New Roman" w:hAnsi="Times New Roman"/>
          <w:i/>
          <w:sz w:val="20"/>
        </w:rPr>
        <w:t>d.</w:t>
      </w:r>
      <w:r w:rsidRPr="00D851F9">
        <w:rPr>
          <w:rFonts w:ascii="Times New Roman" w:hAnsi="Times New Roman"/>
          <w:sz w:val="20"/>
        </w:rPr>
        <w:t xml:space="preserve"> at 960.</w:t>
      </w:r>
    </w:p>
  </w:footnote>
  <w:footnote w:id="288">
    <w:p w14:paraId="5DE3E7CA" w14:textId="77777777" w:rsidR="00CD3F94" w:rsidRPr="00D851F9" w:rsidRDefault="00CD3F94" w:rsidP="0086288C">
      <w:pPr>
        <w:rPr>
          <w:rFonts w:ascii="Times New Roman" w:hAnsi="Times New Roman"/>
          <w:smallCaps/>
          <w:sz w:val="20"/>
        </w:rPr>
      </w:pPr>
      <w:r w:rsidRPr="00D851F9">
        <w:rPr>
          <w:rStyle w:val="FootnoteReference"/>
          <w:rFonts w:ascii="Times New Roman" w:hAnsi="Times New Roman"/>
          <w:sz w:val="20"/>
        </w:rPr>
        <w:footnoteRef/>
      </w:r>
      <w:r w:rsidRPr="00D851F9">
        <w:rPr>
          <w:rFonts w:ascii="Times New Roman" w:hAnsi="Times New Roman"/>
          <w:sz w:val="20"/>
        </w:rPr>
        <w:t xml:space="preserve"> James Brudney, </w:t>
      </w:r>
      <w:r w:rsidRPr="00D851F9">
        <w:rPr>
          <w:rFonts w:ascii="Times New Roman" w:hAnsi="Times New Roman"/>
          <w:i/>
          <w:sz w:val="20"/>
        </w:rPr>
        <w:t>Isolated and Politicized: The NLRB’s Uncertain Future</w:t>
      </w:r>
      <w:r w:rsidRPr="00D851F9">
        <w:rPr>
          <w:rFonts w:ascii="Times New Roman" w:hAnsi="Times New Roman"/>
          <w:sz w:val="20"/>
        </w:rPr>
        <w:t xml:space="preserve">, 26 </w:t>
      </w:r>
      <w:r w:rsidRPr="00D851F9">
        <w:rPr>
          <w:rFonts w:ascii="Times New Roman" w:hAnsi="Times New Roman"/>
          <w:smallCaps/>
          <w:sz w:val="20"/>
        </w:rPr>
        <w:t>Comp. Lab. L. &amp; Pol’y</w:t>
      </w:r>
      <w:r w:rsidRPr="00D851F9">
        <w:rPr>
          <w:rFonts w:ascii="Times New Roman" w:hAnsi="Times New Roman"/>
          <w:sz w:val="20"/>
        </w:rPr>
        <w:t xml:space="preserve">, 221, 244 &amp; n.10 (2005). </w:t>
      </w:r>
    </w:p>
  </w:footnote>
  <w:footnote w:id="289">
    <w:p w14:paraId="0B4006EE" w14:textId="61CA062D" w:rsidR="00CD3F94" w:rsidRPr="00D851F9" w:rsidRDefault="00CD3F94" w:rsidP="0086288C">
      <w:pPr>
        <w:pStyle w:val="FootnoteText"/>
      </w:pPr>
      <w:r w:rsidRPr="00D851F9">
        <w:rPr>
          <w:rStyle w:val="FootnoteReference"/>
        </w:rPr>
        <w:footnoteRef/>
      </w:r>
      <w:r w:rsidRPr="00D851F9">
        <w:t xml:space="preserve"> Fisk &amp; Malamud, </w:t>
      </w:r>
      <w:r w:rsidRPr="00D851F9">
        <w:rPr>
          <w:i/>
        </w:rPr>
        <w:t xml:space="preserve">supra </w:t>
      </w:r>
      <w:r>
        <w:t>note 24</w:t>
      </w:r>
      <w:r w:rsidRPr="00D851F9">
        <w:t xml:space="preserve">, at 2019. </w:t>
      </w:r>
    </w:p>
  </w:footnote>
  <w:footnote w:id="290">
    <w:p w14:paraId="3C157570" w14:textId="4A85B67A" w:rsidR="00CD3F94" w:rsidRPr="005D6AFE" w:rsidRDefault="00CD3F94" w:rsidP="005D6AFE">
      <w:pPr>
        <w:rPr>
          <w:rFonts w:ascii="Times New Roman" w:hAnsi="Times New Roman"/>
          <w:sz w:val="20"/>
        </w:rPr>
      </w:pPr>
      <w:r>
        <w:rPr>
          <w:rStyle w:val="FootnoteReference"/>
        </w:rPr>
        <w:footnoteRef/>
      </w:r>
      <w:r>
        <w:t xml:space="preserve"> </w:t>
      </w:r>
      <w:r>
        <w:rPr>
          <w:rFonts w:ascii="Times New Roman" w:hAnsi="Times New Roman"/>
          <w:sz w:val="20"/>
        </w:rPr>
        <w:t>In an examination of briefs given to Solicitor G</w:t>
      </w:r>
      <w:r w:rsidRPr="00760686">
        <w:rPr>
          <w:rFonts w:ascii="Times New Roman" w:hAnsi="Times New Roman"/>
          <w:sz w:val="20"/>
        </w:rPr>
        <w:t>eneral, Margaret Lemos notes that the Solicitor General’s screening process “perpetuates a court-centered rather than agency-centered mode of statutory interpretation.”</w:t>
      </w:r>
      <w:r>
        <w:rPr>
          <w:rFonts w:ascii="Times New Roman" w:hAnsi="Times New Roman"/>
          <w:sz w:val="20"/>
        </w:rPr>
        <w:t xml:space="preserve"> Margaret H. Lemos, </w:t>
      </w:r>
      <w:r>
        <w:rPr>
          <w:rFonts w:ascii="Times New Roman" w:hAnsi="Times New Roman"/>
          <w:i/>
          <w:sz w:val="20"/>
        </w:rPr>
        <w:t>The Solicitor General as Mediator Between Court and Agency</w:t>
      </w:r>
      <w:r>
        <w:rPr>
          <w:rFonts w:ascii="Times New Roman" w:hAnsi="Times New Roman"/>
          <w:sz w:val="20"/>
        </w:rPr>
        <w:t xml:space="preserve">, 2009 </w:t>
      </w:r>
      <w:r w:rsidRPr="00C85401">
        <w:rPr>
          <w:rFonts w:ascii="Times New Roman" w:hAnsi="Times New Roman"/>
          <w:smallCaps/>
          <w:sz w:val="20"/>
        </w:rPr>
        <w:t>Mich. St. L. Rev</w:t>
      </w:r>
      <w:r>
        <w:rPr>
          <w:rFonts w:ascii="Times New Roman" w:hAnsi="Times New Roman"/>
          <w:sz w:val="20"/>
        </w:rPr>
        <w:t>. 185, 185 (2009).</w:t>
      </w:r>
    </w:p>
  </w:footnote>
  <w:footnote w:id="291">
    <w:p w14:paraId="1E472DCB" w14:textId="77777777" w:rsidR="00CD3F94" w:rsidRPr="00221DB8" w:rsidRDefault="00CD3F94" w:rsidP="0086288C">
      <w:pPr>
        <w:pStyle w:val="FootnoteText"/>
      </w:pPr>
      <w:r>
        <w:rPr>
          <w:rStyle w:val="FootnoteReference"/>
        </w:rPr>
        <w:footnoteRef/>
      </w:r>
      <w:r>
        <w:t xml:space="preserve"> </w:t>
      </w:r>
      <w:r>
        <w:rPr>
          <w:i/>
        </w:rPr>
        <w:t>Id.</w:t>
      </w:r>
      <w:r>
        <w:t xml:space="preserve"> at 1172.</w:t>
      </w:r>
    </w:p>
  </w:footnote>
  <w:footnote w:id="292">
    <w:p w14:paraId="2BB49200" w14:textId="77777777" w:rsidR="00CD3F94" w:rsidRPr="00FB536A" w:rsidRDefault="00CD3F94" w:rsidP="0086288C">
      <w:pPr>
        <w:pStyle w:val="FootnoteText"/>
      </w:pPr>
      <w:r>
        <w:rPr>
          <w:rStyle w:val="FootnoteReference"/>
        </w:rPr>
        <w:footnoteRef/>
      </w:r>
      <w:r>
        <w:t xml:space="preserve"> </w:t>
      </w:r>
      <w:r>
        <w:rPr>
          <w:i/>
        </w:rPr>
        <w:t>See, e.g.,</w:t>
      </w:r>
      <w:r>
        <w:t xml:space="preserve"> Jeffrey A. Pojanowski, </w:t>
      </w:r>
      <w:r>
        <w:rPr>
          <w:i/>
        </w:rPr>
        <w:t>Reading Statutes in the Common Law Tradition</w:t>
      </w:r>
      <w:r>
        <w:t xml:space="preserve">, 101 </w:t>
      </w:r>
      <w:r w:rsidRPr="00760686">
        <w:rPr>
          <w:smallCaps/>
        </w:rPr>
        <w:t>Va. L. Rev</w:t>
      </w:r>
      <w:r>
        <w:t>. 1357, 1374 (2015).</w:t>
      </w:r>
    </w:p>
  </w:footnote>
  <w:footnote w:id="293">
    <w:p w14:paraId="4951C7E4" w14:textId="1A7A430A" w:rsidR="00CD3F94" w:rsidRPr="00AA4D70" w:rsidRDefault="00CD3F94" w:rsidP="0086288C">
      <w:pPr>
        <w:pStyle w:val="FootnoteText"/>
      </w:pPr>
      <w:r>
        <w:rPr>
          <w:rStyle w:val="FootnoteReference"/>
        </w:rPr>
        <w:footnoteRef/>
      </w:r>
      <w:r>
        <w:t xml:space="preserve"> Solan, </w:t>
      </w:r>
      <w:r>
        <w:rPr>
          <w:i/>
        </w:rPr>
        <w:t xml:space="preserve">supra </w:t>
      </w:r>
      <w:r>
        <w:t>note 17, at 1187.</w:t>
      </w:r>
    </w:p>
  </w:footnote>
  <w:footnote w:id="294">
    <w:p w14:paraId="616E5104" w14:textId="77777777" w:rsidR="00CD3F94" w:rsidRPr="000B4E23" w:rsidRDefault="00CD3F94" w:rsidP="0086288C">
      <w:pPr>
        <w:pStyle w:val="FootnoteText"/>
      </w:pPr>
      <w:r>
        <w:rPr>
          <w:rStyle w:val="FootnoteReference"/>
        </w:rPr>
        <w:footnoteRef/>
      </w:r>
      <w:r>
        <w:t xml:space="preserve"> Karl N. Llewellyn, </w:t>
      </w:r>
      <w:r w:rsidRPr="00760686">
        <w:rPr>
          <w:smallCaps/>
        </w:rPr>
        <w:t>The Common Law Tradition: Deciding Appeals</w:t>
      </w:r>
      <w:r>
        <w:t xml:space="preserve"> 77-91 (Little, Brown 1990).</w:t>
      </w:r>
    </w:p>
  </w:footnote>
  <w:footnote w:id="295">
    <w:p w14:paraId="6026E277" w14:textId="19AAD305" w:rsidR="00CD3F94" w:rsidRPr="00FB536A" w:rsidRDefault="00CD3F94" w:rsidP="0086288C">
      <w:pPr>
        <w:pStyle w:val="FootnoteText"/>
      </w:pPr>
      <w:r>
        <w:rPr>
          <w:rStyle w:val="FootnoteReference"/>
        </w:rPr>
        <w:footnoteRef/>
      </w:r>
      <w:r>
        <w:t xml:space="preserve"> Vermeule, </w:t>
      </w:r>
      <w:r>
        <w:rPr>
          <w:i/>
        </w:rPr>
        <w:t xml:space="preserve">supra </w:t>
      </w:r>
      <w:r>
        <w:t>note 14, at 200-02.</w:t>
      </w:r>
    </w:p>
  </w:footnote>
  <w:footnote w:id="296">
    <w:p w14:paraId="4ECACB2B" w14:textId="024AF394" w:rsidR="00CD3F94" w:rsidRPr="008E33FB" w:rsidRDefault="00CD3F94" w:rsidP="0086288C">
      <w:pPr>
        <w:pStyle w:val="FootnoteText"/>
      </w:pPr>
      <w:r>
        <w:rPr>
          <w:rStyle w:val="FootnoteReference"/>
        </w:rPr>
        <w:footnoteRef/>
      </w:r>
      <w:r>
        <w:t xml:space="preserve"> </w:t>
      </w:r>
      <w:r>
        <w:rPr>
          <w:i/>
        </w:rPr>
        <w:t>See</w:t>
      </w:r>
      <w:r>
        <w:t xml:space="preserve"> Solan, </w:t>
      </w:r>
      <w:r>
        <w:rPr>
          <w:i/>
        </w:rPr>
        <w:t>supra</w:t>
      </w:r>
      <w:r>
        <w:t xml:space="preserve"> note 17, at 1175.</w:t>
      </w:r>
    </w:p>
  </w:footnote>
  <w:footnote w:id="297">
    <w:p w14:paraId="54E10597" w14:textId="77777777" w:rsidR="00CD3F94" w:rsidRPr="008E33FB" w:rsidRDefault="00CD3F94" w:rsidP="0086288C">
      <w:pPr>
        <w:pStyle w:val="FootnoteText"/>
      </w:pPr>
      <w:r>
        <w:rPr>
          <w:rStyle w:val="FootnoteReference"/>
        </w:rPr>
        <w:footnoteRef/>
      </w:r>
      <w:r>
        <w:rPr>
          <w:i/>
        </w:rPr>
        <w:t xml:space="preserve"> Id. </w:t>
      </w:r>
      <w:r w:rsidRPr="002E22E3">
        <w:t>at 1176</w:t>
      </w:r>
      <w:r>
        <w:rPr>
          <w:i/>
        </w:rPr>
        <w:t>.</w:t>
      </w:r>
      <w:r>
        <w:t xml:space="preserve"> Solan cites Justice Brandeis who advocated statutory stare decisis. </w:t>
      </w:r>
      <w:r>
        <w:rPr>
          <w:i/>
        </w:rPr>
        <w:t>See</w:t>
      </w:r>
      <w:r>
        <w:t xml:space="preserve"> Burnet v. Coronado Oil &amp; Gas Co., 285 U.S. 393, 406-07 (1932) (Brandeis, J., dissenting) (citation omitted) (“</w:t>
      </w:r>
      <w:r>
        <w:rPr>
          <w:i/>
        </w:rPr>
        <w:t>Stare decisis</w:t>
      </w:r>
      <w:r>
        <w:t xml:space="preserve"> is usually the wise policy, because in most matters it is more important that the applicable rule of law be settled than that it be settled right.”</w:t>
      </w:r>
    </w:p>
  </w:footnote>
  <w:footnote w:id="298">
    <w:p w14:paraId="57A04AF2" w14:textId="77777777" w:rsidR="00CD3F94" w:rsidRPr="008E33FB" w:rsidRDefault="00CD3F94" w:rsidP="0086288C">
      <w:pPr>
        <w:pStyle w:val="FootnoteText"/>
      </w:pPr>
      <w:r>
        <w:rPr>
          <w:rStyle w:val="FootnoteReference"/>
        </w:rPr>
        <w:footnoteRef/>
      </w:r>
      <w:r>
        <w:t xml:space="preserve"> </w:t>
      </w:r>
      <w:r>
        <w:rPr>
          <w:i/>
        </w:rPr>
        <w:t>See id.</w:t>
      </w:r>
    </w:p>
  </w:footnote>
  <w:footnote w:id="299">
    <w:p w14:paraId="3B67FEA1" w14:textId="77777777" w:rsidR="00CD3F94" w:rsidRPr="00E639A7" w:rsidRDefault="00CD3F94" w:rsidP="0086288C">
      <w:pPr>
        <w:pStyle w:val="FootnoteText"/>
      </w:pPr>
      <w:r>
        <w:rPr>
          <w:rStyle w:val="FootnoteReference"/>
        </w:rPr>
        <w:footnoteRef/>
      </w:r>
      <w:r>
        <w:t xml:space="preserve"> </w:t>
      </w:r>
      <w:r>
        <w:rPr>
          <w:i/>
        </w:rPr>
        <w:t>See id.</w:t>
      </w:r>
      <w:r>
        <w:t xml:space="preserve"> at 1176.</w:t>
      </w:r>
    </w:p>
  </w:footnote>
  <w:footnote w:id="300">
    <w:p w14:paraId="1FA042BA" w14:textId="77777777" w:rsidR="00CD3F94" w:rsidRPr="00472DB3" w:rsidRDefault="00CD3F94" w:rsidP="0086288C">
      <w:pPr>
        <w:pStyle w:val="FootnoteText"/>
      </w:pPr>
      <w:r>
        <w:rPr>
          <w:rStyle w:val="FootnoteReference"/>
        </w:rPr>
        <w:footnoteRef/>
      </w:r>
      <w:r>
        <w:t xml:space="preserve"> </w:t>
      </w:r>
      <w:r>
        <w:rPr>
          <w:i/>
        </w:rPr>
        <w:t>Id.</w:t>
      </w:r>
      <w:r>
        <w:t xml:space="preserve"> at 887-88.</w:t>
      </w:r>
    </w:p>
  </w:footnote>
  <w:footnote w:id="301">
    <w:p w14:paraId="622CA40C" w14:textId="3BFD795E" w:rsidR="00CD3F94" w:rsidRPr="00900A55" w:rsidRDefault="00CD3F94" w:rsidP="0086288C">
      <w:pPr>
        <w:pStyle w:val="FootnoteText"/>
      </w:pPr>
      <w:r>
        <w:rPr>
          <w:rStyle w:val="FootnoteReference"/>
        </w:rPr>
        <w:footnoteRef/>
      </w:r>
      <w:r>
        <w:t xml:space="preserve"> </w:t>
      </w:r>
      <w:r>
        <w:rPr>
          <w:i/>
        </w:rPr>
        <w:t>See</w:t>
      </w:r>
      <w:r>
        <w:t xml:space="preserve"> Gluck &amp; Bressman, </w:t>
      </w:r>
      <w:r>
        <w:rPr>
          <w:i/>
        </w:rPr>
        <w:t>Part II</w:t>
      </w:r>
      <w:r>
        <w:t xml:space="preserve">, </w:t>
      </w:r>
      <w:r>
        <w:rPr>
          <w:i/>
        </w:rPr>
        <w:t>supra</w:t>
      </w:r>
      <w:r>
        <w:t xml:space="preserve"> note 6, at 801 (showing that Congress often does not abide by assumptions judges make about legislative drafting); </w:t>
      </w:r>
      <w:r>
        <w:rPr>
          <w:i/>
        </w:rPr>
        <w:t xml:space="preserve">id. </w:t>
      </w:r>
      <w:r>
        <w:t>at 725 (same); Walker</w:t>
      </w:r>
      <w:r>
        <w:rPr>
          <w:i/>
        </w:rPr>
        <w:t>, supra</w:t>
      </w:r>
      <w:r>
        <w:t xml:space="preserve"> note 6 (same); </w:t>
      </w:r>
      <w:r>
        <w:rPr>
          <w:i/>
        </w:rPr>
        <w:t>see also</w:t>
      </w:r>
      <w:r>
        <w:t xml:space="preserve"> Abbe R. Gluck, </w:t>
      </w:r>
      <w:r>
        <w:rPr>
          <w:i/>
        </w:rPr>
        <w:t xml:space="preserve">Congress, Statutory Interpretation, and the Failure of Formalism: The CBO Canon and Other Ways that Courts Can Improve on What They Are Already Trying to Do </w:t>
      </w:r>
      <w:r>
        <w:t xml:space="preserve">84 </w:t>
      </w:r>
      <w:r w:rsidRPr="00900A55">
        <w:rPr>
          <w:smallCaps/>
        </w:rPr>
        <w:t>U. Chi. L. Rev</w:t>
      </w:r>
      <w:r>
        <w:t>. 177 (2016) (setting forth ways in which Congress works differently than assumptions predict)</w:t>
      </w:r>
    </w:p>
  </w:footnote>
  <w:footnote w:id="302">
    <w:p w14:paraId="659E4F54" w14:textId="7F7E0DF2" w:rsidR="00CD3F94" w:rsidRPr="00570E38" w:rsidRDefault="00CD3F94" w:rsidP="0086288C">
      <w:pPr>
        <w:pStyle w:val="FootnoteText"/>
      </w:pPr>
      <w:r>
        <w:rPr>
          <w:rStyle w:val="FootnoteReference"/>
        </w:rPr>
        <w:footnoteRef/>
      </w:r>
      <w:r>
        <w:t xml:space="preserve"> Shobe, </w:t>
      </w:r>
      <w:r>
        <w:rPr>
          <w:i/>
        </w:rPr>
        <w:t>supra</w:t>
      </w:r>
      <w:r>
        <w:t xml:space="preserve"> note 128, at 518-19.</w:t>
      </w:r>
    </w:p>
  </w:footnote>
  <w:footnote w:id="303">
    <w:p w14:paraId="055623BC" w14:textId="6880E3AE" w:rsidR="00CD3F94" w:rsidRPr="00570E38" w:rsidRDefault="00CD3F94" w:rsidP="0086288C">
      <w:pPr>
        <w:pStyle w:val="FootnoteText"/>
      </w:pPr>
      <w:r>
        <w:rPr>
          <w:rStyle w:val="FootnoteReference"/>
        </w:rPr>
        <w:footnoteRef/>
      </w:r>
      <w:r>
        <w:t xml:space="preserve"> </w:t>
      </w:r>
      <w:r>
        <w:rPr>
          <w:i/>
        </w:rPr>
        <w:t>See</w:t>
      </w:r>
      <w:r>
        <w:t xml:space="preserve"> Gluck &amp; Bressman, </w:t>
      </w:r>
      <w:r>
        <w:rPr>
          <w:i/>
        </w:rPr>
        <w:t>Part II,</w:t>
      </w:r>
      <w:r>
        <w:t xml:space="preserve"> </w:t>
      </w:r>
      <w:r>
        <w:rPr>
          <w:i/>
        </w:rPr>
        <w:t>supra</w:t>
      </w:r>
      <w:r>
        <w:t xml:space="preserve"> note 6, at 747.</w:t>
      </w:r>
    </w:p>
  </w:footnote>
  <w:footnote w:id="304">
    <w:p w14:paraId="54A58B15" w14:textId="5523AA9D" w:rsidR="00CD3F94" w:rsidRPr="00CE58E8" w:rsidRDefault="00CD3F94" w:rsidP="0086288C">
      <w:pPr>
        <w:pStyle w:val="FootnoteText"/>
      </w:pPr>
      <w:r>
        <w:rPr>
          <w:rStyle w:val="FootnoteReference"/>
        </w:rPr>
        <w:footnoteRef/>
      </w:r>
      <w:r>
        <w:t xml:space="preserve"> Gluck, </w:t>
      </w:r>
      <w:r>
        <w:rPr>
          <w:i/>
        </w:rPr>
        <w:t>supra</w:t>
      </w:r>
      <w:r>
        <w:t xml:space="preserve"> note 300, at 188. </w:t>
      </w:r>
    </w:p>
  </w:footnote>
  <w:footnote w:id="305">
    <w:p w14:paraId="6DD58FC6" w14:textId="60EE3FA2" w:rsidR="00CD3F94" w:rsidRPr="0048169C" w:rsidRDefault="00CD3F94" w:rsidP="0086288C">
      <w:pPr>
        <w:pStyle w:val="FootnoteText"/>
      </w:pPr>
      <w:r>
        <w:rPr>
          <w:rStyle w:val="FootnoteReference"/>
        </w:rPr>
        <w:footnoteRef/>
      </w:r>
      <w:r>
        <w:t xml:space="preserve"> Fisk &amp; Malamud, </w:t>
      </w:r>
      <w:r>
        <w:rPr>
          <w:i/>
        </w:rPr>
        <w:t>supra</w:t>
      </w:r>
      <w:r>
        <w:t xml:space="preserve"> note 24, at 2020.</w:t>
      </w:r>
    </w:p>
  </w:footnote>
  <w:footnote w:id="306">
    <w:p w14:paraId="34F99564" w14:textId="7BBFA5EB" w:rsidR="00CD3F94" w:rsidRPr="00900A55" w:rsidRDefault="00CD3F94" w:rsidP="0086288C">
      <w:pPr>
        <w:pStyle w:val="FootnoteText"/>
      </w:pPr>
      <w:r>
        <w:rPr>
          <w:rStyle w:val="FootnoteReference"/>
        </w:rPr>
        <w:footnoteRef/>
      </w:r>
      <w:r>
        <w:t xml:space="preserve"> Gluck, </w:t>
      </w:r>
      <w:r>
        <w:rPr>
          <w:i/>
        </w:rPr>
        <w:t>supra</w:t>
      </w:r>
      <w:r>
        <w:t xml:space="preserve"> note 300, at 188. </w:t>
      </w:r>
    </w:p>
  </w:footnote>
  <w:footnote w:id="307">
    <w:p w14:paraId="65E4FDE9" w14:textId="620C8453" w:rsidR="00CD3F94" w:rsidRPr="00720199" w:rsidRDefault="00CD3F94" w:rsidP="0086288C">
      <w:pPr>
        <w:pStyle w:val="FootnoteText"/>
      </w:pPr>
      <w:r>
        <w:rPr>
          <w:rStyle w:val="FootnoteReference"/>
        </w:rPr>
        <w:footnoteRef/>
      </w:r>
      <w:r>
        <w:t xml:space="preserve"> Strauss, </w:t>
      </w:r>
      <w:r>
        <w:rPr>
          <w:i/>
        </w:rPr>
        <w:t xml:space="preserve">supra </w:t>
      </w:r>
      <w:r>
        <w:t>note 23.</w:t>
      </w:r>
    </w:p>
  </w:footnote>
  <w:footnote w:id="308">
    <w:p w14:paraId="1CEDB2A8" w14:textId="77777777" w:rsidR="00CD3F94" w:rsidRPr="00AC1CB4" w:rsidRDefault="00CD3F94" w:rsidP="0086288C">
      <w:pPr>
        <w:pStyle w:val="FootnoteText"/>
      </w:pPr>
      <w:r>
        <w:rPr>
          <w:rStyle w:val="FootnoteReference"/>
        </w:rPr>
        <w:footnoteRef/>
      </w:r>
      <w:r>
        <w:t xml:space="preserve"> Nicholas R. Pariollo, </w:t>
      </w:r>
      <w:r>
        <w:rPr>
          <w:i/>
        </w:rPr>
        <w:t>Leviathan and Interpretive Revolution: The Administrative State, the Judiciary, and the Rise of Legislative History, 1890-1950</w:t>
      </w:r>
      <w:r>
        <w:t xml:space="preserve">, 123 </w:t>
      </w:r>
      <w:r w:rsidRPr="00F31606">
        <w:rPr>
          <w:smallCaps/>
        </w:rPr>
        <w:t>Yale L. J.</w:t>
      </w:r>
      <w:r>
        <w:t xml:space="preserve"> 266, 338 (2014).  Indeed, in the 1940s, the House and Senate Office of Legislative Counsel had only five lawyers, a figure seven times less than comparable figures today. </w:t>
      </w:r>
      <w:r>
        <w:rPr>
          <w:i/>
        </w:rPr>
        <w:t>Id.</w:t>
      </w:r>
      <w:r>
        <w:t xml:space="preserve"> at 339.</w:t>
      </w:r>
    </w:p>
  </w:footnote>
  <w:footnote w:id="309">
    <w:p w14:paraId="65EB96CB" w14:textId="77777777" w:rsidR="00CD3F94" w:rsidRPr="00AA4D70" w:rsidRDefault="00CD3F94" w:rsidP="0086288C">
      <w:pPr>
        <w:pStyle w:val="FootnoteText"/>
      </w:pPr>
      <w:r>
        <w:rPr>
          <w:rStyle w:val="FootnoteReference"/>
        </w:rPr>
        <w:footnoteRef/>
      </w:r>
      <w:r>
        <w:t xml:space="preserve"> </w:t>
      </w:r>
      <w:r>
        <w:rPr>
          <w:i/>
        </w:rPr>
        <w:t>Id.</w:t>
      </w:r>
      <w:r>
        <w:t xml:space="preserve"> </w:t>
      </w:r>
    </w:p>
  </w:footnote>
  <w:footnote w:id="310">
    <w:p w14:paraId="1A04D9B1"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r w:rsidRPr="00D851F9">
        <w:rPr>
          <w:rFonts w:ascii="Times New Roman" w:hAnsi="Times New Roman"/>
          <w:sz w:val="20"/>
        </w:rPr>
        <w:t>at 217, 219 (noting that agencies should give “different weight to the sometimes conflicting purposes, policies and principles with and without the Act. And this is exactly what we expect from an administrative agency, and …is arguably what Congress expected from the Board”).</w:t>
      </w:r>
    </w:p>
  </w:footnote>
  <w:footnote w:id="311">
    <w:p w14:paraId="47201D03" w14:textId="3137CF1D" w:rsidR="00CD3F94" w:rsidRPr="00CE58E8" w:rsidRDefault="00CD3F94" w:rsidP="0086288C">
      <w:pPr>
        <w:pStyle w:val="FootnoteText"/>
      </w:pPr>
      <w:r>
        <w:rPr>
          <w:rStyle w:val="FootnoteReference"/>
        </w:rPr>
        <w:footnoteRef/>
      </w:r>
      <w:r>
        <w:t xml:space="preserve"> Gluck, </w:t>
      </w:r>
      <w:r>
        <w:rPr>
          <w:i/>
        </w:rPr>
        <w:t>supra</w:t>
      </w:r>
      <w:r>
        <w:t xml:space="preserve"> note 300, at 207.</w:t>
      </w:r>
    </w:p>
  </w:footnote>
  <w:footnote w:id="312">
    <w:p w14:paraId="3605E165" w14:textId="77777777" w:rsidR="00CD3F94" w:rsidRPr="00CE58E8" w:rsidRDefault="00CD3F94" w:rsidP="0086288C">
      <w:pPr>
        <w:pStyle w:val="FootnoteText"/>
      </w:pPr>
      <w:r>
        <w:rPr>
          <w:rStyle w:val="FootnoteReference"/>
        </w:rPr>
        <w:footnoteRef/>
      </w:r>
      <w:r>
        <w:t xml:space="preserve"> </w:t>
      </w:r>
      <w:r>
        <w:rPr>
          <w:i/>
        </w:rPr>
        <w:t>Id.</w:t>
      </w:r>
      <w:r>
        <w:t xml:space="preserve"> at 208.</w:t>
      </w:r>
    </w:p>
  </w:footnote>
  <w:footnote w:id="313">
    <w:p w14:paraId="1AA4A959" w14:textId="2C5AFB1D" w:rsidR="00CD3F94" w:rsidRPr="00D851F9" w:rsidRDefault="00CD3F94" w:rsidP="0086288C">
      <w:pPr>
        <w:pStyle w:val="FootnoteText"/>
      </w:pPr>
      <w:r w:rsidRPr="00D851F9">
        <w:rPr>
          <w:rStyle w:val="FootnoteReference"/>
        </w:rPr>
        <w:footnoteRef/>
      </w:r>
      <w:r w:rsidRPr="00D851F9">
        <w:t xml:space="preserve"> Walker, </w:t>
      </w:r>
      <w:r>
        <w:rPr>
          <w:i/>
        </w:rPr>
        <w:t xml:space="preserve">Inside Agency, </w:t>
      </w:r>
      <w:r w:rsidRPr="00D851F9">
        <w:rPr>
          <w:i/>
        </w:rPr>
        <w:t>supra</w:t>
      </w:r>
      <w:r w:rsidRPr="00D851F9">
        <w:t xml:space="preserve"> note</w:t>
      </w:r>
      <w:r>
        <w:t xml:space="preserve"> 6</w:t>
      </w:r>
      <w:r w:rsidRPr="00D851F9">
        <w:t>, at 1067 (“federal agencies play a critical role in the legislative process such that rule drafters have the intimate understanding of legislative history that Strauss hypothesized nearly a quarter century ago”).</w:t>
      </w:r>
    </w:p>
  </w:footnote>
  <w:footnote w:id="314">
    <w:p w14:paraId="3A018403" w14:textId="77777777" w:rsidR="00CD3F94" w:rsidRPr="00D851F9" w:rsidRDefault="00CD3F94" w:rsidP="0086288C">
      <w:pPr>
        <w:pStyle w:val="FootnoteText"/>
      </w:pPr>
      <w:r w:rsidRPr="00D851F9">
        <w:rPr>
          <w:rStyle w:val="FootnoteReference"/>
        </w:rPr>
        <w:footnoteRef/>
      </w:r>
      <w:r w:rsidRPr="00D851F9">
        <w:t xml:space="preserve"> </w:t>
      </w:r>
      <w:r w:rsidRPr="00D851F9">
        <w:rPr>
          <w:i/>
        </w:rPr>
        <w:t xml:space="preserve">See </w:t>
      </w:r>
      <w:r w:rsidRPr="00D851F9">
        <w:t xml:space="preserve">Elizabeth V. Foote, </w:t>
      </w:r>
      <w:r w:rsidRPr="00D851F9">
        <w:rPr>
          <w:i/>
        </w:rPr>
        <w:t>Statutory Interpretation or Public Administration: How Chevron Misconstrues the Function of Agencies and Why It Matters</w:t>
      </w:r>
      <w:r w:rsidRPr="00D851F9">
        <w:t xml:space="preserve">, 59 </w:t>
      </w:r>
      <w:r w:rsidRPr="00D851F9">
        <w:rPr>
          <w:smallCaps/>
        </w:rPr>
        <w:t>Admin. L. Rev</w:t>
      </w:r>
      <w:r w:rsidRPr="00D851F9">
        <w:t>. 673, 707 (2007).</w:t>
      </w:r>
    </w:p>
  </w:footnote>
  <w:footnote w:id="315">
    <w:p w14:paraId="67324845" w14:textId="3C93AA73"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O’Gorman, </w:t>
      </w:r>
      <w:r w:rsidRPr="00D851F9">
        <w:rPr>
          <w:rFonts w:ascii="Times New Roman" w:hAnsi="Times New Roman"/>
          <w:i/>
          <w:sz w:val="20"/>
        </w:rPr>
        <w:t>supra</w:t>
      </w:r>
      <w:r>
        <w:rPr>
          <w:rFonts w:ascii="Times New Roman" w:hAnsi="Times New Roman"/>
          <w:sz w:val="20"/>
        </w:rPr>
        <w:t xml:space="preserve"> note 23</w:t>
      </w:r>
      <w:r w:rsidRPr="00D851F9">
        <w:rPr>
          <w:rFonts w:ascii="Times New Roman" w:hAnsi="Times New Roman"/>
          <w:sz w:val="20"/>
        </w:rPr>
        <w:t xml:space="preserve">, at 200. </w:t>
      </w:r>
    </w:p>
  </w:footnote>
  <w:footnote w:id="316">
    <w:p w14:paraId="0F0B6F76" w14:textId="58184942"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Sunstein &amp; Vermeule, </w:t>
      </w:r>
      <w:r w:rsidRPr="00D851F9">
        <w:rPr>
          <w:rFonts w:ascii="Times New Roman" w:hAnsi="Times New Roman"/>
          <w:i/>
          <w:sz w:val="20"/>
        </w:rPr>
        <w:t>supra</w:t>
      </w:r>
      <w:r>
        <w:rPr>
          <w:rFonts w:ascii="Times New Roman" w:hAnsi="Times New Roman"/>
          <w:sz w:val="20"/>
        </w:rPr>
        <w:t xml:space="preserve"> note 8</w:t>
      </w:r>
      <w:r w:rsidRPr="00D851F9">
        <w:rPr>
          <w:rFonts w:ascii="Times New Roman" w:hAnsi="Times New Roman"/>
          <w:sz w:val="20"/>
        </w:rPr>
        <w:t>, at 928.</w:t>
      </w:r>
    </w:p>
  </w:footnote>
  <w:footnote w:id="317">
    <w:p w14:paraId="44BFC707" w14:textId="209046A9" w:rsidR="00CD3F94" w:rsidRPr="000C4FFC" w:rsidRDefault="00CD3F94" w:rsidP="0086288C">
      <w:pPr>
        <w:rPr>
          <w:rFonts w:ascii="Times New Roman" w:hAnsi="Times New Roman"/>
          <w:i/>
          <w:sz w:val="20"/>
        </w:rPr>
      </w:pPr>
      <w:r w:rsidRPr="00D851F9">
        <w:rPr>
          <w:rStyle w:val="FootnoteReference"/>
          <w:rFonts w:ascii="Times New Roman" w:hAnsi="Times New Roman"/>
          <w:sz w:val="20"/>
        </w:rPr>
        <w:footnoteRef/>
      </w:r>
      <w:r w:rsidRPr="00D851F9">
        <w:rPr>
          <w:rFonts w:ascii="Times New Roman" w:hAnsi="Times New Roman"/>
          <w:sz w:val="20"/>
        </w:rPr>
        <w:t xml:space="preserve"> O’Gorman, </w:t>
      </w:r>
      <w:r w:rsidRPr="00D851F9">
        <w:rPr>
          <w:rFonts w:ascii="Times New Roman" w:hAnsi="Times New Roman"/>
          <w:i/>
          <w:sz w:val="20"/>
        </w:rPr>
        <w:t>supra</w:t>
      </w:r>
      <w:r>
        <w:rPr>
          <w:rFonts w:ascii="Times New Roman" w:hAnsi="Times New Roman"/>
          <w:sz w:val="20"/>
        </w:rPr>
        <w:t xml:space="preserve"> note 23, at 200.</w:t>
      </w:r>
    </w:p>
  </w:footnote>
  <w:footnote w:id="318">
    <w:p w14:paraId="0C432420" w14:textId="70860AC1" w:rsidR="00CD3F94" w:rsidRDefault="00CD3F94" w:rsidP="0086288C">
      <w:pPr>
        <w:pStyle w:val="FootnoteText"/>
      </w:pPr>
      <w:r>
        <w:rPr>
          <w:rStyle w:val="FootnoteReference"/>
        </w:rPr>
        <w:footnoteRef/>
      </w:r>
      <w:r>
        <w:t xml:space="preserve"> Herz, </w:t>
      </w:r>
      <w:r>
        <w:rPr>
          <w:i/>
        </w:rPr>
        <w:t>supra</w:t>
      </w:r>
      <w:r>
        <w:t xml:space="preserve"> note 14, at 99, 104. </w:t>
      </w:r>
    </w:p>
  </w:footnote>
  <w:footnote w:id="319">
    <w:p w14:paraId="06CD852B"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Id.</w:t>
      </w:r>
      <w:r w:rsidRPr="00D851F9">
        <w:rPr>
          <w:rFonts w:ascii="Times New Roman" w:hAnsi="Times New Roman"/>
          <w:sz w:val="20"/>
        </w:rPr>
        <w:t xml:space="preserve"> at 216. </w:t>
      </w:r>
    </w:p>
  </w:footnote>
  <w:footnote w:id="320">
    <w:p w14:paraId="157A762D" w14:textId="4744BB5F"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O’Gorman, </w:t>
      </w:r>
      <w:r w:rsidRPr="00D851F9">
        <w:rPr>
          <w:rFonts w:ascii="Times New Roman" w:hAnsi="Times New Roman"/>
          <w:i/>
          <w:sz w:val="20"/>
        </w:rPr>
        <w:t>supra</w:t>
      </w:r>
      <w:r>
        <w:rPr>
          <w:rFonts w:ascii="Times New Roman" w:hAnsi="Times New Roman"/>
          <w:sz w:val="20"/>
        </w:rPr>
        <w:t xml:space="preserve"> note 23</w:t>
      </w:r>
      <w:r w:rsidRPr="00D851F9">
        <w:rPr>
          <w:rFonts w:ascii="Times New Roman" w:hAnsi="Times New Roman"/>
          <w:sz w:val="20"/>
        </w:rPr>
        <w:t xml:space="preserve">, at 215-216; Mashaw, </w:t>
      </w:r>
      <w:r>
        <w:rPr>
          <w:rFonts w:ascii="Times New Roman" w:hAnsi="Times New Roman"/>
          <w:i/>
          <w:sz w:val="20"/>
        </w:rPr>
        <w:t xml:space="preserve">Between Facts and Norms, </w:t>
      </w:r>
      <w:r w:rsidRPr="00D851F9">
        <w:rPr>
          <w:rFonts w:ascii="Times New Roman" w:hAnsi="Times New Roman"/>
          <w:i/>
          <w:sz w:val="20"/>
        </w:rPr>
        <w:t>supra</w:t>
      </w:r>
      <w:r>
        <w:rPr>
          <w:rFonts w:ascii="Times New Roman" w:hAnsi="Times New Roman"/>
          <w:sz w:val="20"/>
        </w:rPr>
        <w:t xml:space="preserve"> note </w:t>
      </w:r>
      <w:r>
        <w:rPr>
          <w:rFonts w:ascii="Times New Roman" w:hAnsi="Times New Roman"/>
          <w:sz w:val="20"/>
        </w:rPr>
        <w:fldChar w:fldCharType="begin"/>
      </w:r>
      <w:r>
        <w:rPr>
          <w:rFonts w:ascii="Times New Roman" w:hAnsi="Times New Roman"/>
          <w:sz w:val="20"/>
        </w:rPr>
        <w:instrText xml:space="preserve"> NOTEREF _Ref460552518 \h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5</w:t>
      </w:r>
      <w:r>
        <w:rPr>
          <w:rFonts w:ascii="Times New Roman" w:hAnsi="Times New Roman"/>
          <w:sz w:val="20"/>
        </w:rPr>
        <w:fldChar w:fldCharType="end"/>
      </w:r>
      <w:r w:rsidRPr="00D851F9">
        <w:rPr>
          <w:rFonts w:ascii="Times New Roman" w:hAnsi="Times New Roman"/>
          <w:sz w:val="20"/>
        </w:rPr>
        <w:t>, at 510.</w:t>
      </w:r>
    </w:p>
  </w:footnote>
  <w:footnote w:id="321">
    <w:p w14:paraId="16144EA1" w14:textId="30D0C42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Mashaw, </w:t>
      </w:r>
      <w:r>
        <w:rPr>
          <w:rFonts w:ascii="Times New Roman" w:hAnsi="Times New Roman"/>
          <w:i/>
          <w:sz w:val="20"/>
        </w:rPr>
        <w:t xml:space="preserve">Between Facts and Norms, </w:t>
      </w:r>
      <w:r w:rsidRPr="00D851F9">
        <w:rPr>
          <w:rFonts w:ascii="Times New Roman" w:hAnsi="Times New Roman"/>
          <w:i/>
          <w:sz w:val="20"/>
        </w:rPr>
        <w:t>supra</w:t>
      </w:r>
      <w:r>
        <w:rPr>
          <w:rFonts w:ascii="Times New Roman" w:hAnsi="Times New Roman"/>
          <w:sz w:val="20"/>
        </w:rPr>
        <w:t xml:space="preserve"> note 4</w:t>
      </w:r>
      <w:r w:rsidRPr="00D851F9">
        <w:rPr>
          <w:rFonts w:ascii="Times New Roman" w:hAnsi="Times New Roman"/>
          <w:sz w:val="20"/>
        </w:rPr>
        <w:t>, at 510.</w:t>
      </w:r>
    </w:p>
  </w:footnote>
  <w:footnote w:id="322">
    <w:p w14:paraId="24192565" w14:textId="67AB0EDA"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Pierce, </w:t>
      </w:r>
      <w:r w:rsidRPr="00D851F9">
        <w:rPr>
          <w:rFonts w:ascii="Times New Roman" w:hAnsi="Times New Roman"/>
          <w:i/>
          <w:sz w:val="20"/>
        </w:rPr>
        <w:t>supra</w:t>
      </w:r>
      <w:r w:rsidRPr="00D851F9">
        <w:rPr>
          <w:rFonts w:ascii="Times New Roman" w:hAnsi="Times New Roman"/>
          <w:sz w:val="20"/>
        </w:rPr>
        <w:t xml:space="preserve"> note</w:t>
      </w:r>
      <w:r>
        <w:rPr>
          <w:rFonts w:ascii="Times New Roman" w:hAnsi="Times New Roman"/>
          <w:sz w:val="20"/>
        </w:rPr>
        <w:t xml:space="preserve"> 1</w:t>
      </w:r>
      <w:r w:rsidRPr="00D851F9">
        <w:rPr>
          <w:rFonts w:ascii="Times New Roman" w:hAnsi="Times New Roman"/>
          <w:sz w:val="20"/>
        </w:rPr>
        <w:t xml:space="preserve">, at 200. </w:t>
      </w:r>
    </w:p>
  </w:footnote>
  <w:footnote w:id="323">
    <w:p w14:paraId="73BC624A"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r w:rsidRPr="00D851F9">
        <w:rPr>
          <w:rFonts w:ascii="Times New Roman" w:hAnsi="Times New Roman"/>
          <w:sz w:val="20"/>
        </w:rPr>
        <w:t xml:space="preserve">at 2057 (“The Board continues to operate like a court, limiting itself to the specific issues brought to it by its general counsel, failing to bring multiple areas of Board doctrine together to enrich its understanding and amplify its remedial capacities, and most of all, using rights rhetoric as a way to mask what would otherwise be its obligation to seek out (let alone generate) empirical assessments of the effects of its policies.”). </w:t>
      </w:r>
    </w:p>
  </w:footnote>
  <w:footnote w:id="324">
    <w:p w14:paraId="1D139F7B" w14:textId="77777777" w:rsidR="00CD3F94" w:rsidRPr="00D851F9" w:rsidRDefault="00CD3F94" w:rsidP="0086288C">
      <w:pPr>
        <w:pStyle w:val="FootnoteText"/>
      </w:pPr>
      <w:r w:rsidRPr="00D851F9">
        <w:rPr>
          <w:rStyle w:val="FootnoteReference"/>
        </w:rPr>
        <w:footnoteRef/>
      </w:r>
      <w:r w:rsidRPr="00D851F9">
        <w:t xml:space="preserve"> Browning-Ferris Industries, Inc.</w:t>
      </w:r>
      <w:r w:rsidRPr="00D851F9">
        <w:rPr>
          <w:i/>
        </w:rPr>
        <w:t>,</w:t>
      </w:r>
      <w:r w:rsidRPr="00D851F9">
        <w:t xml:space="preserve">362 N.L.R.B. at 26. The dissenters continued: “We believe the majority’s test will actually foster substantial bargaining instability by requiring nonconsensual presence of too many entities with diverse and conflicting interests on the ‘employer’ side.” </w:t>
      </w:r>
      <w:r w:rsidRPr="00D851F9">
        <w:rPr>
          <w:i/>
        </w:rPr>
        <w:t>Id.</w:t>
      </w:r>
      <w:r w:rsidRPr="00D851F9">
        <w:t xml:space="preserve"> at 25.</w:t>
      </w:r>
    </w:p>
  </w:footnote>
  <w:footnote w:id="325">
    <w:p w14:paraId="14D9E90F"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James Landis, </w:t>
      </w:r>
      <w:r w:rsidRPr="00D851F9">
        <w:rPr>
          <w:rFonts w:ascii="Times New Roman" w:hAnsi="Times New Roman"/>
          <w:smallCaps/>
          <w:sz w:val="20"/>
        </w:rPr>
        <w:t>The Administrative Process</w:t>
      </w:r>
      <w:r w:rsidRPr="00D851F9">
        <w:rPr>
          <w:rFonts w:ascii="Times New Roman" w:hAnsi="Times New Roman"/>
          <w:sz w:val="20"/>
        </w:rPr>
        <w:t xml:space="preserve"> 38-39 (1938). </w:t>
      </w:r>
    </w:p>
  </w:footnote>
  <w:footnote w:id="326">
    <w:p w14:paraId="06CEA0D8" w14:textId="62E455C9"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Fisk &amp; Malamud, </w:t>
      </w:r>
      <w:r w:rsidRPr="00D851F9">
        <w:rPr>
          <w:rFonts w:ascii="Times New Roman" w:hAnsi="Times New Roman"/>
          <w:i/>
          <w:sz w:val="20"/>
        </w:rPr>
        <w:t xml:space="preserve">supra </w:t>
      </w:r>
      <w:r>
        <w:rPr>
          <w:rFonts w:ascii="Times New Roman" w:hAnsi="Times New Roman"/>
          <w:sz w:val="20"/>
        </w:rPr>
        <w:t>note 24,</w:t>
      </w:r>
      <w:r w:rsidRPr="00D851F9">
        <w:rPr>
          <w:rFonts w:ascii="Times New Roman" w:hAnsi="Times New Roman"/>
          <w:sz w:val="20"/>
        </w:rPr>
        <w:t xml:space="preserve"> at 2015. The NLRB for instances states that “Nothing in this Act shall be construed to authorize the Board to appoint individuals for the purpose of conciliation or mediation, or for economic analysis.” N.L.R.B., 29 U.S.C. § 154(b) (2006) (added by Taft-Hartley Act, Pub. L. No. 80-101, 61 Stat. 136 (1947); James Gross, </w:t>
      </w:r>
      <w:r w:rsidRPr="00D851F9">
        <w:rPr>
          <w:rFonts w:ascii="Times New Roman" w:hAnsi="Times New Roman"/>
          <w:smallCaps/>
          <w:sz w:val="20"/>
        </w:rPr>
        <w:t>The Remaking of the National Labor Relations Board: National Labor Policy in Transition, 1937-1947</w:t>
      </w:r>
      <w:r w:rsidRPr="00D851F9">
        <w:rPr>
          <w:rFonts w:ascii="Times New Roman" w:hAnsi="Times New Roman"/>
          <w:sz w:val="20"/>
        </w:rPr>
        <w:t xml:space="preserve">, at 5-225 (1981) (recounting history of Taft-Hartley). </w:t>
      </w:r>
    </w:p>
  </w:footnote>
  <w:footnote w:id="327">
    <w:p w14:paraId="3FFD4161" w14:textId="7FCC65A1"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Fisk &amp; Malamud, </w:t>
      </w:r>
      <w:r w:rsidRPr="00D851F9">
        <w:rPr>
          <w:rFonts w:ascii="Times New Roman" w:hAnsi="Times New Roman"/>
          <w:i/>
          <w:sz w:val="20"/>
        </w:rPr>
        <w:t>supra</w:t>
      </w:r>
      <w:r>
        <w:rPr>
          <w:rFonts w:ascii="Times New Roman" w:hAnsi="Times New Roman"/>
          <w:sz w:val="20"/>
        </w:rPr>
        <w:t xml:space="preserve"> note 24</w:t>
      </w:r>
      <w:r w:rsidRPr="00D851F9">
        <w:rPr>
          <w:rFonts w:ascii="Times New Roman" w:hAnsi="Times New Roman"/>
          <w:sz w:val="20"/>
        </w:rPr>
        <w:t xml:space="preserve">, at 2048 n.134. In the 1940s, the Smith Committee held hearings about the NLRB, concerned that was acting too much in a pro-labor direction. </w:t>
      </w:r>
      <w:r w:rsidRPr="00D851F9">
        <w:rPr>
          <w:rFonts w:ascii="Times New Roman" w:hAnsi="Times New Roman"/>
          <w:i/>
          <w:sz w:val="20"/>
        </w:rPr>
        <w:t>Id.</w:t>
      </w:r>
    </w:p>
  </w:footnote>
  <w:footnote w:id="328">
    <w:p w14:paraId="71C207F1"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r w:rsidRPr="00D851F9">
        <w:rPr>
          <w:rFonts w:ascii="Times New Roman" w:hAnsi="Times New Roman"/>
          <w:sz w:val="20"/>
        </w:rPr>
        <w:t xml:space="preserve">at 2045, 2049. Labor Secretary Francis Perkins campaigned for the NLRB to be a part of the DOL instead of an independent agency. </w:t>
      </w:r>
      <w:r w:rsidRPr="00D851F9">
        <w:rPr>
          <w:rFonts w:ascii="Times New Roman" w:hAnsi="Times New Roman"/>
          <w:i/>
          <w:sz w:val="20"/>
        </w:rPr>
        <w:t>Id.</w:t>
      </w:r>
      <w:r w:rsidRPr="00D851F9">
        <w:rPr>
          <w:rFonts w:ascii="Times New Roman" w:hAnsi="Times New Roman"/>
          <w:sz w:val="20"/>
        </w:rPr>
        <w:t xml:space="preserve"> at 2045. </w:t>
      </w:r>
    </w:p>
  </w:footnote>
  <w:footnote w:id="329">
    <w:p w14:paraId="3BB7A35C"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r w:rsidRPr="00D851F9">
        <w:rPr>
          <w:rFonts w:ascii="Times New Roman" w:hAnsi="Times New Roman"/>
          <w:sz w:val="20"/>
        </w:rPr>
        <w:t xml:space="preserve">at 2051. </w:t>
      </w:r>
    </w:p>
  </w:footnote>
  <w:footnote w:id="330">
    <w:p w14:paraId="0F02CF2D" w14:textId="77777777" w:rsidR="00CD3F94" w:rsidRPr="00D851F9" w:rsidRDefault="00CD3F94" w:rsidP="0086288C">
      <w:pPr>
        <w:rPr>
          <w:rFonts w:ascii="Times New Roman" w:hAnsi="Times New Roman"/>
          <w:sz w:val="20"/>
        </w:rPr>
      </w:pPr>
      <w:r w:rsidRPr="00D851F9">
        <w:rPr>
          <w:rStyle w:val="FootnoteReference"/>
          <w:rFonts w:ascii="Times New Roman" w:hAnsi="Times New Roman"/>
          <w:sz w:val="20"/>
        </w:rPr>
        <w:footnoteRef/>
      </w:r>
      <w:r w:rsidRPr="00D851F9">
        <w:rPr>
          <w:rFonts w:ascii="Times New Roman" w:hAnsi="Times New Roman"/>
          <w:sz w:val="20"/>
        </w:rPr>
        <w:t xml:space="preserve"> </w:t>
      </w:r>
      <w:r w:rsidRPr="00D851F9">
        <w:rPr>
          <w:rFonts w:ascii="Times New Roman" w:hAnsi="Times New Roman"/>
          <w:i/>
          <w:sz w:val="20"/>
        </w:rPr>
        <w:t xml:space="preserve">Id. </w:t>
      </w:r>
      <w:r w:rsidRPr="00D851F9">
        <w:rPr>
          <w:rFonts w:ascii="Times New Roman" w:hAnsi="Times New Roman"/>
          <w:sz w:val="20"/>
        </w:rPr>
        <w:t xml:space="preserve">at 2045. </w:t>
      </w:r>
    </w:p>
  </w:footnote>
  <w:footnote w:id="331">
    <w:p w14:paraId="79D2A126" w14:textId="31645749" w:rsidR="00CD3F94" w:rsidRPr="002B478A" w:rsidRDefault="00CD3F94" w:rsidP="0086288C">
      <w:pPr>
        <w:pStyle w:val="FootnoteText"/>
      </w:pPr>
      <w:r>
        <w:rPr>
          <w:rStyle w:val="FootnoteReference"/>
        </w:rPr>
        <w:footnoteRef/>
      </w:r>
      <w:r>
        <w:t xml:space="preserve"> Herz, </w:t>
      </w:r>
      <w:r>
        <w:rPr>
          <w:i/>
        </w:rPr>
        <w:t xml:space="preserve">supra </w:t>
      </w:r>
      <w:r>
        <w:t xml:space="preserve">note 14, at 106. </w:t>
      </w:r>
    </w:p>
  </w:footnote>
  <w:footnote w:id="332">
    <w:p w14:paraId="207D2AAA" w14:textId="5300A9D3" w:rsidR="00CD3F94" w:rsidRPr="0067224B" w:rsidRDefault="00CD3F94" w:rsidP="0086288C">
      <w:pPr>
        <w:pStyle w:val="FootnoteText"/>
      </w:pPr>
      <w:r>
        <w:rPr>
          <w:rStyle w:val="FootnoteReference"/>
        </w:rPr>
        <w:footnoteRef/>
      </w:r>
      <w:r>
        <w:t xml:space="preserve"> Siegel, </w:t>
      </w:r>
      <w:r>
        <w:rPr>
          <w:i/>
        </w:rPr>
        <w:t xml:space="preserve">supra </w:t>
      </w:r>
      <w:r>
        <w:t>note 26, at 124.</w:t>
      </w:r>
    </w:p>
  </w:footnote>
  <w:footnote w:id="333">
    <w:p w14:paraId="7CDA78F9" w14:textId="77777777" w:rsidR="00CD3F94" w:rsidRPr="00160E4D" w:rsidRDefault="00CD3F94" w:rsidP="0086288C">
      <w:pPr>
        <w:pStyle w:val="FootnoteText"/>
        <w:rPr>
          <w:i/>
        </w:rPr>
      </w:pPr>
      <w:r>
        <w:rPr>
          <w:rStyle w:val="FootnoteReference"/>
        </w:rPr>
        <w:footnoteRef/>
      </w:r>
      <w:r>
        <w:t xml:space="preserve"> </w:t>
      </w:r>
      <w:r>
        <w:rPr>
          <w:i/>
        </w:rPr>
        <w:t>Id.</w:t>
      </w:r>
    </w:p>
  </w:footnote>
  <w:footnote w:id="334">
    <w:p w14:paraId="645FD1A8" w14:textId="77777777" w:rsidR="00CD3F94" w:rsidRPr="00C85401" w:rsidRDefault="00CD3F94" w:rsidP="0086288C">
      <w:pPr>
        <w:pStyle w:val="FootnoteText"/>
      </w:pPr>
      <w:r>
        <w:rPr>
          <w:rStyle w:val="FootnoteReference"/>
        </w:rPr>
        <w:footnoteRef/>
      </w:r>
      <w:r>
        <w:t xml:space="preserve"> </w:t>
      </w:r>
      <w:r>
        <w:rPr>
          <w:i/>
        </w:rPr>
        <w:t>Id.</w:t>
      </w:r>
      <w:r>
        <w:t xml:space="preserve"> Siegal cites the case of National Resources Defense Council v. United States Environmental Protection Agency, 907 F.3d 1146 (D.C. Cir. 1990) as an example. </w:t>
      </w:r>
      <w:r>
        <w:rPr>
          <w:i/>
        </w:rPr>
        <w:t>Id.</w:t>
      </w:r>
      <w:r>
        <w:t xml:space="preserve"> at 132-135.</w:t>
      </w:r>
    </w:p>
  </w:footnote>
  <w:footnote w:id="335">
    <w:p w14:paraId="4AFAF4C5" w14:textId="77777777" w:rsidR="00CD3F94" w:rsidRPr="00C85401" w:rsidRDefault="00CD3F94" w:rsidP="0086288C">
      <w:pPr>
        <w:pStyle w:val="FootnoteText"/>
      </w:pPr>
      <w:r>
        <w:rPr>
          <w:rStyle w:val="FootnoteReference"/>
        </w:rPr>
        <w:footnoteRef/>
      </w:r>
      <w:r>
        <w:t xml:space="preserve"> </w:t>
      </w:r>
      <w:r>
        <w:rPr>
          <w:i/>
        </w:rPr>
        <w:t>Id.</w:t>
      </w:r>
      <w:r>
        <w:t xml:space="preserve"> at 135.</w:t>
      </w:r>
    </w:p>
  </w:footnote>
  <w:footnote w:id="336">
    <w:p w14:paraId="188D0222" w14:textId="77777777" w:rsidR="00CD3F94" w:rsidRPr="00D851F9" w:rsidRDefault="00CD3F94" w:rsidP="0086288C">
      <w:pPr>
        <w:pStyle w:val="FootnoteText"/>
      </w:pPr>
      <w:r w:rsidRPr="00D851F9">
        <w:rPr>
          <w:rStyle w:val="FootnoteReference"/>
        </w:rPr>
        <w:footnoteRef/>
      </w:r>
      <w:r w:rsidRPr="00D851F9">
        <w:rPr>
          <w:rStyle w:val="FootnoteReference"/>
        </w:rPr>
        <w:t xml:space="preserve"> </w:t>
      </w:r>
      <w:r w:rsidRPr="00D851F9">
        <w:rPr>
          <w:i/>
        </w:rPr>
        <w:t xml:space="preserve">See, e.g., </w:t>
      </w:r>
      <w:r w:rsidRPr="00D851F9">
        <w:t xml:space="preserve">Alexander Acosta, </w:t>
      </w:r>
      <w:r w:rsidRPr="00D851F9">
        <w:rPr>
          <w:i/>
        </w:rPr>
        <w:t>Rebuilding the Board: An Argument for Structural Change, Over Policy Prescription</w:t>
      </w:r>
      <w:r w:rsidRPr="00D851F9">
        <w:t xml:space="preserve">, </w:t>
      </w:r>
      <w:r w:rsidRPr="00D851F9">
        <w:rPr>
          <w:i/>
        </w:rPr>
        <w:t>at the NLRB</w:t>
      </w:r>
      <w:r w:rsidRPr="00D851F9">
        <w:t xml:space="preserve">, 5 </w:t>
      </w:r>
      <w:r w:rsidRPr="00D851F9">
        <w:rPr>
          <w:smallCaps/>
        </w:rPr>
        <w:t>Fla. Int’l L. Rev</w:t>
      </w:r>
      <w:r w:rsidRPr="00D851F9">
        <w:t xml:space="preserve">. 347, 359 (2010) (arguing that rulemaking “will help stabilize Board law and restore public and judicial confidence in the agency”).; Charlotte Garden, </w:t>
      </w:r>
      <w:r w:rsidRPr="00D851F9">
        <w:rPr>
          <w:i/>
        </w:rPr>
        <w:t>Toward Politically Stable NLRB Lawmaking: Rulemaking vs. Adjudication</w:t>
      </w:r>
      <w:r w:rsidRPr="00D851F9">
        <w:t xml:space="preserve">, 64 </w:t>
      </w:r>
      <w:r w:rsidRPr="00D851F9">
        <w:rPr>
          <w:smallCaps/>
        </w:rPr>
        <w:t>Emory L. J.</w:t>
      </w:r>
      <w:r w:rsidRPr="00D851F9">
        <w:t xml:space="preserve"> 1469, 1473-77 (2015). There are of course disadvantages to rulemaking as well, as it involves more time and cost and offers less flexibility to respond to changing circumstances in the near term. </w:t>
      </w:r>
      <w:r w:rsidRPr="00D851F9">
        <w:rPr>
          <w:i/>
        </w:rPr>
        <w:t>See</w:t>
      </w:r>
      <w:r w:rsidRPr="00D851F9">
        <w:t xml:space="preserve"> Acosta, </w:t>
      </w:r>
      <w:r w:rsidRPr="00D851F9">
        <w:rPr>
          <w:i/>
        </w:rPr>
        <w:t xml:space="preserve">supra </w:t>
      </w:r>
      <w:r>
        <w:t xml:space="preserve">note </w:t>
      </w:r>
      <w:r>
        <w:fldChar w:fldCharType="begin"/>
      </w:r>
      <w:r>
        <w:instrText xml:space="preserve"> NOTEREF _Ref460689224 \h </w:instrText>
      </w:r>
      <w:r>
        <w:fldChar w:fldCharType="separate"/>
      </w:r>
      <w:r>
        <w:t>336</w:t>
      </w:r>
      <w:r>
        <w:fldChar w:fldCharType="end"/>
      </w:r>
      <w:r w:rsidRPr="00D851F9">
        <w:t xml:space="preserve">, at 357-58. </w:t>
      </w:r>
    </w:p>
  </w:footnote>
  <w:footnote w:id="337">
    <w:p w14:paraId="7497A0A6" w14:textId="7FB03B1B" w:rsidR="00CD3F94" w:rsidRPr="002763DD" w:rsidRDefault="00CD3F94" w:rsidP="0086288C">
      <w:pPr>
        <w:pStyle w:val="FootnoteText"/>
      </w:pPr>
      <w:r>
        <w:rPr>
          <w:rStyle w:val="FootnoteReference"/>
        </w:rPr>
        <w:footnoteRef/>
      </w:r>
      <w:r>
        <w:t xml:space="preserve"> Mashaw, </w:t>
      </w:r>
      <w:r>
        <w:rPr>
          <w:i/>
        </w:rPr>
        <w:t>Between Facts and Norms, supra</w:t>
      </w:r>
      <w:r>
        <w:t xml:space="preserve"> note 6, at 525 (2005); </w:t>
      </w:r>
      <w:r>
        <w:rPr>
          <w:i/>
        </w:rPr>
        <w:t>see also</w:t>
      </w:r>
      <w:r>
        <w:t xml:space="preserve"> Stack, </w:t>
      </w:r>
      <w:r>
        <w:rPr>
          <w:i/>
        </w:rPr>
        <w:t xml:space="preserve">supra </w:t>
      </w:r>
      <w:r>
        <w:t xml:space="preserve">note </w:t>
      </w:r>
      <w:r>
        <w:fldChar w:fldCharType="begin"/>
      </w:r>
      <w:r>
        <w:instrText xml:space="preserve"> NOTEREF _Ref460548149 \h </w:instrText>
      </w:r>
      <w:r>
        <w:fldChar w:fldCharType="separate"/>
      </w:r>
      <w:r>
        <w:t>7</w:t>
      </w:r>
      <w:r>
        <w:fldChar w:fldCharType="end"/>
      </w:r>
      <w:r>
        <w:t>, at 225, 225 (2009) (analyzing relevance of policymaking forum).</w:t>
      </w:r>
    </w:p>
  </w:footnote>
  <w:footnote w:id="338">
    <w:p w14:paraId="77FAF963" w14:textId="77777777" w:rsidR="00CD3F94" w:rsidRPr="00ED732D" w:rsidRDefault="00CD3F94" w:rsidP="0086288C">
      <w:pPr>
        <w:pStyle w:val="FootnoteText"/>
      </w:pPr>
      <w:r>
        <w:rPr>
          <w:rStyle w:val="FootnoteReference"/>
        </w:rPr>
        <w:footnoteRef/>
      </w:r>
      <w:r>
        <w:t xml:space="preserve"> Kevin M. Stack, </w:t>
      </w:r>
      <w:r>
        <w:rPr>
          <w:i/>
        </w:rPr>
        <w:t>Agency Statutory Interpretation and Policymaking Form</w:t>
      </w:r>
      <w:r>
        <w:t xml:space="preserve">, 2009 </w:t>
      </w:r>
      <w:r w:rsidRPr="00F31606">
        <w:rPr>
          <w:smallCaps/>
        </w:rPr>
        <w:t>Mich. St. L.</w:t>
      </w:r>
      <w:r>
        <w:t xml:space="preserve"> </w:t>
      </w:r>
      <w:r w:rsidRPr="00F31606">
        <w:rPr>
          <w:smallCaps/>
        </w:rPr>
        <w:t>Rev</w:t>
      </w:r>
      <w:r>
        <w:t xml:space="preserve">. 225 (2009).        </w:t>
      </w:r>
    </w:p>
  </w:footnote>
  <w:footnote w:id="339">
    <w:p w14:paraId="723E392E" w14:textId="77777777" w:rsidR="00CD3F94" w:rsidRPr="002763DD" w:rsidRDefault="00CD3F94" w:rsidP="0086288C">
      <w:pPr>
        <w:pStyle w:val="FootnoteText"/>
      </w:pPr>
      <w:r>
        <w:rPr>
          <w:rStyle w:val="FootnoteReference"/>
        </w:rPr>
        <w:footnoteRef/>
      </w:r>
      <w:r>
        <w:t xml:space="preserve"> </w:t>
      </w:r>
      <w:r>
        <w:rPr>
          <w:i/>
        </w:rPr>
        <w:t>Id.</w:t>
      </w:r>
      <w:r>
        <w:t xml:space="preserve"> at 226.</w:t>
      </w:r>
    </w:p>
  </w:footnote>
  <w:footnote w:id="340">
    <w:p w14:paraId="5824A168" w14:textId="57C36CFB" w:rsidR="00CD3F94" w:rsidRPr="00576506" w:rsidRDefault="00CD3F94" w:rsidP="0086288C">
      <w:pPr>
        <w:pStyle w:val="FootnoteText"/>
      </w:pPr>
      <w:r>
        <w:rPr>
          <w:rStyle w:val="FootnoteReference"/>
        </w:rPr>
        <w:footnoteRef/>
      </w:r>
      <w:r>
        <w:t xml:space="preserve"> </w:t>
      </w:r>
      <w:r>
        <w:rPr>
          <w:i/>
        </w:rPr>
        <w:t>Id.</w:t>
      </w:r>
      <w:r>
        <w:t xml:space="preserve"> at 227; </w:t>
      </w:r>
      <w:r>
        <w:rPr>
          <w:i/>
        </w:rPr>
        <w:t>see also</w:t>
      </w:r>
      <w:r>
        <w:t xml:space="preserve"> Strauss, </w:t>
      </w:r>
      <w:r>
        <w:rPr>
          <w:i/>
        </w:rPr>
        <w:t xml:space="preserve">supra </w:t>
      </w:r>
      <w:r>
        <w:t>note 23, at 329 (“agency officials are concededly political actors, unlike judges”).</w:t>
      </w:r>
    </w:p>
  </w:footnote>
  <w:footnote w:id="341">
    <w:p w14:paraId="1050EAD3" w14:textId="77777777" w:rsidR="00CD3F94" w:rsidRPr="00D851F9" w:rsidRDefault="00CD3F94" w:rsidP="0086288C">
      <w:pPr>
        <w:pStyle w:val="FootnoteText"/>
      </w:pPr>
      <w:r w:rsidRPr="00D851F9">
        <w:rPr>
          <w:rStyle w:val="FootnoteReference"/>
        </w:rPr>
        <w:footnoteRef/>
      </w:r>
      <w:r w:rsidRPr="00D851F9">
        <w:t xml:space="preserve"> For instance, the Board so frequently chooses who qualifies as an “employee” under the NLRA that no doubt the appellate courts find it difficult to keep up.</w:t>
      </w:r>
    </w:p>
  </w:footnote>
  <w:footnote w:id="342">
    <w:p w14:paraId="0B4D648A" w14:textId="0743F3E7" w:rsidR="00CD3F94" w:rsidRPr="00D851F9" w:rsidRDefault="00CD3F94" w:rsidP="0086288C">
      <w:pPr>
        <w:pStyle w:val="FootnoteText"/>
      </w:pPr>
      <w:r w:rsidRPr="00D851F9">
        <w:rPr>
          <w:rStyle w:val="FootnoteReference"/>
        </w:rPr>
        <w:footnoteRef/>
      </w:r>
      <w:r>
        <w:rPr>
          <w:i/>
        </w:rPr>
        <w:t xml:space="preserve"> </w:t>
      </w:r>
      <w:r w:rsidRPr="00D851F9">
        <w:t xml:space="preserve">Acosta, </w:t>
      </w:r>
      <w:r w:rsidRPr="00D851F9">
        <w:rPr>
          <w:i/>
        </w:rPr>
        <w:t>supra</w:t>
      </w:r>
      <w:r>
        <w:t xml:space="preserve"> note 335</w:t>
      </w:r>
      <w:r w:rsidRPr="00D851F9">
        <w:t xml:space="preserve">, at 359; Tuck, </w:t>
      </w:r>
      <w:r w:rsidRPr="00D851F9">
        <w:rPr>
          <w:i/>
        </w:rPr>
        <w:t>supra</w:t>
      </w:r>
      <w:r>
        <w:t xml:space="preserve"> note 153</w:t>
      </w:r>
      <w:r w:rsidRPr="00D851F9">
        <w:t xml:space="preserve">, at 1117 (proposing policy statements as alternative to rulemaking).  </w:t>
      </w:r>
    </w:p>
  </w:footnote>
  <w:footnote w:id="343">
    <w:p w14:paraId="3316CB57" w14:textId="41B3A471" w:rsidR="00CD3F94" w:rsidRPr="00D851F9" w:rsidRDefault="00CD3F94" w:rsidP="0086288C">
      <w:pPr>
        <w:pStyle w:val="FootnoteText"/>
      </w:pPr>
      <w:r w:rsidRPr="00D851F9">
        <w:rPr>
          <w:rStyle w:val="FootnoteReference"/>
        </w:rPr>
        <w:footnoteRef/>
      </w:r>
      <w:r w:rsidRPr="00D851F9">
        <w:t xml:space="preserve"> Foote, </w:t>
      </w:r>
      <w:r w:rsidRPr="00D851F9">
        <w:rPr>
          <w:i/>
        </w:rPr>
        <w:t xml:space="preserve">supra </w:t>
      </w:r>
      <w:r>
        <w:t>note 313</w:t>
      </w:r>
      <w:r w:rsidRPr="00D851F9">
        <w:t xml:space="preserve">, at 681. </w:t>
      </w:r>
      <w:r>
        <w:t xml:space="preserve">  </w:t>
      </w:r>
    </w:p>
  </w:footnote>
  <w:footnote w:id="344">
    <w:p w14:paraId="0C838DD8" w14:textId="71C51486" w:rsidR="00CD3F94" w:rsidRPr="00D851F9" w:rsidRDefault="00CD3F94" w:rsidP="0086288C">
      <w:pPr>
        <w:pStyle w:val="FootnoteText"/>
      </w:pPr>
      <w:r w:rsidRPr="00D851F9">
        <w:rPr>
          <w:rStyle w:val="FootnoteReference"/>
        </w:rPr>
        <w:footnoteRef/>
      </w:r>
      <w:r w:rsidRPr="00D851F9">
        <w:t xml:space="preserve"> </w:t>
      </w:r>
      <w:r w:rsidRPr="00D851F9">
        <w:rPr>
          <w:i/>
        </w:rPr>
        <w:t>See</w:t>
      </w:r>
      <w:r w:rsidRPr="00D851F9">
        <w:t xml:space="preserve"> Acosta, </w:t>
      </w:r>
      <w:r w:rsidRPr="00D851F9">
        <w:rPr>
          <w:i/>
        </w:rPr>
        <w:t>supra</w:t>
      </w:r>
      <w:r>
        <w:t xml:space="preserve"> note 335</w:t>
      </w:r>
      <w:r w:rsidRPr="00D851F9">
        <w:t>, at 352.</w:t>
      </w:r>
      <w:r w:rsidRPr="00D851F9">
        <w:rPr>
          <w:i/>
        </w:rPr>
        <w:t xml:space="preserve"> </w:t>
      </w:r>
    </w:p>
  </w:footnote>
  <w:footnote w:id="345">
    <w:p w14:paraId="2DE544A7" w14:textId="1E8C0933" w:rsidR="00CD3F94" w:rsidRPr="00D851F9" w:rsidRDefault="00CD3F94" w:rsidP="0086288C">
      <w:pPr>
        <w:pStyle w:val="FootnoteText"/>
      </w:pPr>
      <w:r w:rsidRPr="00D851F9">
        <w:rPr>
          <w:rStyle w:val="FootnoteReference"/>
        </w:rPr>
        <w:footnoteRef/>
      </w:r>
      <w:r w:rsidRPr="00D851F9">
        <w:t xml:space="preserve"> </w:t>
      </w:r>
      <w:r w:rsidRPr="00D851F9">
        <w:rPr>
          <w:i/>
        </w:rPr>
        <w:t>See</w:t>
      </w:r>
      <w:r w:rsidRPr="00D851F9">
        <w:t xml:space="preserve"> Garden, </w:t>
      </w:r>
      <w:r w:rsidRPr="00D851F9">
        <w:rPr>
          <w:i/>
        </w:rPr>
        <w:t>supra</w:t>
      </w:r>
      <w:r>
        <w:t xml:space="preserve"> note 335</w:t>
      </w:r>
      <w:r w:rsidRPr="00D851F9">
        <w:t>, at 1475.</w:t>
      </w:r>
    </w:p>
  </w:footnote>
  <w:footnote w:id="346">
    <w:p w14:paraId="4F878273" w14:textId="5E0B3621" w:rsidR="00CD3F94" w:rsidRPr="00D851F9" w:rsidRDefault="00CD3F94" w:rsidP="0086288C">
      <w:pPr>
        <w:pStyle w:val="FootnoteText"/>
      </w:pPr>
      <w:r w:rsidRPr="00D851F9">
        <w:rPr>
          <w:rStyle w:val="FootnoteReference"/>
        </w:rPr>
        <w:footnoteRef/>
      </w:r>
      <w:r w:rsidRPr="00D851F9">
        <w:t xml:space="preserve"> Fish &amp; Malamud, </w:t>
      </w:r>
      <w:r w:rsidRPr="00D851F9">
        <w:rPr>
          <w:i/>
        </w:rPr>
        <w:t>supra</w:t>
      </w:r>
      <w:r>
        <w:t xml:space="preserve"> note 24</w:t>
      </w:r>
      <w:r w:rsidRPr="00D851F9">
        <w:t xml:space="preserve">, at 2019.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630D" w14:textId="7161DAF2" w:rsidR="00CD3F94" w:rsidRPr="00CA354F" w:rsidRDefault="00CD3F94" w:rsidP="00DE478D">
    <w:pPr>
      <w:pStyle w:val="Header"/>
      <w:tabs>
        <w:tab w:val="clear" w:pos="4320"/>
        <w:tab w:val="clear" w:pos="8640"/>
        <w:tab w:val="center" w:pos="3672"/>
        <w:tab w:val="right" w:pos="7344"/>
      </w:tabs>
      <w:ind w:firstLine="0"/>
    </w:pPr>
    <w:r>
      <w:rPr>
        <w:rStyle w:val="PageNumber"/>
      </w:rPr>
      <w:fldChar w:fldCharType="begin"/>
    </w:r>
    <w:r>
      <w:rPr>
        <w:rStyle w:val="PageNumber"/>
      </w:rPr>
      <w:instrText xml:space="preserve"> PAGE </w:instrText>
    </w:r>
    <w:r>
      <w:rPr>
        <w:rStyle w:val="PageNumber"/>
      </w:rPr>
      <w:fldChar w:fldCharType="separate"/>
    </w:r>
    <w:r w:rsidR="00A51414">
      <w:rPr>
        <w:rStyle w:val="PageNumber"/>
        <w:noProof/>
      </w:rPr>
      <w:t>2</w:t>
    </w:r>
    <w:r>
      <w:rPr>
        <w:rStyle w:val="PageNumber"/>
      </w:rPr>
      <w:fldChar w:fldCharType="end"/>
    </w:r>
    <w:r>
      <w:rPr>
        <w:rStyle w:val="PageNumber"/>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C1A5" w14:textId="52197CEF" w:rsidR="00CD3F94" w:rsidRPr="00CA354F" w:rsidRDefault="00CD3F94" w:rsidP="00DE478D">
    <w:pPr>
      <w:pStyle w:val="Header"/>
      <w:tabs>
        <w:tab w:val="clear" w:pos="4320"/>
        <w:tab w:val="clear" w:pos="8640"/>
        <w:tab w:val="center" w:pos="3672"/>
        <w:tab w:val="right" w:pos="7344"/>
      </w:tabs>
      <w:ind w:firstLine="0"/>
    </w:pPr>
    <w:r>
      <w:tab/>
    </w:r>
    <w:r>
      <w:rPr>
        <w:rStyle w:val="PageNumber"/>
      </w:rPr>
      <w:fldChar w:fldCharType="begin"/>
    </w:r>
    <w:r>
      <w:rPr>
        <w:rStyle w:val="PageNumber"/>
      </w:rPr>
      <w:instrText xml:space="preserve"> PAGE </w:instrText>
    </w:r>
    <w:r>
      <w:rPr>
        <w:rStyle w:val="PageNumber"/>
      </w:rPr>
      <w:fldChar w:fldCharType="separate"/>
    </w:r>
    <w:r w:rsidR="00D751CF">
      <w:rPr>
        <w:rStyle w:val="PageNumber"/>
        <w:noProof/>
      </w:rPr>
      <w:t>77</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31A9"/>
    <w:multiLevelType w:val="hybridMultilevel"/>
    <w:tmpl w:val="BEEE5F18"/>
    <w:lvl w:ilvl="0" w:tplc="3CF881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83719C"/>
    <w:multiLevelType w:val="hybridMultilevel"/>
    <w:tmpl w:val="660C7646"/>
    <w:lvl w:ilvl="0" w:tplc="FA9A79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22305"/>
    <w:multiLevelType w:val="hybridMultilevel"/>
    <w:tmpl w:val="408248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620BB"/>
    <w:multiLevelType w:val="hybridMultilevel"/>
    <w:tmpl w:val="9054912A"/>
    <w:lvl w:ilvl="0" w:tplc="4B1AA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228B1"/>
    <w:multiLevelType w:val="hybridMultilevel"/>
    <w:tmpl w:val="16F0412C"/>
    <w:lvl w:ilvl="0" w:tplc="08227C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FA6854"/>
    <w:multiLevelType w:val="hybridMultilevel"/>
    <w:tmpl w:val="E03C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53E12"/>
    <w:multiLevelType w:val="hybridMultilevel"/>
    <w:tmpl w:val="9E36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A3A93"/>
    <w:multiLevelType w:val="hybridMultilevel"/>
    <w:tmpl w:val="A508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9012A"/>
    <w:multiLevelType w:val="hybridMultilevel"/>
    <w:tmpl w:val="C9D0A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A016F"/>
    <w:multiLevelType w:val="hybridMultilevel"/>
    <w:tmpl w:val="D1F65650"/>
    <w:lvl w:ilvl="0" w:tplc="F9F61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566FC"/>
    <w:multiLevelType w:val="hybridMultilevel"/>
    <w:tmpl w:val="9D20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77D8D"/>
    <w:multiLevelType w:val="hybridMultilevel"/>
    <w:tmpl w:val="88C42756"/>
    <w:lvl w:ilvl="0" w:tplc="FF12E32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F4547C"/>
    <w:multiLevelType w:val="hybridMultilevel"/>
    <w:tmpl w:val="ED349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E438F"/>
    <w:multiLevelType w:val="multilevel"/>
    <w:tmpl w:val="D31A0DB4"/>
    <w:lvl w:ilvl="0">
      <w:start w:val="1"/>
      <w:numFmt w:val="none"/>
      <w:pStyle w:val="Heading1"/>
      <w:lvlText w:val=""/>
      <w:lvlJc w:val="left"/>
      <w:pPr>
        <w:tabs>
          <w:tab w:val="num" w:pos="0"/>
        </w:tabs>
        <w:ind w:left="0" w:firstLine="0"/>
      </w:pPr>
      <w:rPr>
        <w:rFonts w:hint="default"/>
      </w:rPr>
    </w:lvl>
    <w:lvl w:ilvl="1">
      <w:start w:val="1"/>
      <w:numFmt w:val="upperLetter"/>
      <w:pStyle w:val="Heading2"/>
      <w:suff w:val="nothing"/>
      <w:lvlText w:val="%2.  "/>
      <w:lvlJc w:val="left"/>
      <w:pPr>
        <w:ind w:left="360" w:hanging="36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lowerLetter"/>
      <w:pStyle w:val="Heading4"/>
      <w:lvlText w:val="%4."/>
      <w:lvlJc w:val="left"/>
      <w:pPr>
        <w:tabs>
          <w:tab w:val="num" w:pos="360"/>
        </w:tabs>
        <w:ind w:left="360" w:hanging="360"/>
      </w:pPr>
      <w:rPr>
        <w:rFonts w:hint="default"/>
      </w:rPr>
    </w:lvl>
    <w:lvl w:ilvl="4">
      <w:start w:val="1"/>
      <w:numFmt w:val="lowerRoman"/>
      <w:pStyle w:val="Heading5"/>
      <w:lvlText w:val="%5."/>
      <w:lvlJc w:val="left"/>
      <w:pPr>
        <w:tabs>
          <w:tab w:val="num" w:pos="360"/>
        </w:tabs>
        <w:ind w:left="360" w:hanging="36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nsid w:val="441B0DDD"/>
    <w:multiLevelType w:val="hybridMultilevel"/>
    <w:tmpl w:val="509E3C7E"/>
    <w:lvl w:ilvl="0" w:tplc="E550AC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644614F"/>
    <w:multiLevelType w:val="hybridMultilevel"/>
    <w:tmpl w:val="2F645DD4"/>
    <w:lvl w:ilvl="0" w:tplc="76A64A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67447"/>
    <w:multiLevelType w:val="hybridMultilevel"/>
    <w:tmpl w:val="73142B9A"/>
    <w:lvl w:ilvl="0" w:tplc="901C13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942534"/>
    <w:multiLevelType w:val="hybridMultilevel"/>
    <w:tmpl w:val="A8EE585C"/>
    <w:lvl w:ilvl="0" w:tplc="432C848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339BF"/>
    <w:multiLevelType w:val="hybridMultilevel"/>
    <w:tmpl w:val="2C4850EC"/>
    <w:lvl w:ilvl="0" w:tplc="799CBD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706B9D"/>
    <w:multiLevelType w:val="hybridMultilevel"/>
    <w:tmpl w:val="7DC09864"/>
    <w:lvl w:ilvl="0" w:tplc="66263D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0D38CF"/>
    <w:multiLevelType w:val="hybridMultilevel"/>
    <w:tmpl w:val="5448BDAC"/>
    <w:lvl w:ilvl="0" w:tplc="D4AC7C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F541F"/>
    <w:multiLevelType w:val="hybridMultilevel"/>
    <w:tmpl w:val="42CC2152"/>
    <w:lvl w:ilvl="0" w:tplc="B00894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9E7652"/>
    <w:multiLevelType w:val="hybridMultilevel"/>
    <w:tmpl w:val="E63637AC"/>
    <w:lvl w:ilvl="0" w:tplc="7A7EAA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AC605F"/>
    <w:multiLevelType w:val="hybridMultilevel"/>
    <w:tmpl w:val="B4103BC8"/>
    <w:lvl w:ilvl="0" w:tplc="AA04D8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22E107F"/>
    <w:multiLevelType w:val="hybridMultilevel"/>
    <w:tmpl w:val="65F255BE"/>
    <w:lvl w:ilvl="0" w:tplc="03F8B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564294"/>
    <w:multiLevelType w:val="hybridMultilevel"/>
    <w:tmpl w:val="05D86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991F83"/>
    <w:multiLevelType w:val="hybridMultilevel"/>
    <w:tmpl w:val="4AF29CEA"/>
    <w:lvl w:ilvl="0" w:tplc="FFFFFFFF">
      <w:start w:val="1"/>
      <w:numFmt w:val="lowerLetter"/>
      <w:pStyle w:val="LetteredList"/>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E3A56AA"/>
    <w:multiLevelType w:val="hybridMultilevel"/>
    <w:tmpl w:val="0804FF68"/>
    <w:lvl w:ilvl="0" w:tplc="9AC297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C8620B"/>
    <w:multiLevelType w:val="hybridMultilevel"/>
    <w:tmpl w:val="578AE4F0"/>
    <w:lvl w:ilvl="0" w:tplc="D480F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6"/>
  </w:num>
  <w:num w:numId="3">
    <w:abstractNumId w:val="27"/>
  </w:num>
  <w:num w:numId="4">
    <w:abstractNumId w:val="25"/>
  </w:num>
  <w:num w:numId="5">
    <w:abstractNumId w:val="22"/>
  </w:num>
  <w:num w:numId="6">
    <w:abstractNumId w:val="16"/>
  </w:num>
  <w:num w:numId="7">
    <w:abstractNumId w:val="0"/>
  </w:num>
  <w:num w:numId="8">
    <w:abstractNumId w:val="3"/>
  </w:num>
  <w:num w:numId="9">
    <w:abstractNumId w:val="1"/>
  </w:num>
  <w:num w:numId="10">
    <w:abstractNumId w:val="17"/>
  </w:num>
  <w:num w:numId="11">
    <w:abstractNumId w:val="23"/>
  </w:num>
  <w:num w:numId="12">
    <w:abstractNumId w:val="19"/>
  </w:num>
  <w:num w:numId="13">
    <w:abstractNumId w:val="14"/>
  </w:num>
  <w:num w:numId="14">
    <w:abstractNumId w:val="11"/>
  </w:num>
  <w:num w:numId="15">
    <w:abstractNumId w:val="12"/>
  </w:num>
  <w:num w:numId="16">
    <w:abstractNumId w:val="18"/>
  </w:num>
  <w:num w:numId="17">
    <w:abstractNumId w:val="2"/>
  </w:num>
  <w:num w:numId="18">
    <w:abstractNumId w:val="4"/>
  </w:num>
  <w:num w:numId="19">
    <w:abstractNumId w:val="8"/>
  </w:num>
  <w:num w:numId="20">
    <w:abstractNumId w:val="21"/>
  </w:num>
  <w:num w:numId="21">
    <w:abstractNumId w:val="9"/>
  </w:num>
  <w:num w:numId="22">
    <w:abstractNumId w:val="24"/>
  </w:num>
  <w:num w:numId="23">
    <w:abstractNumId w:val="5"/>
  </w:num>
  <w:num w:numId="24">
    <w:abstractNumId w:val="20"/>
  </w:num>
  <w:num w:numId="25">
    <w:abstractNumId w:val="15"/>
  </w:num>
  <w:num w:numId="26">
    <w:abstractNumId w:val="6"/>
  </w:num>
  <w:num w:numId="27">
    <w:abstractNumId w:val="28"/>
  </w:num>
  <w:num w:numId="28">
    <w:abstractNumId w:val="10"/>
  </w:num>
  <w:num w:numId="2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8C"/>
    <w:rsid w:val="00017D0A"/>
    <w:rsid w:val="000D0CDB"/>
    <w:rsid w:val="000D53E8"/>
    <w:rsid w:val="00103F75"/>
    <w:rsid w:val="00112A83"/>
    <w:rsid w:val="00137014"/>
    <w:rsid w:val="00190A0F"/>
    <w:rsid w:val="001A4D77"/>
    <w:rsid w:val="001E2B74"/>
    <w:rsid w:val="001F1D99"/>
    <w:rsid w:val="002318B9"/>
    <w:rsid w:val="00233466"/>
    <w:rsid w:val="00291A11"/>
    <w:rsid w:val="002A53F4"/>
    <w:rsid w:val="002C2FE9"/>
    <w:rsid w:val="002F1D10"/>
    <w:rsid w:val="002F3569"/>
    <w:rsid w:val="00302954"/>
    <w:rsid w:val="0037688F"/>
    <w:rsid w:val="00384F28"/>
    <w:rsid w:val="003C2F36"/>
    <w:rsid w:val="003D1E8D"/>
    <w:rsid w:val="00445D43"/>
    <w:rsid w:val="00450845"/>
    <w:rsid w:val="00471E15"/>
    <w:rsid w:val="0047503F"/>
    <w:rsid w:val="004809BB"/>
    <w:rsid w:val="004D7242"/>
    <w:rsid w:val="004E4818"/>
    <w:rsid w:val="004F1594"/>
    <w:rsid w:val="0053027A"/>
    <w:rsid w:val="005C7763"/>
    <w:rsid w:val="005D2AD9"/>
    <w:rsid w:val="005D6AFE"/>
    <w:rsid w:val="005E3C64"/>
    <w:rsid w:val="005F320D"/>
    <w:rsid w:val="00614CB4"/>
    <w:rsid w:val="00673BF9"/>
    <w:rsid w:val="00680B1A"/>
    <w:rsid w:val="00684675"/>
    <w:rsid w:val="006A4DBC"/>
    <w:rsid w:val="006A6934"/>
    <w:rsid w:val="006E4965"/>
    <w:rsid w:val="00707318"/>
    <w:rsid w:val="007228FC"/>
    <w:rsid w:val="007245A6"/>
    <w:rsid w:val="007C5E2A"/>
    <w:rsid w:val="007D5F72"/>
    <w:rsid w:val="007F26CA"/>
    <w:rsid w:val="00812919"/>
    <w:rsid w:val="0086288C"/>
    <w:rsid w:val="00870B12"/>
    <w:rsid w:val="00883D69"/>
    <w:rsid w:val="008E43BE"/>
    <w:rsid w:val="008F2B23"/>
    <w:rsid w:val="008F6540"/>
    <w:rsid w:val="009027F4"/>
    <w:rsid w:val="00903BFC"/>
    <w:rsid w:val="00935848"/>
    <w:rsid w:val="009375D6"/>
    <w:rsid w:val="0099112C"/>
    <w:rsid w:val="009D39D2"/>
    <w:rsid w:val="009E1615"/>
    <w:rsid w:val="00A04719"/>
    <w:rsid w:val="00A51414"/>
    <w:rsid w:val="00AA2981"/>
    <w:rsid w:val="00BA345B"/>
    <w:rsid w:val="00BA3B6D"/>
    <w:rsid w:val="00BC1226"/>
    <w:rsid w:val="00BD0E06"/>
    <w:rsid w:val="00BE7BCC"/>
    <w:rsid w:val="00BF63DC"/>
    <w:rsid w:val="00BF7B72"/>
    <w:rsid w:val="00C333B9"/>
    <w:rsid w:val="00C81746"/>
    <w:rsid w:val="00C84702"/>
    <w:rsid w:val="00C857EF"/>
    <w:rsid w:val="00CA354F"/>
    <w:rsid w:val="00CB2FE0"/>
    <w:rsid w:val="00CD3F94"/>
    <w:rsid w:val="00D238E5"/>
    <w:rsid w:val="00D30954"/>
    <w:rsid w:val="00D45A54"/>
    <w:rsid w:val="00D57B0C"/>
    <w:rsid w:val="00D751CF"/>
    <w:rsid w:val="00DA7F13"/>
    <w:rsid w:val="00DE429E"/>
    <w:rsid w:val="00DE478D"/>
    <w:rsid w:val="00DF09CD"/>
    <w:rsid w:val="00E2511C"/>
    <w:rsid w:val="00E3279D"/>
    <w:rsid w:val="00E57BC7"/>
    <w:rsid w:val="00E67E67"/>
    <w:rsid w:val="00EB0182"/>
    <w:rsid w:val="00F13F94"/>
    <w:rsid w:val="00F47D20"/>
    <w:rsid w:val="00F84B86"/>
    <w:rsid w:val="00FA45DD"/>
    <w:rsid w:val="00FE00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AE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E15"/>
    <w:pPr>
      <w:widowControl w:val="0"/>
      <w:ind w:firstLine="360"/>
      <w:jc w:val="both"/>
    </w:pPr>
    <w:rPr>
      <w:rFonts w:ascii="CG Times" w:hAnsi="CG Times"/>
      <w:sz w:val="24"/>
    </w:rPr>
  </w:style>
  <w:style w:type="paragraph" w:styleId="Heading1">
    <w:name w:val="heading 1"/>
    <w:basedOn w:val="Normal"/>
    <w:next w:val="Normal"/>
    <w:qFormat/>
    <w:rsid w:val="00E67E67"/>
    <w:pPr>
      <w:keepNext/>
      <w:widowControl/>
      <w:numPr>
        <w:numId w:val="1"/>
      </w:numPr>
      <w:jc w:val="center"/>
      <w:outlineLvl w:val="0"/>
    </w:pPr>
    <w:rPr>
      <w:smallCaps/>
      <w:kern w:val="28"/>
    </w:rPr>
  </w:style>
  <w:style w:type="paragraph" w:styleId="Heading2">
    <w:name w:val="heading 2"/>
    <w:basedOn w:val="Normal"/>
    <w:next w:val="Normal"/>
    <w:qFormat/>
    <w:rsid w:val="00E67E67"/>
    <w:pPr>
      <w:keepNext/>
      <w:widowControl/>
      <w:numPr>
        <w:ilvl w:val="1"/>
        <w:numId w:val="1"/>
      </w:numPr>
      <w:jc w:val="center"/>
      <w:outlineLvl w:val="1"/>
    </w:pPr>
    <w:rPr>
      <w:i/>
    </w:rPr>
  </w:style>
  <w:style w:type="paragraph" w:styleId="Heading3">
    <w:name w:val="heading 3"/>
    <w:basedOn w:val="Normal"/>
    <w:next w:val="Normal"/>
    <w:link w:val="Heading3Char"/>
    <w:uiPriority w:val="9"/>
    <w:qFormat/>
    <w:pPr>
      <w:keepNext/>
      <w:widowControl/>
      <w:numPr>
        <w:ilvl w:val="2"/>
        <w:numId w:val="1"/>
      </w:numPr>
      <w:outlineLvl w:val="2"/>
    </w:pPr>
  </w:style>
  <w:style w:type="paragraph" w:styleId="Heading4">
    <w:name w:val="heading 4"/>
    <w:basedOn w:val="Normal"/>
    <w:next w:val="Normal"/>
    <w:qFormat/>
    <w:pPr>
      <w:keepNext/>
      <w:widowControl/>
      <w:numPr>
        <w:ilvl w:val="3"/>
        <w:numId w:val="1"/>
      </w:numPr>
      <w:outlineLvl w:val="3"/>
    </w:pPr>
  </w:style>
  <w:style w:type="paragraph" w:styleId="Heading5">
    <w:name w:val="heading 5"/>
    <w:next w:val="Normal"/>
    <w:qFormat/>
    <w:rsid w:val="005C7763"/>
    <w:pPr>
      <w:numPr>
        <w:ilvl w:val="4"/>
        <w:numId w:val="1"/>
      </w:numPr>
      <w:spacing w:before="240" w:after="60"/>
      <w:outlineLvl w:val="4"/>
    </w:pPr>
    <w:rPr>
      <w:rFonts w:ascii="CG Times" w:hAnsi="CG Times"/>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rPr>
      <w:sz w:val="20"/>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rPr>
      <w:sz w:val="20"/>
    </w:rPr>
  </w:style>
  <w:style w:type="paragraph" w:styleId="Footer">
    <w:name w:val="footer"/>
    <w:basedOn w:val="Normal"/>
    <w:link w:val="FooterChar"/>
    <w:uiPriority w:val="99"/>
    <w:pPr>
      <w:tabs>
        <w:tab w:val="center" w:pos="4320"/>
        <w:tab w:val="right" w:pos="8640"/>
      </w:tabs>
    </w:pPr>
  </w:style>
  <w:style w:type="paragraph" w:customStyle="1" w:styleId="Footnote">
    <w:name w:val="Footnote"/>
    <w:rsid w:val="00471E15"/>
    <w:pPr>
      <w:widowControl w:val="0"/>
      <w:tabs>
        <w:tab w:val="left" w:pos="-720"/>
      </w:tabs>
      <w:suppressAutoHyphens/>
      <w:spacing w:line="200" w:lineRule="exact"/>
    </w:pPr>
    <w:rPr>
      <w:rFonts w:ascii="CG Times" w:hAnsi="CG Times"/>
      <w:kern w:val="2"/>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sid w:val="00870B12"/>
    <w:rPr>
      <w:sz w:val="20"/>
    </w:rPr>
  </w:style>
  <w:style w:type="paragraph" w:styleId="Header">
    <w:name w:val="header"/>
    <w:basedOn w:val="Normal"/>
    <w:link w:val="HeaderChar"/>
    <w:uiPriority w:val="99"/>
    <w:pPr>
      <w:tabs>
        <w:tab w:val="center" w:pos="4320"/>
        <w:tab w:val="right" w:pos="8640"/>
      </w:tabs>
    </w:pPr>
  </w:style>
  <w:style w:type="character" w:styleId="Hyperlink">
    <w:name w:val="Hyperlink"/>
    <w:basedOn w:val="DefaultParagraphFont"/>
    <w:rPr>
      <w:color w:val="0000FF"/>
      <w:u w:val="single"/>
    </w:rPr>
  </w:style>
  <w:style w:type="paragraph" w:customStyle="1" w:styleId="Level1">
    <w:name w:val="Level 1"/>
    <w:basedOn w:val="Normal"/>
    <w:pPr>
      <w:ind w:left="720" w:hanging="720"/>
    </w:pPr>
  </w:style>
  <w:style w:type="character" w:styleId="PageNumber">
    <w:name w:val="page number"/>
    <w:basedOn w:val="DefaultParagraphFont"/>
    <w:uiPriority w:val="99"/>
  </w:style>
  <w:style w:type="paragraph" w:customStyle="1" w:styleId="LetteredList">
    <w:name w:val="Lettered List"/>
    <w:basedOn w:val="Normal"/>
    <w:rsid w:val="00017D0A"/>
    <w:pPr>
      <w:numPr>
        <w:numId w:val="2"/>
      </w:numPr>
    </w:pPr>
  </w:style>
  <w:style w:type="paragraph" w:styleId="TOC1">
    <w:name w:val="toc 1"/>
    <w:basedOn w:val="Normal"/>
    <w:next w:val="Normal"/>
    <w:autoRedefine/>
    <w:semiHidden/>
    <w:pPr>
      <w:spacing w:before="120"/>
      <w:jc w:val="left"/>
    </w:pPr>
    <w:rPr>
      <w:rFonts w:asciiTheme="minorHAnsi" w:hAnsiTheme="minorHAnsi"/>
      <w:b/>
      <w:bCs/>
      <w:szCs w:val="24"/>
    </w:rPr>
  </w:style>
  <w:style w:type="paragraph" w:styleId="TOC2">
    <w:name w:val="toc 2"/>
    <w:basedOn w:val="Normal"/>
    <w:next w:val="Normal"/>
    <w:autoRedefine/>
    <w:semiHidden/>
    <w:pPr>
      <w:ind w:left="240"/>
      <w:jc w:val="left"/>
    </w:pPr>
    <w:rPr>
      <w:rFonts w:asciiTheme="minorHAnsi" w:hAnsiTheme="minorHAnsi"/>
      <w:b/>
      <w:bCs/>
      <w:sz w:val="22"/>
      <w:szCs w:val="22"/>
    </w:rPr>
  </w:style>
  <w:style w:type="paragraph" w:styleId="TOC3">
    <w:name w:val="toc 3"/>
    <w:basedOn w:val="Normal"/>
    <w:next w:val="Normal"/>
    <w:autoRedefine/>
    <w:semiHidden/>
    <w:pPr>
      <w:ind w:left="480"/>
      <w:jc w:val="left"/>
    </w:pPr>
    <w:rPr>
      <w:rFonts w:asciiTheme="minorHAnsi" w:hAnsiTheme="minorHAnsi"/>
      <w:sz w:val="22"/>
      <w:szCs w:val="22"/>
    </w:rPr>
  </w:style>
  <w:style w:type="paragraph" w:styleId="TOC4">
    <w:name w:val="toc 4"/>
    <w:basedOn w:val="Normal"/>
    <w:next w:val="Normal"/>
    <w:autoRedefine/>
    <w:semiHidden/>
    <w:pPr>
      <w:ind w:left="720"/>
      <w:jc w:val="left"/>
    </w:pPr>
    <w:rPr>
      <w:rFonts w:asciiTheme="minorHAnsi" w:hAnsiTheme="minorHAnsi"/>
      <w:sz w:val="20"/>
    </w:rPr>
  </w:style>
  <w:style w:type="paragraph" w:styleId="TOC5">
    <w:name w:val="toc 5"/>
    <w:basedOn w:val="Normal"/>
    <w:next w:val="Normal"/>
    <w:autoRedefine/>
    <w:semiHidden/>
    <w:pPr>
      <w:ind w:left="960"/>
      <w:jc w:val="left"/>
    </w:pPr>
    <w:rPr>
      <w:rFonts w:asciiTheme="minorHAnsi" w:hAnsiTheme="minorHAnsi"/>
      <w:sz w:val="20"/>
    </w:rPr>
  </w:style>
  <w:style w:type="paragraph" w:styleId="TOC6">
    <w:name w:val="toc 6"/>
    <w:basedOn w:val="Normal"/>
    <w:next w:val="Normal"/>
    <w:autoRedefine/>
    <w:semiHidden/>
    <w:pPr>
      <w:ind w:left="1200"/>
      <w:jc w:val="left"/>
    </w:pPr>
    <w:rPr>
      <w:rFonts w:asciiTheme="minorHAnsi" w:hAnsiTheme="minorHAnsi"/>
      <w:sz w:val="20"/>
    </w:rPr>
  </w:style>
  <w:style w:type="paragraph" w:styleId="TOC7">
    <w:name w:val="toc 7"/>
    <w:basedOn w:val="Normal"/>
    <w:next w:val="Normal"/>
    <w:autoRedefine/>
    <w:semiHidden/>
    <w:pPr>
      <w:ind w:left="1440"/>
      <w:jc w:val="left"/>
    </w:pPr>
    <w:rPr>
      <w:rFonts w:asciiTheme="minorHAnsi" w:hAnsiTheme="minorHAnsi"/>
      <w:sz w:val="20"/>
    </w:rPr>
  </w:style>
  <w:style w:type="paragraph" w:styleId="TOC8">
    <w:name w:val="toc 8"/>
    <w:basedOn w:val="Normal"/>
    <w:next w:val="Normal"/>
    <w:autoRedefine/>
    <w:semiHidden/>
    <w:pPr>
      <w:ind w:left="1680"/>
      <w:jc w:val="left"/>
    </w:pPr>
    <w:rPr>
      <w:rFonts w:asciiTheme="minorHAnsi" w:hAnsiTheme="minorHAnsi"/>
      <w:sz w:val="20"/>
    </w:rPr>
  </w:style>
  <w:style w:type="paragraph" w:styleId="TOC9">
    <w:name w:val="toc 9"/>
    <w:basedOn w:val="Normal"/>
    <w:next w:val="Normal"/>
    <w:autoRedefine/>
    <w:semiHidden/>
    <w:pPr>
      <w:ind w:left="1920"/>
      <w:jc w:val="left"/>
    </w:pPr>
    <w:rPr>
      <w:rFonts w:asciiTheme="minorHAnsi" w:hAnsiTheme="minorHAnsi"/>
      <w:sz w:val="20"/>
    </w:rPr>
  </w:style>
  <w:style w:type="paragraph" w:customStyle="1" w:styleId="BlockQuote">
    <w:name w:val="Block Quote"/>
    <w:basedOn w:val="Normal"/>
    <w:rsid w:val="00471E15"/>
    <w:pPr>
      <w:ind w:left="360" w:right="360"/>
    </w:pPr>
    <w:rPr>
      <w:sz w:val="21"/>
      <w:szCs w:val="19"/>
    </w:rPr>
  </w:style>
  <w:style w:type="paragraph" w:customStyle="1" w:styleId="Epigraph">
    <w:name w:val="Epigraph"/>
    <w:basedOn w:val="Normal"/>
    <w:rsid w:val="00471E15"/>
    <w:pPr>
      <w:ind w:left="3600" w:firstLine="0"/>
      <w:jc w:val="right"/>
    </w:pPr>
    <w:rPr>
      <w:sz w:val="21"/>
      <w:szCs w:val="21"/>
    </w:rPr>
  </w:style>
  <w:style w:type="paragraph" w:customStyle="1" w:styleId="ArticleTitle">
    <w:name w:val="Article Title"/>
    <w:basedOn w:val="Normal"/>
    <w:rsid w:val="00E67E67"/>
    <w:pPr>
      <w:ind w:firstLine="0"/>
      <w:jc w:val="center"/>
    </w:pPr>
    <w:rPr>
      <w:caps/>
    </w:rPr>
  </w:style>
  <w:style w:type="paragraph" w:customStyle="1" w:styleId="YourName">
    <w:name w:val="Your Name"/>
    <w:basedOn w:val="Normal"/>
    <w:rsid w:val="00E67E67"/>
    <w:pPr>
      <w:ind w:firstLine="0"/>
      <w:jc w:val="center"/>
    </w:pPr>
    <w:rPr>
      <w:i/>
      <w:iCs/>
      <w:sz w:val="23"/>
    </w:rPr>
  </w:style>
  <w:style w:type="paragraph" w:customStyle="1" w:styleId="BlockQuoteinFootnote">
    <w:name w:val="Block Quote in Footnote"/>
    <w:basedOn w:val="FootnoteText"/>
    <w:rsid w:val="00870B12"/>
    <w:pPr>
      <w:ind w:left="360" w:right="360"/>
    </w:pPr>
  </w:style>
  <w:style w:type="character" w:customStyle="1" w:styleId="Heading3Char">
    <w:name w:val="Heading 3 Char"/>
    <w:link w:val="Heading3"/>
    <w:uiPriority w:val="9"/>
    <w:rsid w:val="0086288C"/>
    <w:rPr>
      <w:rFonts w:ascii="CG Times" w:hAnsi="CG Times"/>
      <w:sz w:val="24"/>
    </w:rPr>
  </w:style>
  <w:style w:type="character" w:customStyle="1" w:styleId="FootnoteTextChar">
    <w:name w:val="Footnote Text Char"/>
    <w:link w:val="FootnoteText"/>
    <w:uiPriority w:val="99"/>
    <w:semiHidden/>
    <w:rsid w:val="0086288C"/>
    <w:rPr>
      <w:rFonts w:ascii="CG Times" w:hAnsi="CG Times"/>
    </w:rPr>
  </w:style>
  <w:style w:type="character" w:customStyle="1" w:styleId="FooterChar">
    <w:name w:val="Footer Char"/>
    <w:link w:val="Footer"/>
    <w:uiPriority w:val="99"/>
    <w:rsid w:val="0086288C"/>
    <w:rPr>
      <w:rFonts w:ascii="CG Times" w:hAnsi="CG Times"/>
      <w:sz w:val="24"/>
    </w:rPr>
  </w:style>
  <w:style w:type="character" w:customStyle="1" w:styleId="CommentTextChar">
    <w:name w:val="Comment Text Char"/>
    <w:link w:val="CommentText"/>
    <w:uiPriority w:val="99"/>
    <w:rsid w:val="0086288C"/>
    <w:rPr>
      <w:rFonts w:ascii="CG Times" w:hAnsi="CG Times"/>
    </w:rPr>
  </w:style>
  <w:style w:type="paragraph" w:styleId="BalloonText">
    <w:name w:val="Balloon Text"/>
    <w:basedOn w:val="Normal"/>
    <w:link w:val="BalloonTextChar"/>
    <w:uiPriority w:val="99"/>
    <w:semiHidden/>
    <w:unhideWhenUsed/>
    <w:rsid w:val="0086288C"/>
    <w:pPr>
      <w:widowControl/>
      <w:ind w:firstLine="0"/>
      <w:jc w:val="left"/>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288C"/>
    <w:rPr>
      <w:sz w:val="18"/>
      <w:szCs w:val="18"/>
    </w:rPr>
  </w:style>
  <w:style w:type="character" w:customStyle="1" w:styleId="ssbf">
    <w:name w:val="ss_bf"/>
    <w:rsid w:val="0086288C"/>
  </w:style>
  <w:style w:type="table" w:styleId="TableGrid">
    <w:name w:val="Table Grid"/>
    <w:basedOn w:val="TableNormal"/>
    <w:uiPriority w:val="39"/>
    <w:rsid w:val="0086288C"/>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link w:val="EndnoteText"/>
    <w:uiPriority w:val="99"/>
    <w:rsid w:val="0086288C"/>
    <w:rPr>
      <w:rFonts w:ascii="CG Times" w:hAnsi="CG Times"/>
    </w:rPr>
  </w:style>
  <w:style w:type="paragraph" w:styleId="ListParagraph">
    <w:name w:val="List Paragraph"/>
    <w:basedOn w:val="Normal"/>
    <w:uiPriority w:val="34"/>
    <w:qFormat/>
    <w:rsid w:val="0086288C"/>
    <w:pPr>
      <w:widowControl/>
      <w:spacing w:after="160" w:line="259" w:lineRule="auto"/>
      <w:ind w:left="720" w:firstLine="0"/>
      <w:contextualSpacing/>
      <w:jc w:val="left"/>
    </w:pPr>
    <w:rPr>
      <w:rFonts w:ascii="Calibri" w:hAnsi="Calibri"/>
      <w:sz w:val="22"/>
      <w:szCs w:val="22"/>
    </w:rPr>
  </w:style>
  <w:style w:type="character" w:customStyle="1" w:styleId="HeaderChar">
    <w:name w:val="Header Char"/>
    <w:link w:val="Header"/>
    <w:uiPriority w:val="99"/>
    <w:rsid w:val="0086288C"/>
    <w:rPr>
      <w:rFonts w:ascii="CG Times" w:hAnsi="CG Times"/>
      <w:sz w:val="24"/>
    </w:rPr>
  </w:style>
  <w:style w:type="character" w:styleId="PlaceholderText">
    <w:name w:val="Placeholder Text"/>
    <w:uiPriority w:val="99"/>
    <w:semiHidden/>
    <w:rsid w:val="0086288C"/>
    <w:rPr>
      <w:color w:val="808080"/>
    </w:rPr>
  </w:style>
  <w:style w:type="paragraph" w:styleId="TOCHeading">
    <w:name w:val="TOC Heading"/>
    <w:basedOn w:val="Heading1"/>
    <w:next w:val="Normal"/>
    <w:uiPriority w:val="39"/>
    <w:unhideWhenUsed/>
    <w:qFormat/>
    <w:rsid w:val="0053027A"/>
    <w:pPr>
      <w:keepLines/>
      <w:numPr>
        <w:numId w:val="0"/>
      </w:numPr>
      <w:spacing w:before="480" w:line="276" w:lineRule="auto"/>
      <w:jc w:val="left"/>
      <w:outlineLvl w:val="9"/>
    </w:pPr>
    <w:rPr>
      <w:rFonts w:asciiTheme="majorHAnsi" w:eastAsiaTheme="majorEastAsia" w:hAnsiTheme="majorHAnsi" w:cstheme="majorBidi"/>
      <w:b/>
      <w:bCs/>
      <w:smallCaps w:val="0"/>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ysemet/Downloads/articl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68E9A2-07F5-CB4D-AE42-966B13DE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(1).dot</Template>
  <TotalTime>0</TotalTime>
  <Pages>78</Pages>
  <Words>24427</Words>
  <Characters>131419</Characters>
  <Application>Microsoft Macintosh Word</Application>
  <DocSecurity>0</DocSecurity>
  <Lines>2796</Lines>
  <Paragraphs>668</Paragraphs>
  <ScaleCrop>false</ScaleCrop>
  <HeadingPairs>
    <vt:vector size="2" baseType="variant">
      <vt:variant>
        <vt:lpstr>Title</vt:lpstr>
      </vt:variant>
      <vt:variant>
        <vt:i4>1</vt:i4>
      </vt:variant>
    </vt:vector>
  </HeadingPairs>
  <TitlesOfParts>
    <vt:vector size="1" baseType="lpstr">
      <vt:lpstr/>
    </vt:vector>
  </TitlesOfParts>
  <Company>UCLA School of Law</Company>
  <LinksUpToDate>false</LinksUpToDate>
  <CharactersWithSpaces>155178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Semet</dc:creator>
  <cp:keywords/>
  <dc:description/>
  <cp:lastModifiedBy>Microsoft Office User</cp:lastModifiedBy>
  <cp:revision>2</cp:revision>
  <cp:lastPrinted>2003-02-13T00:09:00Z</cp:lastPrinted>
  <dcterms:created xsi:type="dcterms:W3CDTF">2017-09-14T14:26:00Z</dcterms:created>
  <dcterms:modified xsi:type="dcterms:W3CDTF">2017-09-14T14:26:00Z</dcterms:modified>
</cp:coreProperties>
</file>