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BD69F" w14:textId="31855D13" w:rsidR="00D76C6E" w:rsidRDefault="00305CD9" w:rsidP="00D76C6E">
      <w:pPr>
        <w:spacing w:after="120"/>
        <w:jc w:val="center"/>
      </w:pPr>
      <w:r>
        <w:t>Executive Influence on Deportation: Immigration Court Decisions Across Recent Presidencies</w:t>
      </w:r>
    </w:p>
    <w:p w14:paraId="250595CA" w14:textId="77777777" w:rsidR="00D76C6E" w:rsidRDefault="00D76C6E" w:rsidP="00D76C6E">
      <w:pPr>
        <w:spacing w:after="240"/>
      </w:pPr>
    </w:p>
    <w:p w14:paraId="36479B3B" w14:textId="3BC4420D" w:rsidR="00D76C6E" w:rsidRDefault="00D76C6E" w:rsidP="00305CD9">
      <w:pPr>
        <w:spacing w:after="120" w:line="480" w:lineRule="auto"/>
        <w:jc w:val="center"/>
      </w:pPr>
      <w:r>
        <w:rPr>
          <w:i/>
          <w:iCs/>
        </w:rPr>
        <w:t>Amy E. Semet</w:t>
      </w:r>
    </w:p>
    <w:p w14:paraId="741B07C3" w14:textId="6E719481" w:rsidR="00D76C6E" w:rsidRDefault="00D76C6E" w:rsidP="00305CD9">
      <w:pPr>
        <w:spacing w:after="240" w:line="480" w:lineRule="auto"/>
        <w:ind w:left="720" w:right="720"/>
        <w:jc w:val="center"/>
      </w:pPr>
      <w:r>
        <w:rPr>
          <w:i/>
          <w:iCs/>
          <w:sz w:val="20"/>
          <w:szCs w:val="20"/>
        </w:rPr>
        <w:t>Associate Professor of Law, University at Buffalo School of Law.</w:t>
      </w:r>
    </w:p>
    <w:p w14:paraId="15B6595F" w14:textId="77777777" w:rsidR="002F3924" w:rsidRPr="002F3924" w:rsidRDefault="002F3924" w:rsidP="002F3924">
      <w:pPr>
        <w:pStyle w:val="NormalWeb"/>
        <w:rPr>
          <w:i/>
          <w:iCs/>
          <w:color w:val="000000"/>
        </w:rPr>
      </w:pPr>
      <w:r w:rsidRPr="002F3924">
        <w:rPr>
          <w:i/>
          <w:iCs/>
          <w:color w:val="000000"/>
        </w:rPr>
        <w:t xml:space="preserve">This Article examines whether immigration adjudication in the United States functions as an independent judicial process or as a politically responsive component of executive administration. Using an original dataset containing millions of immigration court proceedings from 2001 through early 2026, the Article analyzes how removal decisions changed across presidential administrations and whether immigration judges appointed by different presidents responded differently to those shifts. The study focuses </w:t>
      </w:r>
      <w:proofErr w:type="gramStart"/>
      <w:r w:rsidRPr="002F3924">
        <w:rPr>
          <w:i/>
          <w:iCs/>
          <w:color w:val="000000"/>
        </w:rPr>
        <w:t>in particular on</w:t>
      </w:r>
      <w:proofErr w:type="gramEnd"/>
      <w:r w:rsidRPr="002F3924">
        <w:rPr>
          <w:i/>
          <w:iCs/>
          <w:color w:val="000000"/>
        </w:rPr>
        <w:t xml:space="preserve"> the large cohort of judges appointed during the first Trump administration and tracks their behavior across the Obama, Trump I, Biden, and Trump II eras.</w:t>
      </w:r>
    </w:p>
    <w:p w14:paraId="064DCFF9" w14:textId="1349FD68" w:rsidR="002F3924" w:rsidRPr="002F3924" w:rsidRDefault="002F3924" w:rsidP="002F3924">
      <w:pPr>
        <w:pStyle w:val="NormalWeb"/>
        <w:rPr>
          <w:i/>
          <w:iCs/>
          <w:color w:val="000000"/>
        </w:rPr>
      </w:pPr>
      <w:r w:rsidRPr="002F3924">
        <w:rPr>
          <w:i/>
          <w:iCs/>
          <w:color w:val="000000"/>
        </w:rPr>
        <w:t>The Article employs a triple-difference research design with judge fixed effects, court-by-month controls, and extensive case-level covariates to separate three distinct forces shaping adjudication: the long-term effect of the appointing administration, the contemporaneous effect of the presidential administration currently in power, and cohort-specific responsiveness to political transition. The findings reveal substantial system-wide shifts in removal behavior across presidential administrations, suggesting that immigration adjudication is highly sensitive to executive-branch policy priorities. The findings challenge conventional assumptions regarding decisional independence in administrative adjudication. Although immigration judges are formally expected to exercise independent judgment, the results suggest that adjudicatory outcomes remain deeply intertwined with presidential transitions, institutional oversight, and changing enforcement priorities. The Article argues that these patterns raise fundamental questions about the structural design of immigration courts and contribute to broader debates concerning executive control, administrative adjudication, and the constitutional meaning of decisional independence.</w:t>
      </w:r>
      <w:r w:rsidRPr="002F3924">
        <w:rPr>
          <w:rStyle w:val="apple-converted-space"/>
          <w:rFonts w:eastAsiaTheme="majorEastAsia"/>
          <w:i/>
          <w:iCs/>
          <w:color w:val="000000"/>
        </w:rPr>
        <w:t> </w:t>
      </w:r>
    </w:p>
    <w:p w14:paraId="7E6C413E" w14:textId="77777777" w:rsidR="00D76C6E" w:rsidRDefault="00D76C6E" w:rsidP="00D76C6E">
      <w:pPr>
        <w:spacing w:after="240"/>
      </w:pPr>
    </w:p>
    <w:p w14:paraId="32C77D99" w14:textId="77777777" w:rsidR="002F3924" w:rsidRDefault="002F3924" w:rsidP="00D76C6E">
      <w:pPr>
        <w:spacing w:after="240"/>
      </w:pPr>
    </w:p>
    <w:p w14:paraId="6FA4935E" w14:textId="77777777" w:rsidR="002F3924" w:rsidRDefault="002F3924" w:rsidP="00D76C6E">
      <w:pPr>
        <w:spacing w:after="240"/>
      </w:pPr>
    </w:p>
    <w:p w14:paraId="4B02C4C3" w14:textId="77777777" w:rsidR="002F3924" w:rsidRDefault="002F3924" w:rsidP="00D76C6E">
      <w:pPr>
        <w:spacing w:after="240"/>
      </w:pPr>
    </w:p>
    <w:p w14:paraId="2EFDD781" w14:textId="77777777" w:rsidR="002F3924" w:rsidRDefault="002F3924" w:rsidP="00D76C6E">
      <w:pPr>
        <w:spacing w:after="240"/>
      </w:pPr>
    </w:p>
    <w:p w14:paraId="1A0FD2C0" w14:textId="77777777" w:rsidR="00D76C6E" w:rsidRDefault="00D76C6E" w:rsidP="00D76C6E">
      <w:pPr>
        <w:spacing w:before="480" w:after="240" w:line="480" w:lineRule="auto"/>
        <w:jc w:val="center"/>
      </w:pPr>
      <w:r>
        <w:rPr>
          <w:b/>
          <w:bCs/>
          <w:caps/>
        </w:rPr>
        <w:t>Introduction</w:t>
      </w:r>
    </w:p>
    <w:p w14:paraId="6C14C087" w14:textId="77777777" w:rsidR="00D76C6E" w:rsidRDefault="00D76C6E" w:rsidP="00D76C6E">
      <w:pPr>
        <w:spacing w:line="480" w:lineRule="auto"/>
        <w:ind w:firstLine="720"/>
      </w:pPr>
      <w:r>
        <w:lastRenderedPageBreak/>
        <w:t>Immigration courts occupy a distinctive position within the American legal system. Unlike Article III courts, which enjoy structural independence from the political branches, immigration courts operate within the executive branch as part of the Department of Justice's Executive Office for Immigration Review (EOIR). Immigration judges therefore function as adjudicators within a hierarchical administrative system ultimately controlled by the Attorney General and, indirectly, the President. This institutional structure raises a fundamental question: to what extent are immigration court outcomes shaped by the policy priorities of presidential administrations versus the individual preferences of immigration judges themselves?</w:t>
      </w:r>
    </w:p>
    <w:p w14:paraId="732ADE65" w14:textId="77777777" w:rsidR="00D76C6E" w:rsidRDefault="00D76C6E" w:rsidP="00D76C6E">
      <w:pPr>
        <w:spacing w:line="480" w:lineRule="auto"/>
        <w:ind w:firstLine="720"/>
      </w:pPr>
      <w:r>
        <w:t>Recent scholarship has increasingly emphasized the policy responsiveness of immigration adjudication. Because immigration courts are embedded within the executive branch, presidential administrations possess a range of tools through which they may influence adjudicative outcomes, including enforcement priorities, prosecutorial discretion policies, case management rules, and precedential decisions issued by the Attorney General. Changes in these policies can potentially affect the behavior of hundreds of immigration judges and the outcomes of millions of cases.</w:t>
      </w:r>
    </w:p>
    <w:p w14:paraId="4EA2C359" w14:textId="77777777" w:rsidR="00D76C6E" w:rsidRDefault="00D76C6E" w:rsidP="00D76C6E">
      <w:pPr>
        <w:spacing w:line="480" w:lineRule="auto"/>
        <w:ind w:firstLine="720"/>
      </w:pPr>
      <w:r>
        <w:t>Immigration judges are, by statute, authorized to exercise independent judgment in deciding whether to remove a noncitizen from the United States.</w:t>
      </w:r>
      <w:r>
        <w:rPr>
          <w:rStyle w:val="FootnoteReference"/>
          <w:rFonts w:eastAsiaTheme="majorEastAsia"/>
        </w:rPr>
        <w:footnoteReference w:id="1"/>
      </w:r>
      <w:r>
        <w:t xml:space="preserve"> The Board of Immigration Appeals has reinforced this norm, instructing that immigration courts must resolve cases on the evidence and the law without regard to political pressure.</w:t>
      </w:r>
      <w:r>
        <w:rPr>
          <w:rStyle w:val="FootnoteReference"/>
          <w:rFonts w:eastAsiaTheme="majorEastAsia"/>
        </w:rPr>
        <w:footnoteReference w:id="2"/>
      </w:r>
      <w:r>
        <w:t xml:space="preserve"> Yet the structure of immigration adjudication makes independence a precarious ideal. Immigration judges are Department of Justice employees, appointed by the Attorney General, removable for misconduct, and subject to </w:t>
      </w:r>
      <w:r>
        <w:lastRenderedPageBreak/>
        <w:t>the supervision of executive officials whose primary responsibility is enforcement, not neutral adjudication.</w:t>
      </w:r>
      <w:r>
        <w:rPr>
          <w:rStyle w:val="FootnoteReference"/>
          <w:rFonts w:eastAsiaTheme="majorEastAsia"/>
        </w:rPr>
        <w:footnoteReference w:id="3"/>
      </w:r>
      <w:r>
        <w:t xml:space="preserve"> That structural design creates the conditions for a longstanding question: does the administration in power shape how immigration judges decide cases?</w:t>
      </w:r>
    </w:p>
    <w:p w14:paraId="552D1482" w14:textId="64F4D266" w:rsidR="00D76C6E" w:rsidRDefault="00D76C6E" w:rsidP="00D76C6E">
      <w:pPr>
        <w:spacing w:line="480" w:lineRule="auto"/>
        <w:ind w:firstLine="720"/>
      </w:pPr>
      <w:r>
        <w:t>A substantial empirical literature has documented that judge identity matters enormously in immigration adjudication.</w:t>
      </w:r>
      <w:r>
        <w:rPr>
          <w:rStyle w:val="FootnoteReference"/>
          <w:rFonts w:eastAsiaTheme="majorEastAsia"/>
        </w:rPr>
        <w:footnoteReference w:id="4"/>
      </w:r>
      <w:r w:rsidR="00F456C7">
        <w:t xml:space="preserve"> </w:t>
      </w:r>
      <w:r>
        <w:t xml:space="preserve">Grant rates for asylum and rates of removal order vary across judges in ways that cannot be explained by observable case characteristics. The magnitude of these disparities rivals or exceeds those found in other administrative adjudicatory settings and has attracted sustained scholarly and media attention since the publication of the foundational </w:t>
      </w:r>
      <w:r w:rsidR="00F456C7">
        <w:t>“</w:t>
      </w:r>
      <w:r>
        <w:t>Refugee Roulette</w:t>
      </w:r>
      <w:r w:rsidR="00F456C7">
        <w:t xml:space="preserve">” study in 2007 by </w:t>
      </w:r>
      <w:r w:rsidR="00F456C7" w:rsidRPr="00F456C7">
        <w:t>Jaya Ramji-Nogales, Andrew I. Schoenholtz &amp; Philip G. Schrag.</w:t>
      </w:r>
      <w:r w:rsidR="00F456C7">
        <w:t xml:space="preserve"> </w:t>
      </w:r>
      <w:r>
        <w:t>What has received less systematic attention is whether the disparities across judges are partially explained by the political environment in which they adjudicate—not just who appointed them, but who is in power when they are deciding cases.</w:t>
      </w:r>
    </w:p>
    <w:p w14:paraId="3D789DA3" w14:textId="34B66661" w:rsidR="00D76C6E" w:rsidRDefault="00D76C6E" w:rsidP="00D76C6E">
      <w:pPr>
        <w:spacing w:line="480" w:lineRule="auto"/>
        <w:ind w:firstLine="720"/>
      </w:pPr>
      <w:r>
        <w:t>At the same time, immigration judges exercise considerable discretion in adjudicating individual removal proceedings. Judges make determinations regarding removability, eligibility for relief, and the interpretation of immigration statutes and regulations. These decisions may reflect differences in professional background, legal interpretation, or ideological orientation. As a result, another line of scholarship has focused on variation across judges, examining whether the characteristics or preferences of individual adjudicators shape immigration court outcomes.</w:t>
      </w:r>
      <w:r w:rsidR="00F456C7">
        <w:rPr>
          <w:rStyle w:val="FootnoteReference"/>
        </w:rPr>
        <w:footnoteReference w:id="5"/>
      </w:r>
    </w:p>
    <w:p w14:paraId="57444AF5" w14:textId="67BCAC61" w:rsidR="00D76C6E" w:rsidRDefault="00D76C6E" w:rsidP="00B175AC">
      <w:pPr>
        <w:spacing w:line="480" w:lineRule="auto"/>
        <w:ind w:firstLine="720"/>
      </w:pPr>
      <w:r>
        <w:lastRenderedPageBreak/>
        <w:t xml:space="preserve">This Article addresses that question directly, with a focus on the Trump cohort of immigration judges. The Trump administration appointed </w:t>
      </w:r>
      <w:r w:rsidR="00F456C7">
        <w:t>hundreds of</w:t>
      </w:r>
      <w:r>
        <w:t xml:space="preserve"> new judges during its first term, nearly doubling the immigration judge corps.</w:t>
      </w:r>
      <w:r>
        <w:rPr>
          <w:rStyle w:val="FootnoteReference"/>
          <w:rFonts w:eastAsiaTheme="majorEastAsia"/>
        </w:rPr>
        <w:footnoteReference w:id="6"/>
      </w:r>
      <w:r>
        <w:t xml:space="preserve"> That hiring surge produced a large, identifiable cohort of judges who were selected by a particular administration and whose subsequent behavior across multiple presidential regimes can be tracked in the EOIR dataset. When Biden took office, did those judges change their behavior? And now that Trump has returned, are they reverting?</w:t>
      </w:r>
    </w:p>
    <w:p w14:paraId="71FC838D" w14:textId="77777777" w:rsidR="00D76C6E" w:rsidRDefault="00D76C6E" w:rsidP="00D76C6E">
      <w:pPr>
        <w:spacing w:line="480" w:lineRule="auto"/>
        <w:ind w:firstLine="720"/>
      </w:pPr>
      <w:r>
        <w:t>These questions are not merely academic. If the administration in power shapes removal outcomes across all judges—regardless of who appointed them—then the policy choices of the executive branch have immediate, far-reaching consequences for the millions of noncitizens in removal proceedings at any given time. If, in addition, judges appointed by one administration respond differently to the change in political control than judges appointed by another, that finding raises deeper questions about the independence of the administrative adjudicatory process. And if those cohort-specific patterns are now reversing as Trump judges return to form under the second Trump administration, the data provide powerful evidence that immigration adjudication is more politically responsive than either the law or norms of independent adjudication contemplate.</w:t>
      </w:r>
    </w:p>
    <w:p w14:paraId="7F4F9D4C" w14:textId="112432D9" w:rsidR="00D76C6E" w:rsidRDefault="00D76C6E" w:rsidP="00D76C6E">
      <w:pPr>
        <w:spacing w:line="480" w:lineRule="auto"/>
        <w:ind w:firstLine="720"/>
      </w:pPr>
      <w:r>
        <w:t>To study these questions, I analyze the full universe of individual merits decisions in the EOIR case management system from January 200</w:t>
      </w:r>
      <w:r w:rsidR="00F456C7">
        <w:t>1</w:t>
      </w:r>
      <w:r>
        <w:t xml:space="preserve"> through </w:t>
      </w:r>
      <w:r w:rsidR="00F456C7">
        <w:t>February 2026</w:t>
      </w:r>
      <w:r>
        <w:t xml:space="preserve">—approximately </w:t>
      </w:r>
      <w:r w:rsidR="00F456C7">
        <w:t xml:space="preserve">2.6 </w:t>
      </w:r>
      <w:r>
        <w:t>million proceedings in total.</w:t>
      </w:r>
      <w:r>
        <w:rPr>
          <w:rStyle w:val="FootnoteReference"/>
          <w:rFonts w:eastAsiaTheme="majorEastAsia"/>
        </w:rPr>
        <w:footnoteReference w:id="7"/>
      </w:r>
      <w:r>
        <w:t xml:space="preserve"> I identify each IJ</w:t>
      </w:r>
      <w:r w:rsidR="00F456C7">
        <w:t>’</w:t>
      </w:r>
      <w:r>
        <w:t xml:space="preserve">s appointing administration from EOIR press </w:t>
      </w:r>
      <w:r>
        <w:lastRenderedPageBreak/>
        <w:t>releases and use the date of each decision to assign a presidential era indicator.</w:t>
      </w:r>
      <w:r w:rsidR="00F456C7">
        <w:rPr>
          <w:rStyle w:val="FootnoteReference"/>
        </w:rPr>
        <w:footnoteReference w:id="8"/>
      </w:r>
      <w:r>
        <w:t xml:space="preserve"> The core identification strategy is a triple-difference with judge fixed effects: I compare within-judge changes in removal rates across presidential eras, then ask whether the pattern of change differed for Trump-cohort judges relative to Obama- and Biden-cohort judge</w:t>
      </w:r>
      <w:r w:rsidR="002F3924">
        <w:t xml:space="preserve">, controlling for </w:t>
      </w:r>
      <w:r>
        <w:t>case mix, court-by-month fixed effects, and all time-invariant judge characteristics.</w:t>
      </w:r>
      <w:r>
        <w:rPr>
          <w:rStyle w:val="FootnoteReference"/>
          <w:rFonts w:eastAsiaTheme="majorEastAsia"/>
        </w:rPr>
        <w:footnoteReference w:id="9"/>
      </w:r>
    </w:p>
    <w:p w14:paraId="7158F6FB" w14:textId="3CA59BBD" w:rsidR="00D76C6E" w:rsidRDefault="00D76C6E" w:rsidP="003E7852">
      <w:pPr>
        <w:spacing w:line="480" w:lineRule="auto"/>
        <w:ind w:firstLine="720"/>
      </w:pPr>
      <w:r>
        <w:t>The remainder of this Article proceeds in eight Parts. Part I provides background on immigration court structure and procedures. Part II reviews the scholarly literature on immigration court adjudication, with particular attention to recent empirical work on judge behavior and political effects. Part III presents the theoretical framework and formal hypotheses. Part IV describes the dataset and control variables. Part V presents the empirical strategy in full, including the triple-difference identification design and a lay-accessible explanation of each model. Part VI presents preliminary descriptive results. Part VII designs a framework for institutional independence in executive-branch adjudicatory courts, proposing structural and transparency-based reforms. Part VIII concludes with directions for future research</w:t>
      </w:r>
      <w:r w:rsidR="003E7852">
        <w:t>.</w:t>
      </w:r>
    </w:p>
    <w:p w14:paraId="7D07DE16" w14:textId="77777777" w:rsidR="00D76C6E" w:rsidRDefault="00D76C6E" w:rsidP="00D76C6E">
      <w:pPr>
        <w:spacing w:before="480" w:after="240" w:line="480" w:lineRule="auto"/>
        <w:jc w:val="center"/>
      </w:pPr>
      <w:r>
        <w:rPr>
          <w:b/>
          <w:bCs/>
          <w:caps/>
        </w:rPr>
        <w:t>I. Immigration Court Proceedings</w:t>
      </w:r>
    </w:p>
    <w:p w14:paraId="31DFE934" w14:textId="5DD6EBD5" w:rsidR="00D76C6E" w:rsidRDefault="00D76C6E" w:rsidP="00D76C6E">
      <w:pPr>
        <w:spacing w:line="480" w:lineRule="auto"/>
        <w:ind w:firstLine="720"/>
      </w:pPr>
      <w:r>
        <w:t xml:space="preserve">Attorneys </w:t>
      </w:r>
      <w:r w:rsidR="003E7852">
        <w:t xml:space="preserve">in the Executive Office of Immigration Review (EOIR) </w:t>
      </w:r>
      <w:r>
        <w:t xml:space="preserve">housed within the Department of Homeland Security, exercise discretion to initiate removal proceedings against a noncitizen by serving a </w:t>
      </w:r>
      <w:r w:rsidR="003E7852">
        <w:t>“</w:t>
      </w:r>
      <w:r>
        <w:t>Notice to Appear</w:t>
      </w:r>
      <w:r w:rsidR="003E7852">
        <w:t>”</w:t>
      </w:r>
      <w:r>
        <w:t xml:space="preserve"> (NTA) at the individual's last known address.</w:t>
      </w:r>
      <w:r>
        <w:rPr>
          <w:rStyle w:val="FootnoteReference"/>
          <w:rFonts w:eastAsiaTheme="majorEastAsia"/>
        </w:rPr>
        <w:footnoteReference w:id="10"/>
      </w:r>
      <w:r>
        <w:t xml:space="preserve"> The NTA identifies the charges of removal and directs the noncitizen to appear before an </w:t>
      </w:r>
      <w:r>
        <w:lastRenderedPageBreak/>
        <w:t>immigration judge. Upon receipt of the NTA, the noncitizen typically appears before an IJ in a group setting known as a master calendar hearing, generally assigned to the court corresponding to the noncitizen's last known address or place of custody.</w:t>
      </w:r>
      <w:r>
        <w:rPr>
          <w:rStyle w:val="FootnoteReference"/>
          <w:rFonts w:eastAsiaTheme="majorEastAsia"/>
        </w:rPr>
        <w:footnoteReference w:id="11"/>
      </w:r>
    </w:p>
    <w:p w14:paraId="7602496D" w14:textId="77777777" w:rsidR="00D76C6E" w:rsidRDefault="00D76C6E" w:rsidP="00D76C6E">
      <w:pPr>
        <w:spacing w:line="480" w:lineRule="auto"/>
        <w:ind w:firstLine="720"/>
      </w:pPr>
      <w:r>
        <w:t>Noncitizens who contest removal are scheduled for an individual merits hearing—a proceeding that includes many of the procedural protections associated with a traditional bench trial, including witness testimony, cross-examination, and the submission of documentary evidence.</w:t>
      </w:r>
      <w:r>
        <w:rPr>
          <w:rStyle w:val="FootnoteReference"/>
          <w:rFonts w:eastAsiaTheme="majorEastAsia"/>
        </w:rPr>
        <w:footnoteReference w:id="12"/>
      </w:r>
      <w:r>
        <w:t xml:space="preserve"> The noncitizen may be represented by counsel, at no expense to the government.</w:t>
      </w:r>
      <w:r>
        <w:rPr>
          <w:rStyle w:val="FootnoteReference"/>
          <w:rFonts w:eastAsiaTheme="majorEastAsia"/>
        </w:rPr>
        <w:footnoteReference w:id="13"/>
      </w:r>
      <w:r>
        <w:t xml:space="preserve"> After the IJ issues a decision, the noncitizen may file a motion to reopen or for reconsideration, and either party may appeal to the Board of Immigration Appeals (BIA),</w:t>
      </w:r>
      <w:r>
        <w:rPr>
          <w:rStyle w:val="FootnoteReference"/>
          <w:rFonts w:eastAsiaTheme="majorEastAsia"/>
        </w:rPr>
        <w:footnoteReference w:id="14"/>
      </w:r>
      <w:r>
        <w:t xml:space="preserve"> with further review available in the appropriate federal court of appeals</w:t>
      </w:r>
      <w:r>
        <w:rPr>
          <w:rStyle w:val="FootnoteReference"/>
          <w:rFonts w:eastAsiaTheme="majorEastAsia"/>
        </w:rPr>
        <w:footnoteReference w:id="15"/>
      </w:r>
      <w:r>
        <w:t xml:space="preserve"> and, in certain circumstances, by the Attorney General directly.</w:t>
      </w:r>
      <w:r>
        <w:rPr>
          <w:rStyle w:val="FootnoteReference"/>
          <w:rFonts w:eastAsiaTheme="majorEastAsia"/>
        </w:rPr>
        <w:footnoteReference w:id="16"/>
      </w:r>
    </w:p>
    <w:p w14:paraId="50C7DD1F" w14:textId="77777777" w:rsidR="00D76C6E" w:rsidRDefault="00D76C6E" w:rsidP="00D76C6E">
      <w:pPr>
        <w:spacing w:line="480" w:lineRule="auto"/>
        <w:ind w:firstLine="720"/>
      </w:pPr>
      <w:r>
        <w:t>Even when removability is not contested, the IJ exercises significant discretion over the outcome. The IJ may enter a formal order of removal—which bars reentry for five, ten, or twenty years—or instead grant voluntary departure, which allows the noncitizen to leave the United States without a formal bar to reentry.</w:t>
      </w:r>
      <w:r>
        <w:rPr>
          <w:rStyle w:val="FootnoteReference"/>
          <w:rFonts w:eastAsiaTheme="majorEastAsia"/>
        </w:rPr>
        <w:footnoteReference w:id="17"/>
      </w:r>
      <w:r>
        <w:t xml:space="preserve"> In cases where removability is at issue, the IJ determines </w:t>
      </w:r>
      <w:r>
        <w:lastRenderedPageBreak/>
        <w:t>whether the government has met its burden of establishing one of the statutory grounds for removal listed in the charging document.</w:t>
      </w:r>
    </w:p>
    <w:p w14:paraId="1E7AD823" w14:textId="77777777" w:rsidR="00D76C6E" w:rsidRDefault="00D76C6E" w:rsidP="00D76C6E">
      <w:pPr>
        <w:spacing w:line="480" w:lineRule="auto"/>
        <w:ind w:firstLine="720"/>
      </w:pPr>
      <w:r>
        <w:t>Noncitizens in removal proceedings may seek relief from removal under several statutory frameworks. Asylum is available to those who demonstrate a well-founded fear of persecution on account of a protected ground—race, religion, nationality, membership in a particular social group, or political opinion—provided the application is timely filed.</w:t>
      </w:r>
      <w:r>
        <w:rPr>
          <w:rStyle w:val="FootnoteReference"/>
          <w:rFonts w:eastAsiaTheme="majorEastAsia"/>
        </w:rPr>
        <w:footnoteReference w:id="18"/>
      </w:r>
      <w:r>
        <w:t xml:space="preserve"> Withholding of removal provides a more demanding but non-discretionary alternative for those who face a clear probability of persecution.</w:t>
      </w:r>
      <w:r>
        <w:rPr>
          <w:rStyle w:val="FootnoteReference"/>
          <w:rFonts w:eastAsiaTheme="majorEastAsia"/>
        </w:rPr>
        <w:footnoteReference w:id="19"/>
      </w:r>
      <w:r>
        <w:t xml:space="preserve"> Protection under the Convention Against Torture is available where the individual would face torture if returned.</w:t>
      </w:r>
      <w:r>
        <w:rPr>
          <w:rStyle w:val="FootnoteReference"/>
          <w:rFonts w:eastAsiaTheme="majorEastAsia"/>
        </w:rPr>
        <w:footnoteReference w:id="20"/>
      </w:r>
      <w:r>
        <w:t xml:space="preserve"> Long-term lawful permanent residents may also be eligible for cancellation of removal.</w:t>
      </w:r>
    </w:p>
    <w:p w14:paraId="66395FE3" w14:textId="206DC699" w:rsidR="00D76C6E" w:rsidRDefault="00D76C6E" w:rsidP="003E7852">
      <w:pPr>
        <w:spacing w:line="480" w:lineRule="auto"/>
        <w:ind w:firstLine="720"/>
      </w:pPr>
      <w:r>
        <w:t>Immigration judges are career civil servants appointed by the Attorney General under Schedule A of the excepted service.</w:t>
      </w:r>
      <w:r>
        <w:rPr>
          <w:rStyle w:val="FootnoteReference"/>
          <w:rFonts w:eastAsiaTheme="majorEastAsia"/>
        </w:rPr>
        <w:footnoteReference w:id="21"/>
      </w:r>
      <w:r>
        <w:t xml:space="preserve"> They must hold a law degree and be admitted to a state bar,</w:t>
      </w:r>
      <w:r>
        <w:rPr>
          <w:rStyle w:val="FootnoteReference"/>
          <w:rFonts w:eastAsiaTheme="majorEastAsia"/>
        </w:rPr>
        <w:footnoteReference w:id="22"/>
      </w:r>
      <w:r>
        <w:t xml:space="preserve"> but they are not Article III judges, and they lack the structural protections of life tenure and salary protection. Judicial independence in this setting is thus a function of civil service tenure protections, professional norms, and the organizational culture of EOIR—factors that may be more readily displaced by executive pressure than constitutional tenure.</w:t>
      </w:r>
    </w:p>
    <w:p w14:paraId="42207F80" w14:textId="77777777" w:rsidR="00D76C6E" w:rsidRDefault="00D76C6E" w:rsidP="00D76C6E">
      <w:pPr>
        <w:spacing w:before="480" w:after="240" w:line="480" w:lineRule="auto"/>
        <w:jc w:val="center"/>
      </w:pPr>
      <w:r>
        <w:rPr>
          <w:b/>
          <w:bCs/>
          <w:caps/>
        </w:rPr>
        <w:t>II. Literature Review</w:t>
      </w:r>
    </w:p>
    <w:p w14:paraId="73C82AE3" w14:textId="77777777" w:rsidR="00D76C6E" w:rsidRDefault="00D76C6E" w:rsidP="00D76C6E">
      <w:pPr>
        <w:spacing w:before="360" w:after="120" w:line="480" w:lineRule="auto"/>
      </w:pPr>
      <w:r>
        <w:rPr>
          <w:b/>
          <w:bCs/>
          <w:i/>
          <w:iCs/>
        </w:rPr>
        <w:lastRenderedPageBreak/>
        <w:t>A. Administrative Adjudication and Executive Control</w:t>
      </w:r>
    </w:p>
    <w:p w14:paraId="61223B0D" w14:textId="77777777" w:rsidR="00D76C6E" w:rsidRDefault="00D76C6E" w:rsidP="00D76C6E">
      <w:pPr>
        <w:spacing w:line="480" w:lineRule="auto"/>
        <w:ind w:firstLine="720"/>
      </w:pPr>
      <w:r>
        <w:t>Immigration courts represent one of the largest and most consequential systems of administrative adjudication in the United States. Administrative law scholarship has long emphasized that adjudicative bodies embedded within executive agencies differ fundamentally from independent courts.</w:t>
      </w:r>
      <w:r>
        <w:rPr>
          <w:rStyle w:val="FootnoteReference"/>
          <w:rFonts w:eastAsiaTheme="majorEastAsia"/>
        </w:rPr>
        <w:footnoteReference w:id="23"/>
      </w:r>
      <w:r>
        <w:t xml:space="preserve"> Because administrative adjudicators operate within hierarchical bureaucratic structures, agency leadership can influence decision-making through policy directives, procedural rules, and internal supervision.</w:t>
      </w:r>
      <w:r>
        <w:rPr>
          <w:rStyle w:val="FootnoteReference"/>
          <w:rFonts w:eastAsiaTheme="majorEastAsia"/>
        </w:rPr>
        <w:footnoteReference w:id="24"/>
      </w:r>
    </w:p>
    <w:p w14:paraId="794053D6" w14:textId="77777777" w:rsidR="00D76C6E" w:rsidRDefault="00D76C6E" w:rsidP="00D76C6E">
      <w:pPr>
        <w:spacing w:line="480" w:lineRule="auto"/>
        <w:ind w:firstLine="720"/>
      </w:pPr>
      <w:r>
        <w:t>This perspective suggests that administrative adjudication may be highly responsive to political principals. Presidents and agency heads possess the authority to shape policy through rulemaking, enforcement priorities, and interpretive guidance, all of which may indirectly influence adjudicative outcomes.</w:t>
      </w:r>
      <w:r>
        <w:rPr>
          <w:rStyle w:val="FootnoteReference"/>
          <w:rFonts w:eastAsiaTheme="majorEastAsia"/>
        </w:rPr>
        <w:footnoteReference w:id="25"/>
      </w:r>
      <w:r>
        <w:t xml:space="preserve"> As a result, administrative courts may reflect the policy preferences of the political branches more strongly than Article III courts. Immigration courts provide a particularly salient example of this dynamic. Located within the Department of Justice, the immigration court system is subject to oversight by the Attorney General, who possesses </w:t>
      </w:r>
      <w:r>
        <w:lastRenderedPageBreak/>
        <w:t>broad authority to review and reverse decisions through the certification process.</w:t>
      </w:r>
      <w:r>
        <w:rPr>
          <w:rStyle w:val="FootnoteReference"/>
          <w:rFonts w:eastAsiaTheme="majorEastAsia"/>
        </w:rPr>
        <w:footnoteReference w:id="26"/>
      </w:r>
      <w:r>
        <w:t xml:space="preserve"> In addition, immigration enforcement priorities established by the Department of Homeland Security influence which cases are brought before immigration judges and how those cases are litigated, creating multiple channels through which presidential administrations can shape immigration adjudication.</w:t>
      </w:r>
      <w:r>
        <w:rPr>
          <w:rStyle w:val="FootnoteReference"/>
          <w:rFonts w:eastAsiaTheme="majorEastAsia"/>
        </w:rPr>
        <w:footnoteReference w:id="27"/>
      </w:r>
    </w:p>
    <w:p w14:paraId="33DD2B15" w14:textId="29B37EBA" w:rsidR="00D76C6E" w:rsidRDefault="00D76C6E" w:rsidP="00D76C6E">
      <w:pPr>
        <w:spacing w:line="480" w:lineRule="auto"/>
        <w:ind w:firstLine="720"/>
      </w:pPr>
      <w:r>
        <w:t xml:space="preserve">The literature on administrative law and executive control provides important theoretical context for these dynamics. </w:t>
      </w:r>
      <w:r w:rsidR="004E5B6B">
        <w:t xml:space="preserve">Andrew </w:t>
      </w:r>
      <w:r>
        <w:t xml:space="preserve">Eisenberg and </w:t>
      </w:r>
      <w:r w:rsidR="004E5B6B">
        <w:t xml:space="preserve">Gillian </w:t>
      </w:r>
      <w:r>
        <w:t>Metzger's study of agency-head review documents how politically appointed agency heads shape formal adjudication through certification and review authority—a mechanism that operates above the level of individual adjudicators and allows political principals to aggregate individual case outcomes into systemic policy effects without formally overriding any single decision.</w:t>
      </w:r>
      <w:r>
        <w:rPr>
          <w:rStyle w:val="FootnoteReference"/>
          <w:rFonts w:eastAsiaTheme="majorEastAsia"/>
        </w:rPr>
        <w:footnoteReference w:id="28"/>
      </w:r>
      <w:r>
        <w:t xml:space="preserve"> Jennifer Nou</w:t>
      </w:r>
      <w:r w:rsidR="004F6277">
        <w:t>’</w:t>
      </w:r>
      <w:r>
        <w:t>s analysis of the litigation surrounding administrative law judge decisional independence demonstrates that constitutional and administrative law doctrine has been deeply ambivalent about insulating executive-branch adjudicators from political supervision, and that formal civil service protections have not translated into robust behavioral independence in the face of determined executive pressure.</w:t>
      </w:r>
      <w:r>
        <w:rPr>
          <w:rStyle w:val="FootnoteReference"/>
          <w:rFonts w:eastAsiaTheme="majorEastAsia"/>
        </w:rPr>
        <w:footnoteReference w:id="29"/>
      </w:r>
      <w:r>
        <w:t xml:space="preserve"> Together, these studies suggest that executive-branch adjudicatory bodies </w:t>
      </w:r>
      <w:r>
        <w:lastRenderedPageBreak/>
        <w:t>face structural pressures toward political responsiveness that are difficult to overcome through formal protections alon</w:t>
      </w:r>
      <w:r w:rsidR="004F6277">
        <w:t xml:space="preserve">e. </w:t>
      </w:r>
    </w:p>
    <w:p w14:paraId="46CAA583" w14:textId="65FEAB80" w:rsidR="00D76C6E" w:rsidRDefault="00D76C6E" w:rsidP="00D76C6E">
      <w:pPr>
        <w:spacing w:line="480" w:lineRule="auto"/>
        <w:ind w:firstLine="720"/>
      </w:pPr>
      <w:r>
        <w:t xml:space="preserve">Two recent contributions speak directly to the immigration context and the second Trump administration. Jillian Blake </w:t>
      </w:r>
      <w:r w:rsidR="00BF090B">
        <w:t xml:space="preserve">Family </w:t>
      </w:r>
      <w:r>
        <w:t>argues that the removal of approximately 140 immigration judges during the first months of the second Trump administration in 2025 represents a systematic effort to use unitary executive theory to override structural independence protections for EOIR adjudicators, raising fundamental constitutional questions about the limits of executive control over adjudication.</w:t>
      </w:r>
      <w:r>
        <w:rPr>
          <w:rStyle w:val="FootnoteReference"/>
          <w:rFonts w:eastAsiaTheme="majorEastAsia"/>
        </w:rPr>
        <w:footnoteReference w:id="30"/>
      </w:r>
      <w:r>
        <w:t xml:space="preserve"> </w:t>
      </w:r>
      <w:r w:rsidR="002F3924">
        <w:t xml:space="preserve">Identifying immigration courts as a prototype, </w:t>
      </w:r>
      <w:r>
        <w:t>Mariano-Florentino Cuéllar</w:t>
      </w:r>
      <w:r w:rsidR="004F6277">
        <w:t>’</w:t>
      </w:r>
      <w:r>
        <w:t xml:space="preserve">s essay examines the emergence of what he terms </w:t>
      </w:r>
      <w:r w:rsidR="004F6277">
        <w:t>“</w:t>
      </w:r>
      <w:r>
        <w:t>presidential quasi-adjudication</w:t>
      </w:r>
      <w:r w:rsidR="002F3924">
        <w:t xml:space="preserve">,” which is </w:t>
      </w:r>
      <w:r>
        <w:t>a governance mode in which the executive branch reshapes individual adjudicatory outcomes through systematic institutional intervention rather than through formal rulemaking or legislation.</w:t>
      </w:r>
      <w:r>
        <w:rPr>
          <w:rStyle w:val="FootnoteReference"/>
          <w:rFonts w:eastAsiaTheme="majorEastAsia"/>
        </w:rPr>
        <w:footnoteReference w:id="31"/>
      </w:r>
      <w:r>
        <w:t xml:space="preserve"> The findings reported in this Article provide empirical content to these theoretical claims</w:t>
      </w:r>
      <w:r w:rsidR="004F6277">
        <w:t>.</w:t>
      </w:r>
    </w:p>
    <w:p w14:paraId="673C671B" w14:textId="245A8141" w:rsidR="00D76C6E" w:rsidRDefault="00D76C6E" w:rsidP="00D76C6E">
      <w:pPr>
        <w:spacing w:before="360" w:after="120" w:line="480" w:lineRule="auto"/>
      </w:pPr>
      <w:r>
        <w:rPr>
          <w:b/>
          <w:bCs/>
          <w:i/>
          <w:iCs/>
        </w:rPr>
        <w:t xml:space="preserve">B. Judicial Disparity and the </w:t>
      </w:r>
      <w:r w:rsidR="004F6277">
        <w:rPr>
          <w:b/>
          <w:bCs/>
          <w:i/>
          <w:iCs/>
        </w:rPr>
        <w:t>“</w:t>
      </w:r>
      <w:r>
        <w:rPr>
          <w:b/>
          <w:bCs/>
          <w:i/>
          <w:iCs/>
        </w:rPr>
        <w:t>Refugee Roulette</w:t>
      </w:r>
      <w:r w:rsidR="004F6277">
        <w:rPr>
          <w:b/>
          <w:bCs/>
          <w:i/>
          <w:iCs/>
        </w:rPr>
        <w:t>”</w:t>
      </w:r>
      <w:r>
        <w:rPr>
          <w:b/>
          <w:bCs/>
          <w:i/>
          <w:iCs/>
        </w:rPr>
        <w:t xml:space="preserve"> Literature</w:t>
      </w:r>
    </w:p>
    <w:p w14:paraId="134C72D1" w14:textId="405D3308" w:rsidR="00D76C6E" w:rsidRDefault="00D76C6E" w:rsidP="00D76C6E">
      <w:pPr>
        <w:spacing w:line="480" w:lineRule="auto"/>
        <w:ind w:firstLine="720"/>
      </w:pPr>
      <w:r>
        <w:lastRenderedPageBreak/>
        <w:t xml:space="preserve">The modern empirical literature on immigration adjudication begins with </w:t>
      </w:r>
      <w:r w:rsidR="00BF090B">
        <w:t xml:space="preserve">the seminal </w:t>
      </w:r>
      <w:r>
        <w:t xml:space="preserve">work of Ramji-Nogales, Schoenholtz, and Schrag, whose landmark </w:t>
      </w:r>
      <w:r w:rsidR="00BF090B">
        <w:t>“</w:t>
      </w:r>
      <w:r>
        <w:t>Refugee Roulette</w:t>
      </w:r>
      <w:r w:rsidR="00BF090B">
        <w:t>”</w:t>
      </w:r>
      <w:r>
        <w:t xml:space="preserve"> study documented extraordinary variance in asylum grant rates across immigration judges.</w:t>
      </w:r>
      <w:r>
        <w:rPr>
          <w:rStyle w:val="FootnoteReference"/>
          <w:rFonts w:eastAsiaTheme="majorEastAsia"/>
        </w:rPr>
        <w:footnoteReference w:id="32"/>
      </w:r>
      <w:r>
        <w:t xml:space="preserve"> Analyzing over 140,000 decisions from 2000 to 2004, the authors found that grant rates varied from under </w:t>
      </w:r>
      <w:r w:rsidR="004F6277">
        <w:t xml:space="preserve">5% </w:t>
      </w:r>
      <w:r>
        <w:t xml:space="preserve">to over </w:t>
      </w:r>
      <w:r w:rsidR="004F6277">
        <w:t>80%</w:t>
      </w:r>
      <w:r>
        <w:t xml:space="preserve"> across different IJs adjudicating substantively similar cases.</w:t>
      </w:r>
      <w:r>
        <w:rPr>
          <w:rStyle w:val="FootnoteReference"/>
          <w:rFonts w:eastAsiaTheme="majorEastAsia"/>
        </w:rPr>
        <w:footnoteReference w:id="33"/>
      </w:r>
      <w:r>
        <w:t xml:space="preserve"> They further documented that the circuit</w:t>
      </w:r>
      <w:r w:rsidR="004F6277">
        <w:t xml:space="preserve"> court</w:t>
      </w:r>
      <w:r>
        <w:t xml:space="preserve"> in which the noncitizen's case was heard, the nationality of the applicant, and the identity of the judge each accounted for substantial portions of the observed variance—while leaving a substantial residual unaccounted for by observable factors.</w:t>
      </w:r>
      <w:r w:rsidR="004F6277">
        <w:rPr>
          <w:rStyle w:val="FootnoteReference"/>
        </w:rPr>
        <w:footnoteReference w:id="34"/>
      </w:r>
      <w:r>
        <w:t xml:space="preserve"> A follow-up study by Schrag and colleagues documented related disparities in the application of the one-year asylum filing bar.</w:t>
      </w:r>
      <w:r>
        <w:rPr>
          <w:rStyle w:val="FootnoteReference"/>
          <w:rFonts w:eastAsiaTheme="majorEastAsia"/>
        </w:rPr>
        <w:footnoteReference w:id="35"/>
      </w:r>
    </w:p>
    <w:p w14:paraId="76DD8700" w14:textId="50E61F17" w:rsidR="00D76C6E" w:rsidRDefault="00D76C6E" w:rsidP="00D76C6E">
      <w:pPr>
        <w:spacing w:line="480" w:lineRule="auto"/>
        <w:ind w:firstLine="720"/>
      </w:pPr>
      <w:r>
        <w:t>David Hausman</w:t>
      </w:r>
      <w:r w:rsidR="004F6277">
        <w:t>’</w:t>
      </w:r>
      <w:r>
        <w:t xml:space="preserve">s </w:t>
      </w:r>
      <w:r w:rsidR="004F6277">
        <w:t xml:space="preserve">later </w:t>
      </w:r>
      <w:r>
        <w:t xml:space="preserve">study of the failure of immigration appeals adds a systemic dimension to the </w:t>
      </w:r>
      <w:r w:rsidRPr="00BF090B">
        <w:rPr>
          <w:i/>
          <w:iCs/>
        </w:rPr>
        <w:t>Refugee Roulette</w:t>
      </w:r>
      <w:r>
        <w:t xml:space="preserve"> literature. Hausman documents that the Board of Immigration Appeals does not correct for inter-judge disparities because the selection of cases that reach the BIA is itself endogenous to the disparities it is supposed to address: harsher judges are associated with lower representation rates, and unrepresented respondents are less likely to appeal, so the cases decided by the harshest judges are precisely the cases least likely to receive appellate review.</w:t>
      </w:r>
      <w:r>
        <w:rPr>
          <w:rStyle w:val="FootnoteReference"/>
          <w:rFonts w:eastAsiaTheme="majorEastAsia"/>
        </w:rPr>
        <w:footnoteReference w:id="36"/>
      </w:r>
      <w:r>
        <w:t xml:space="preserve"> This self-reinforcing dynamic</w:t>
      </w:r>
      <w:r w:rsidR="004F6277">
        <w:t xml:space="preserve"> whereby</w:t>
      </w:r>
      <w:r>
        <w:t xml:space="preserve"> the mechanism designed to correct for </w:t>
      </w:r>
      <w:r>
        <w:lastRenderedPageBreak/>
        <w:t>adjudicator variance instead reproduces i</w:t>
      </w:r>
      <w:r w:rsidR="004F6277">
        <w:t xml:space="preserve">t </w:t>
      </w:r>
      <w:r>
        <w:t xml:space="preserve">suggests that the persistence of the </w:t>
      </w:r>
      <w:r w:rsidRPr="00BF090B">
        <w:rPr>
          <w:i/>
          <w:iCs/>
        </w:rPr>
        <w:t>Refugee Roulette</w:t>
      </w:r>
      <w:r>
        <w:t xml:space="preserve"> disparities over two decades is not accidental. It is a structural consequence of the way the immigration adjudicatory system combines judicial discretion, unequal access to counsel, and a deferential standard of appellate review. Hausman's recommended reforms—including random sampling of cases by the BIA, a less deferential review standard, and simplified application procedures—have not been adopted, and the structural conditions he identifies remain in place.</w:t>
      </w:r>
    </w:p>
    <w:p w14:paraId="2B910B5B" w14:textId="69DB3094" w:rsidR="00D76C6E" w:rsidRDefault="00D76C6E" w:rsidP="00D76C6E">
      <w:pPr>
        <w:spacing w:line="480" w:lineRule="auto"/>
        <w:ind w:firstLine="720"/>
      </w:pPr>
      <w:r>
        <w:t>A complementary strand of the literature examines how administrative capacity constraints</w:t>
      </w:r>
      <w:r w:rsidR="004F6277">
        <w:t xml:space="preserve"> as opposed to </w:t>
      </w:r>
      <w:r>
        <w:t>adjudicator ideology alon</w:t>
      </w:r>
      <w:r w:rsidR="004F6277">
        <w:t xml:space="preserve">e </w:t>
      </w:r>
      <w:r>
        <w:t>shape immigration court outcomes. Nicholas Bednar</w:t>
      </w:r>
      <w:r w:rsidR="004F6277">
        <w:t>’</w:t>
      </w:r>
      <w:r>
        <w:t>s empirical study exploits variation in law clerk assignments across immigration judges to identify the causal effect of administrative support on adjudicatory outcomes, finding that access to one additional law clerk decreases removal probability by approximately 5.2</w:t>
      </w:r>
      <w:r w:rsidR="004F6277">
        <w:t xml:space="preserve">% </w:t>
      </w:r>
      <w:r>
        <w:t>and increases asylum grant probability by approximately 4.4</w:t>
      </w:r>
      <w:r w:rsidR="004F6277">
        <w:t>%</w:t>
      </w:r>
      <w:r>
        <w:t>.</w:t>
      </w:r>
      <w:r>
        <w:rPr>
          <w:rStyle w:val="FootnoteReference"/>
          <w:rFonts w:eastAsiaTheme="majorEastAsia"/>
        </w:rPr>
        <w:footnoteReference w:id="37"/>
      </w:r>
      <w:r>
        <w:t xml:space="preserve"> These effect sizes are comparable in magnitude to the estimated effect of judge ideology documented in the </w:t>
      </w:r>
      <w:r w:rsidR="008F5618" w:rsidRPr="008F5618">
        <w:rPr>
          <w:i/>
          <w:iCs/>
        </w:rPr>
        <w:t>R</w:t>
      </w:r>
      <w:r w:rsidRPr="008F5618">
        <w:rPr>
          <w:i/>
          <w:iCs/>
        </w:rPr>
        <w:t xml:space="preserve">efugee </w:t>
      </w:r>
      <w:r w:rsidR="008F5618" w:rsidRPr="008F5618">
        <w:rPr>
          <w:i/>
          <w:iCs/>
        </w:rPr>
        <w:t>R</w:t>
      </w:r>
      <w:r w:rsidRPr="008F5618">
        <w:rPr>
          <w:i/>
          <w:iCs/>
        </w:rPr>
        <w:t>oulette</w:t>
      </w:r>
      <w:r>
        <w:t xml:space="preserve"> literature, suggesting that resource constraints shape outcomes as powerfully as adjudicator preferences and that administrative capacity reform represents an underutilized lever for improving adjudicatory consistency. The representational inequalities that amplify these disparities are the subject of the next strand of literature.</w:t>
      </w:r>
    </w:p>
    <w:p w14:paraId="766D5B60" w14:textId="77777777" w:rsidR="00D76C6E" w:rsidRDefault="00D76C6E" w:rsidP="00D76C6E">
      <w:pPr>
        <w:spacing w:before="360" w:after="120" w:line="480" w:lineRule="auto"/>
      </w:pPr>
      <w:r>
        <w:rPr>
          <w:b/>
          <w:bCs/>
          <w:i/>
          <w:iCs/>
        </w:rPr>
        <w:t>C. Representation, Access to Counsel, and Procedural Fairness</w:t>
      </w:r>
    </w:p>
    <w:p w14:paraId="5C57705A" w14:textId="524DDD2F" w:rsidR="00D76C6E" w:rsidRDefault="00D76C6E" w:rsidP="00D76C6E">
      <w:pPr>
        <w:spacing w:line="480" w:lineRule="auto"/>
        <w:ind w:firstLine="720"/>
      </w:pPr>
      <w:r>
        <w:lastRenderedPageBreak/>
        <w:t xml:space="preserve">The disparities documented in the judicial variance literature </w:t>
      </w:r>
      <w:r w:rsidR="008F5618">
        <w:t xml:space="preserve">identified above </w:t>
      </w:r>
      <w:r>
        <w:t xml:space="preserve">do not occur in a vacuum: they interact with structural inequalities in access to legal representation that amplify and entrench unequal outcomes. The foundational study by </w:t>
      </w:r>
      <w:r w:rsidR="008F5618">
        <w:t xml:space="preserve">Ingrid </w:t>
      </w:r>
      <w:proofErr w:type="spellStart"/>
      <w:r>
        <w:t>Eagly</w:t>
      </w:r>
      <w:proofErr w:type="spellEnd"/>
      <w:r>
        <w:t xml:space="preserve"> and </w:t>
      </w:r>
      <w:r w:rsidR="008F5618">
        <w:t xml:space="preserve">Steven </w:t>
      </w:r>
      <w:r>
        <w:t xml:space="preserve">Shafer analyzed over 1.2 million removal cases filed between 2007 and 2012 and found that represented </w:t>
      </w:r>
      <w:r w:rsidR="008F5618">
        <w:t>non-citizens</w:t>
      </w:r>
      <w:r>
        <w:t xml:space="preserve"> were approximately five times more likely to avoid removal than unrepresented respondents.</w:t>
      </w:r>
      <w:r>
        <w:rPr>
          <w:rStyle w:val="FootnoteReference"/>
          <w:rFonts w:eastAsiaTheme="majorEastAsia"/>
        </w:rPr>
        <w:footnoteReference w:id="38"/>
      </w:r>
      <w:r>
        <w:t xml:space="preserve"> Equally striking was the geographic and institutional distribution of representation: detained respondents had representation rates below</w:t>
      </w:r>
      <w:r w:rsidR="008F5618">
        <w:t xml:space="preserve"> 15%</w:t>
      </w:r>
      <w:r>
        <w:t xml:space="preserve">, while non-detained respondents had rates exceeding </w:t>
      </w:r>
      <w:r w:rsidR="008F5618">
        <w:t>60%</w:t>
      </w:r>
      <w:r>
        <w:t>.</w:t>
      </w:r>
      <w:r>
        <w:rPr>
          <w:rStyle w:val="FootnoteReference"/>
          <w:rFonts w:eastAsiaTheme="majorEastAsia"/>
        </w:rPr>
        <w:footnoteReference w:id="39"/>
      </w:r>
      <w:r>
        <w:t xml:space="preserve"> These findings have been widely replicated and have anchored ongoing debates about whether due process requires provision of appointed counsel in removal proceedings.</w:t>
      </w:r>
    </w:p>
    <w:p w14:paraId="53C81617" w14:textId="5A1DA2A9" w:rsidR="00453C27" w:rsidRDefault="00453C27" w:rsidP="00BA4EEB">
      <w:pPr>
        <w:spacing w:line="480" w:lineRule="auto"/>
        <w:ind w:firstLine="720"/>
      </w:pPr>
      <w:proofErr w:type="spellStart"/>
      <w:r>
        <w:t>Eagly</w:t>
      </w:r>
      <w:proofErr w:type="spellEnd"/>
      <w:r>
        <w:t xml:space="preserve">, Shafer, and Renee </w:t>
      </w:r>
      <w:proofErr w:type="spellStart"/>
      <w:r>
        <w:t>Moultan</w:t>
      </w:r>
      <w:proofErr w:type="spellEnd"/>
      <w:r>
        <w:t xml:space="preserve"> later revisited their earlier study and analyzed nearly eight million </w:t>
      </w:r>
      <w:r w:rsidR="006B733F">
        <w:t>removal</w:t>
      </w:r>
      <w:r>
        <w:t xml:space="preserve"> cases from 2015 through 2024. The authors find that representation rates increased substantially—from 37% in the initial period to just over 52% in subsequent years—but that this aggregate gain conceals significant deterioration in the distribution and quality of representation: non-detained immigration court representation rates actually declined relative to the initial study, and the gap between well-resourced and under-resourced applicants widened as pro bono capacity was stretched to its limits.</w:t>
      </w:r>
      <w:r>
        <w:rPr>
          <w:rStyle w:val="FootnoteReference"/>
          <w:rFonts w:eastAsiaTheme="majorEastAsia"/>
        </w:rPr>
        <w:footnoteReference w:id="40"/>
      </w:r>
      <w:r>
        <w:t xml:space="preserve"> </w:t>
      </w:r>
      <w:proofErr w:type="spellStart"/>
      <w:r>
        <w:t>Eagly</w:t>
      </w:r>
      <w:proofErr w:type="spellEnd"/>
      <w:r>
        <w:t xml:space="preserve"> and colleagues identify a looming representation crisis driven by federal funding cuts for representation programs, pressure on law firms to decline immigration pro bono work, and the dramatic expansion of the removal docket </w:t>
      </w:r>
      <w:r>
        <w:lastRenderedPageBreak/>
        <w:t>under recent enforcement priorities. Their analysis provides critical context for understanding the dual due process concerns raised by this Article: noncitizens face both an increased probability of having no counsel at all and, conditional on having counsel, a representation benefit that is systematically smaller in the most enforcement-oriented adjudicatory environments.</w:t>
      </w:r>
    </w:p>
    <w:p w14:paraId="5E6D0BFF" w14:textId="2914CB7F" w:rsidR="006B733F" w:rsidRDefault="006B733F" w:rsidP="006B733F">
      <w:pPr>
        <w:spacing w:line="480" w:lineRule="auto"/>
        <w:ind w:firstLine="720"/>
      </w:pPr>
      <w:proofErr w:type="spellStart"/>
      <w:r>
        <w:t>Eagly</w:t>
      </w:r>
      <w:proofErr w:type="spellEnd"/>
      <w:r>
        <w:t xml:space="preserve"> and Shafer </w:t>
      </w:r>
      <w:proofErr w:type="gramStart"/>
      <w:r>
        <w:t>demonstrate  that</w:t>
      </w:r>
      <w:proofErr w:type="gramEnd"/>
      <w:r>
        <w:t xml:space="preserve"> the representation gap is substantially a product of institutional design choices. They document the emergence and geographic proliferation of detained immigration courts which are courts concentrated outside major metropolitan areas, often housed in detention processing centers, county jails, and facilities not traditionally associated with adjudication.</w:t>
      </w:r>
      <w:r>
        <w:rPr>
          <w:rStyle w:val="FootnoteReference"/>
          <w:rFonts w:eastAsiaTheme="majorEastAsia"/>
        </w:rPr>
        <w:footnoteReference w:id="41"/>
      </w:r>
      <w:r>
        <w:t xml:space="preserve"> The authors show that the physical and geographic characteristics of detained courts suppress representation by limiting attorney access, reducing pro bono availability, and imposing substantial logistical burdens on respondents and their families.</w:t>
      </w:r>
      <w:r>
        <w:rPr>
          <w:rStyle w:val="FootnoteReference"/>
          <w:rFonts w:eastAsiaTheme="majorEastAsia"/>
        </w:rPr>
        <w:footnoteReference w:id="42"/>
      </w:r>
      <w:r>
        <w:t xml:space="preserve"> Together, these findings establish that the representation disparities </w:t>
      </w:r>
      <w:proofErr w:type="spellStart"/>
      <w:r>
        <w:t>Eagly</w:t>
      </w:r>
      <w:proofErr w:type="spellEnd"/>
      <w:r>
        <w:t xml:space="preserve"> and Shafer identified in the foundational study are not incidental features of an otherwise neutral system; they are consequences of institutional design choices that are themselves amenable to political influence.</w:t>
      </w:r>
    </w:p>
    <w:p w14:paraId="44BC83C6" w14:textId="747AC31B" w:rsidR="006B733F" w:rsidRDefault="006B733F" w:rsidP="006B733F">
      <w:pPr>
        <w:spacing w:line="480" w:lineRule="auto"/>
        <w:ind w:firstLine="720"/>
      </w:pPr>
      <w:r>
        <w:t xml:space="preserve">The treatment of asylum-seeking families in immigration detention has received focused empirical attention in a study by </w:t>
      </w:r>
      <w:proofErr w:type="spellStart"/>
      <w:r>
        <w:t>Eagly</w:t>
      </w:r>
      <w:proofErr w:type="spellEnd"/>
      <w:r>
        <w:t xml:space="preserve">, Shafer, and Whalley, which provides the first systematic analysis of asylum adjudication for detained families. Their findings reveal acute structural disadvantages: only half of detained family members found counsel; fewer than 2% spoke English; and 93% had their hearings conducted by video conference rather than in-person—conditions structurally identical to those that </w:t>
      </w:r>
      <w:proofErr w:type="spellStart"/>
      <w:r>
        <w:t>Eagly</w:t>
      </w:r>
      <w:proofErr w:type="spellEnd"/>
      <w:r>
        <w:t xml:space="preserve"> and Shafer's broader empirical work </w:t>
      </w:r>
      <w:r>
        <w:lastRenderedPageBreak/>
        <w:t>identifies as associated with inferior outcomes.</w:t>
      </w:r>
      <w:r>
        <w:rPr>
          <w:rStyle w:val="FootnoteReference"/>
          <w:rFonts w:eastAsiaTheme="majorEastAsia"/>
        </w:rPr>
        <w:footnoteReference w:id="43"/>
      </w:r>
      <w:r>
        <w:t xml:space="preserve"> The family detention context thus represents an extreme version of the structural disadvantages that pervade detained immigration courts more generally, with multiple barriers—geographic remoteness, linguistic isolation, absence of counsel, video adjudication—compounding to produce outcome disparities that bear no relationship to the legal merits of individual asylum claims.</w:t>
      </w:r>
    </w:p>
    <w:p w14:paraId="7E4E5F17" w14:textId="333B7FE1" w:rsidR="00D76C6E" w:rsidRDefault="00D76C6E" w:rsidP="00D76C6E">
      <w:pPr>
        <w:spacing w:line="480" w:lineRule="auto"/>
        <w:ind w:firstLine="720"/>
      </w:pPr>
      <w:r>
        <w:t>Emily Ryo</w:t>
      </w:r>
      <w:r w:rsidR="008F5618">
        <w:t>’s</w:t>
      </w:r>
      <w:r>
        <w:t xml:space="preserve"> scholarship provides a complementary perspective, examining immigration adjudication from the standpoint of procedural justice and legitimacy theory. Ryo</w:t>
      </w:r>
      <w:r w:rsidR="008F5618">
        <w:t>’</w:t>
      </w:r>
      <w:r>
        <w:t>s study of immigration bond hearings across multiple courts found that judge characteristics and case characteristics together predicted detention outcomes, but that substantial unexplained variance at the judge level persisted.</w:t>
      </w:r>
      <w:r>
        <w:rPr>
          <w:rStyle w:val="FootnoteReference"/>
          <w:rFonts w:eastAsiaTheme="majorEastAsia"/>
        </w:rPr>
        <w:footnoteReference w:id="44"/>
      </w:r>
      <w:r>
        <w:t xml:space="preserve"> Her subsequent work on procedural legitimacy argued that noncitizens</w:t>
      </w:r>
      <w:r w:rsidR="008F5618">
        <w:t>’</w:t>
      </w:r>
      <w:r>
        <w:t xml:space="preserve"> willingness to engage with the legal system</w:t>
      </w:r>
      <w:r w:rsidR="008F5618">
        <w:t xml:space="preserve"> </w:t>
      </w:r>
      <w:r>
        <w:t>and to comply with its directives</w:t>
      </w:r>
      <w:r w:rsidR="008F5618">
        <w:t xml:space="preserve"> </w:t>
      </w:r>
      <w:r>
        <w:t>is shaped by whether they perceive the process as fair and respectful, not simply by whether they win or lose.</w:t>
      </w:r>
      <w:r>
        <w:rPr>
          <w:rStyle w:val="FootnoteReference"/>
          <w:rFonts w:eastAsiaTheme="majorEastAsia"/>
        </w:rPr>
        <w:footnoteReference w:id="45"/>
      </w:r>
      <w:r>
        <w:t xml:space="preserve"> This normative dimension of procedural legitimacy informs the implications developed in Part VII below.</w:t>
      </w:r>
    </w:p>
    <w:p w14:paraId="1FA2E154" w14:textId="3171AC81" w:rsidR="00D76C6E" w:rsidRDefault="008F5618" w:rsidP="00D76C6E">
      <w:pPr>
        <w:spacing w:line="480" w:lineRule="auto"/>
        <w:ind w:firstLine="720"/>
      </w:pPr>
      <w:r>
        <w:t xml:space="preserve">Emily </w:t>
      </w:r>
      <w:r w:rsidR="00D76C6E">
        <w:t xml:space="preserve">Ryo and </w:t>
      </w:r>
      <w:r>
        <w:t xml:space="preserve">Ian </w:t>
      </w:r>
      <w:r w:rsidR="00D76C6E">
        <w:t>Peacock</w:t>
      </w:r>
      <w:r w:rsidR="00453C27">
        <w:t>’</w:t>
      </w:r>
      <w:r w:rsidR="00D76C6E">
        <w:t xml:space="preserve">s analysis of over 1.9 million removal proceedings extends the representation literature by documenting that the benefit of legal counsel is not uniform across cases and adjudicators. Their study finds that the positive effect of legal representation on </w:t>
      </w:r>
      <w:r w:rsidR="00D76C6E">
        <w:lastRenderedPageBreak/>
        <w:t>outcomes is substantially larger for cases decided by female judges, more experienced judges, judges in courts subject to Ninth Circuit supervision, and during Democratic administrations.</w:t>
      </w:r>
      <w:r w:rsidR="00D76C6E">
        <w:rPr>
          <w:rStyle w:val="FootnoteReference"/>
          <w:rFonts w:eastAsiaTheme="majorEastAsia"/>
        </w:rPr>
        <w:footnoteReference w:id="46"/>
      </w:r>
      <w:r w:rsidR="00D76C6E">
        <w:t xml:space="preserve"> This contingency finding has significant doctrinal implications: even if representation rates were equalized across the system, the gains in outcomes would be unevenly distributed in ways that track political and institutional characteristics rather than the legal merits of individual claims. The representation benefit, in other words, is itself a function of the adjudicatory environment</w:t>
      </w:r>
      <w:r w:rsidR="00BA4EEB">
        <w:t xml:space="preserve">, </w:t>
      </w:r>
      <w:r w:rsidR="00D76C6E">
        <w:t>adding a second layer of arbitrariness to an already variable system.</w:t>
      </w:r>
    </w:p>
    <w:p w14:paraId="2E821E8B" w14:textId="6B37F62F" w:rsidR="00D76C6E" w:rsidRDefault="00D76C6E" w:rsidP="00D76C6E">
      <w:pPr>
        <w:spacing w:line="480" w:lineRule="auto"/>
        <w:ind w:firstLine="720"/>
      </w:pPr>
      <w:proofErr w:type="spellStart"/>
      <w:r>
        <w:t>Eagly</w:t>
      </w:r>
      <w:proofErr w:type="spellEnd"/>
      <w:r>
        <w:t xml:space="preserve"> and Shafer</w:t>
      </w:r>
      <w:r w:rsidR="00BA4EEB">
        <w:t>’</w:t>
      </w:r>
      <w:r>
        <w:t xml:space="preserve">s empirical study of </w:t>
      </w:r>
      <w:r w:rsidRPr="00BA4EEB">
        <w:rPr>
          <w:i/>
          <w:iCs/>
        </w:rPr>
        <w:t>in absentia</w:t>
      </w:r>
      <w:r>
        <w:t xml:space="preserve"> removal provides an important corrective to prevailing rhetoric about immigrant non-compliance with immigration court proceedings. Their analysis of EOIR data from 2008 to 2018 found that 88% of all immigrants with completed or pending removal cases attended all of their court hearings</w:t>
      </w:r>
      <w:r w:rsidR="00BA4EEB">
        <w:t xml:space="preserve">; this </w:t>
      </w:r>
      <w:r>
        <w:t xml:space="preserve">figure </w:t>
      </w:r>
      <w:r w:rsidR="00BA4EEB">
        <w:t xml:space="preserve">is </w:t>
      </w:r>
      <w:r>
        <w:t>directly at odds with claims that immigrants routinely fail to appear.</w:t>
      </w:r>
      <w:r>
        <w:rPr>
          <w:rStyle w:val="FootnoteReference"/>
          <w:rFonts w:eastAsiaTheme="majorEastAsia"/>
        </w:rPr>
        <w:footnoteReference w:id="47"/>
      </w:r>
      <w:r>
        <w:t xml:space="preserve"> The authors find that three factors most strongly predict </w:t>
      </w:r>
      <w:r w:rsidRPr="00BA4EEB">
        <w:rPr>
          <w:i/>
          <w:iCs/>
        </w:rPr>
        <w:t>in absentia</w:t>
      </w:r>
      <w:r>
        <w:t xml:space="preserve"> removal: the absence of legal representation, the failure to file an application for relief, and court jurisdiction.</w:t>
      </w:r>
      <w:r w:rsidR="00E8612E">
        <w:rPr>
          <w:rStyle w:val="FootnoteReference"/>
        </w:rPr>
        <w:footnoteReference w:id="48"/>
      </w:r>
      <w:r>
        <w:t xml:space="preserve"> These findings suggest that the </w:t>
      </w:r>
      <w:r w:rsidRPr="00BA4EEB">
        <w:rPr>
          <w:i/>
          <w:iCs/>
        </w:rPr>
        <w:t>in absentia</w:t>
      </w:r>
      <w:r>
        <w:t xml:space="preserve"> removal rate is more a function of systemic failures in notice, translation, and access to counsel than of willful non-compliance by noncitizens.</w:t>
      </w:r>
    </w:p>
    <w:p w14:paraId="6C347C04" w14:textId="77777777" w:rsidR="00D76C6E" w:rsidRDefault="00D76C6E" w:rsidP="00D76C6E">
      <w:pPr>
        <w:spacing w:before="360" w:after="120" w:line="480" w:lineRule="auto"/>
      </w:pPr>
      <w:r>
        <w:rPr>
          <w:b/>
          <w:bCs/>
          <w:i/>
          <w:iCs/>
        </w:rPr>
        <w:lastRenderedPageBreak/>
        <w:t>D. Detention, Administrative Capacity, and Local Context</w:t>
      </w:r>
    </w:p>
    <w:p w14:paraId="34869506" w14:textId="77777777" w:rsidR="00D76C6E" w:rsidRDefault="00D76C6E" w:rsidP="00D76C6E">
      <w:pPr>
        <w:spacing w:line="480" w:lineRule="auto"/>
        <w:ind w:firstLine="720"/>
      </w:pPr>
      <w:r>
        <w:t>The preceding strands of scholarship share a focus on individual-level actors: the judge who decides the case and the respondent who contests removal. A complementary body of research examines how the institutional and political environment in which adjudication occurs—detention conditions, court geography, and the local political culture surrounding individual courts—independently drives outcome variation. These systemic factors reinforce and interact with the individual-level determinants documented above, and they are themselves products of political choices about how to structure and resource the immigration court system.</w:t>
      </w:r>
    </w:p>
    <w:p w14:paraId="2A0FCC7D" w14:textId="7C66B812" w:rsidR="00D76C6E" w:rsidRDefault="00D76C6E" w:rsidP="00D76C6E">
      <w:pPr>
        <w:spacing w:line="480" w:lineRule="auto"/>
        <w:ind w:firstLine="720"/>
      </w:pPr>
      <w:r>
        <w:t>Ryo and Peacock</w:t>
      </w:r>
      <w:r w:rsidR="00B62D18">
        <w:t>’</w:t>
      </w:r>
      <w:r>
        <w:t>s national study of intergroup dynamics in removal proceedings documents how the detention context structures the information environment available to adjudicators and mediates the relationship between judge characteristics and case outcomes. Their analysis of over 1.9 million removal proceedings demonstrates that judge-level characteristics interact with case-level detention status to produce systematic outcome disparities that cannot be explained by case merits alone, suggesting that institutional features of the adjudicatory setting—including whether and where respondents are detained—function as independent determinants of removal outcomes.</w:t>
      </w:r>
      <w:r>
        <w:rPr>
          <w:rStyle w:val="FootnoteReference"/>
          <w:rFonts w:eastAsiaTheme="majorEastAsia"/>
        </w:rPr>
        <w:footnoteReference w:id="49"/>
      </w:r>
    </w:p>
    <w:p w14:paraId="3B24B1ED" w14:textId="39ACC143" w:rsidR="00D76C6E" w:rsidRDefault="00D76C6E" w:rsidP="00D76C6E">
      <w:pPr>
        <w:spacing w:line="480" w:lineRule="auto"/>
        <w:ind w:firstLine="720"/>
      </w:pPr>
      <w:r>
        <w:t>Research in public administration has further documented how local political environment shapes immigration court outcomes. Chand, Schreckhise, and Bowers</w:t>
      </w:r>
      <w:r w:rsidR="00B62D18">
        <w:t>’</w:t>
      </w:r>
      <w:r>
        <w:t xml:space="preserve">s analysis of over 107,000 asylum cases documents striking geographic variation in asylum grant rates—ranging from under </w:t>
      </w:r>
      <w:r w:rsidR="005274D4">
        <w:t>1%</w:t>
      </w:r>
      <w:r>
        <w:t xml:space="preserve"> in El Paso to </w:t>
      </w:r>
      <w:r w:rsidR="005274D4">
        <w:t>79%</w:t>
      </w:r>
      <w:r>
        <w:t xml:space="preserve"> percent in New York—and attributes this variation in </w:t>
      </w:r>
      <w:r>
        <w:lastRenderedPageBreak/>
        <w:t>part to the local political context in which immigration courts operate, with courts in more politically conservative environments producing systematically lower grant rates even after controlling for case characteristics.</w:t>
      </w:r>
      <w:r>
        <w:rPr>
          <w:rStyle w:val="FootnoteReference"/>
          <w:rFonts w:eastAsiaTheme="majorEastAsia"/>
        </w:rPr>
        <w:footnoteReference w:id="50"/>
      </w:r>
      <w:r>
        <w:t xml:space="preserve"> Schreckhise and Chand</w:t>
      </w:r>
      <w:r w:rsidR="005274D4">
        <w:t>’</w:t>
      </w:r>
      <w:r>
        <w:t>s subsequent work on local implementation of federal immigration enforcement policy extends this analysis to show that local political culture shapes ICE enforcement patterns in ways that structure the immigration court docket, creating a second-order source of variation that operates between the individual-case and national-policy levels.</w:t>
      </w:r>
      <w:r>
        <w:rPr>
          <w:rStyle w:val="FootnoteReference"/>
          <w:rFonts w:eastAsiaTheme="majorEastAsia"/>
        </w:rPr>
        <w:footnoteReference w:id="51"/>
      </w:r>
      <w:r>
        <w:t xml:space="preserve"> Taken together, these studies suggest that the institutional and political environment of individual courts is an important moderator of the relationship between federal immigration policy and adjudicatory outcomes</w:t>
      </w:r>
      <w:r w:rsidR="00B50AEF">
        <w:t xml:space="preserve">, </w:t>
      </w:r>
      <w:r>
        <w:t>and that variation in this environment is itself a product of political choices about resource allocation, enforcement priorities, and administrative structure.</w:t>
      </w:r>
    </w:p>
    <w:p w14:paraId="09CA94C3" w14:textId="77777777" w:rsidR="00D76C6E" w:rsidRDefault="00D76C6E" w:rsidP="00D76C6E">
      <w:pPr>
        <w:spacing w:before="360" w:after="120" w:line="480" w:lineRule="auto"/>
      </w:pPr>
      <w:r>
        <w:rPr>
          <w:b/>
          <w:bCs/>
          <w:i/>
          <w:iCs/>
        </w:rPr>
        <w:t>E. Political Appointment Cohorts and Presidential Influence</w:t>
      </w:r>
    </w:p>
    <w:p w14:paraId="3BB9B124" w14:textId="427613F7" w:rsidR="00D76C6E" w:rsidRDefault="00D76C6E" w:rsidP="00D76C6E">
      <w:pPr>
        <w:spacing w:line="480" w:lineRule="auto"/>
        <w:ind w:firstLine="720"/>
      </w:pPr>
      <w:r>
        <w:t>The formal study of political appointment effects in immigration adjudication begins with the book-length treatment by Miller, Keith, and Holmes, which provides the canonical political-economy framework for analyzing EOIR outcomes at scale.</w:t>
      </w:r>
      <w:r>
        <w:rPr>
          <w:rStyle w:val="FootnoteReference"/>
          <w:rFonts w:eastAsiaTheme="majorEastAsia"/>
        </w:rPr>
        <w:footnoteReference w:id="52"/>
      </w:r>
      <w:r>
        <w:t xml:space="preserve"> Analyzing IJ decisions from 1990 to 2010, their study documented that IJs appointed under Republican attorneys general were </w:t>
      </w:r>
      <w:r>
        <w:lastRenderedPageBreak/>
        <w:t>more likely to deny asylum than those appointed under Democratic attorneys general, a pattern that persisted after controlling for case characteristics and court location.</w:t>
      </w:r>
      <w:r>
        <w:rPr>
          <w:rStyle w:val="FootnoteReference"/>
          <w:rFonts w:eastAsiaTheme="majorEastAsia"/>
        </w:rPr>
        <w:footnoteReference w:id="53"/>
      </w:r>
      <w:r>
        <w:t xml:space="preserve"> Their analysis is notable for the breadth of its empirical reach, the richness of its political-institutional controls, and the care it takes to situate immigration court adjudication within the larger literature on bureaucratic discretion and political control. Miller, Keith, and Holmes show that the politics of immigration adjudication do not operate solely through formal rulemaking or even through the AG</w:t>
      </w:r>
      <w:r w:rsidR="00053AFE">
        <w:t>’s</w:t>
      </w:r>
      <w:r>
        <w:t xml:space="preserve"> precedential decision-making authority; they also operate through the selection, socialization, and organizational incentives of the immigration judge corps itself.</w:t>
      </w:r>
    </w:p>
    <w:p w14:paraId="30415645" w14:textId="3C8C5F66" w:rsidR="00D76C6E" w:rsidRDefault="00D76C6E" w:rsidP="00D76C6E">
      <w:pPr>
        <w:spacing w:line="480" w:lineRule="auto"/>
        <w:ind w:firstLine="720"/>
      </w:pPr>
      <w:r>
        <w:t>Blasingame, Boyd, Carlos, and Ornstein</w:t>
      </w:r>
      <w:r w:rsidR="00F95C5A">
        <w:t xml:space="preserve"> </w:t>
      </w:r>
      <w:r>
        <w:t>provide an important analysis of the Trump administration</w:t>
      </w:r>
      <w:r w:rsidR="00F95C5A">
        <w:t>’</w:t>
      </w:r>
      <w:r>
        <w:t>s case completion quota policy and its effects on immigration adjudication.</w:t>
      </w:r>
      <w:r>
        <w:rPr>
          <w:rStyle w:val="FootnoteReference"/>
          <w:rFonts w:eastAsiaTheme="majorEastAsia"/>
        </w:rPr>
        <w:footnoteReference w:id="54"/>
      </w:r>
      <w:r>
        <w:t xml:space="preserve"> Their study demonstrates that institutional interventions targeting the pace of adjudication had measurable consequences for removal outcomes, reinforcing the importance of examining cohort effects rather than treating all IJs as a homogeneous group.</w:t>
      </w:r>
    </w:p>
    <w:p w14:paraId="55976769" w14:textId="3AB7E0E3" w:rsidR="00D76C6E" w:rsidRDefault="00D76C6E" w:rsidP="00D76C6E">
      <w:pPr>
        <w:spacing w:line="480" w:lineRule="auto"/>
        <w:ind w:firstLine="720"/>
      </w:pPr>
      <w:r>
        <w:t xml:space="preserve">A recent contribution by Ryo and Peacock examines whether exogenous shocks that heighten the salience of intergroup boundaries can alter immigration adjudication. Their analysis finds that Chinese nationals experienced significantly higher removal rates during the early COVID-19 pandemic period, consistent with event stigma theory, and that East and Southeast Asian respondents more broadly also experienced elevated removal rates through an associative </w:t>
      </w:r>
      <w:r>
        <w:lastRenderedPageBreak/>
        <w:t>stigma mechanism.</w:t>
      </w:r>
      <w:r>
        <w:rPr>
          <w:rStyle w:val="FootnoteReference"/>
          <w:rFonts w:eastAsiaTheme="majorEastAsia"/>
        </w:rPr>
        <w:footnoteReference w:id="55"/>
      </w:r>
      <w:r>
        <w:t xml:space="preserve"> These findings introduce a dimension of outcome variance that prior scholarship had not systematically examined: immigration adjudication may be shaped not only by structural political factor</w:t>
      </w:r>
      <w:r w:rsidR="00F95C5A">
        <w:t xml:space="preserve">s such as </w:t>
      </w:r>
      <w:r>
        <w:t>appointments, enforcement priorities, institutional desig</w:t>
      </w:r>
      <w:r w:rsidR="00F95C5A">
        <w:t xml:space="preserve">n </w:t>
      </w:r>
      <w:r>
        <w:t>but also by the social salience of intergroup boundaries that immigration judges observe in the broader society. The convergence of political and social influences on adjudicative outcomes reinforces the case for structural reform that insulates decision-makers from both executive policy signals and ambient social biases.</w:t>
      </w:r>
    </w:p>
    <w:p w14:paraId="0A328BF8" w14:textId="073114D7" w:rsidR="00D76C6E" w:rsidRDefault="00D76C6E" w:rsidP="00053AFE">
      <w:pPr>
        <w:spacing w:line="480" w:lineRule="auto"/>
        <w:ind w:firstLine="720"/>
      </w:pPr>
      <w:r>
        <w:t>The appointment-cohort studies described above address one dimension of political influence: the lasting imprint of the president who selected the judge. A distinct but closely related body of scholarship asks a different question—whether the administration currently in power, independent of judicial composition, drives system-wide shifts in removal rates across all cohorts simultaneously. On this question, the evidence points toward strong administrative policy effects.</w:t>
      </w:r>
      <w:r>
        <w:rPr>
          <w:rStyle w:val="FootnoteReference"/>
          <w:rFonts w:eastAsiaTheme="majorEastAsia"/>
        </w:rPr>
        <w:footnoteReference w:id="56"/>
      </w:r>
      <w:r w:rsidR="00053AFE">
        <w:t xml:space="preserve"> Catherine Kim and Amy Semet </w:t>
      </w:r>
      <w:r>
        <w:t xml:space="preserve">examined the relationship between political appointment, judge characteristics, and removal outcomes in a large panel of EOIR cases. </w:t>
      </w:r>
      <w:r w:rsidR="00053AFE">
        <w:t xml:space="preserve">They </w:t>
      </w:r>
      <w:r>
        <w:t xml:space="preserve">argue that immigration court outcomes often reflect system-wide shifts associated with presidential administrations rather than persistent ideological differences among judges, with </w:t>
      </w:r>
      <w:r>
        <w:lastRenderedPageBreak/>
        <w:t>judges across the system adjusting their decisions in response to changes in enforcement priorities and administrative directives.</w:t>
      </w:r>
      <w:r>
        <w:rPr>
          <w:rStyle w:val="FootnoteReference"/>
          <w:rFonts w:eastAsiaTheme="majorEastAsia"/>
        </w:rPr>
        <w:footnoteReference w:id="57"/>
      </w:r>
    </w:p>
    <w:p w14:paraId="68C11134" w14:textId="77777777" w:rsidR="00D76C6E" w:rsidRDefault="00D76C6E" w:rsidP="00D76C6E">
      <w:pPr>
        <w:spacing w:before="360" w:after="120" w:line="480" w:lineRule="auto"/>
      </w:pPr>
      <w:r>
        <w:rPr>
          <w:b/>
          <w:bCs/>
          <w:i/>
          <w:iCs/>
        </w:rPr>
        <w:t>F. Trump-Era Institutional Reform</w:t>
      </w:r>
    </w:p>
    <w:p w14:paraId="51BDDF24" w14:textId="1C3D1394" w:rsidR="00D76C6E" w:rsidRDefault="00D76C6E" w:rsidP="00D76C6E">
      <w:pPr>
        <w:spacing w:line="480" w:lineRule="auto"/>
        <w:ind w:firstLine="720"/>
      </w:pPr>
      <w:r>
        <w:t>The Trump administration</w:t>
      </w:r>
      <w:r w:rsidR="008479B7">
        <w:t>’</w:t>
      </w:r>
      <w:r>
        <w:t>s approach to immigration adjudication pursued an unusually explicit strategy of institutional reform aimed at reshaping the immigration courts from the top down</w:t>
      </w:r>
      <w:r w:rsidR="008479B7">
        <w:t xml:space="preserve"> </w:t>
      </w:r>
      <w:r>
        <w:t>making the first Trump term the most consequential natural experiment in the broader literature on executive influence over administrative adjudication. These institutional changes included dramatic increases in the hiring of immigration judges, new performance metrics and case completion quotas, limits on administrative closure,</w:t>
      </w:r>
      <w:r>
        <w:rPr>
          <w:rStyle w:val="FootnoteReference"/>
          <w:rFonts w:eastAsiaTheme="majorEastAsia"/>
        </w:rPr>
        <w:footnoteReference w:id="58"/>
      </w:r>
      <w:r>
        <w:t xml:space="preserve"> and the issuance of numerous precedential decisions through the Attorney General's certification authority.</w:t>
      </w:r>
      <w:r>
        <w:rPr>
          <w:rStyle w:val="FootnoteReference"/>
          <w:rFonts w:eastAsiaTheme="majorEastAsia"/>
        </w:rPr>
        <w:footnoteReference w:id="59"/>
      </w:r>
    </w:p>
    <w:p w14:paraId="7C264D74" w14:textId="69DE5E27" w:rsidR="00D76C6E" w:rsidRDefault="00D76C6E" w:rsidP="00D76C6E">
      <w:pPr>
        <w:spacing w:line="480" w:lineRule="auto"/>
        <w:ind w:firstLine="720"/>
      </w:pPr>
      <w:r>
        <w:t>The scale and scope of these reforms create an opportunity to evaluate whether institutional interventions of this kind can fundamentally alter the behavior of administrative adjudicators.</w:t>
      </w:r>
      <w:r>
        <w:rPr>
          <w:rStyle w:val="FootnoteReference"/>
          <w:rFonts w:eastAsiaTheme="majorEastAsia"/>
        </w:rPr>
        <w:footnoteReference w:id="60"/>
      </w:r>
      <w:r>
        <w:t xml:space="preserve"> The appointment of large numbers of Trump-aligned judges and the introduction of new institutional constraints reshaped the external environment of immigration adjudication. </w:t>
      </w:r>
    </w:p>
    <w:p w14:paraId="7B055C6A" w14:textId="11AFB312" w:rsidR="00D76C6E" w:rsidRDefault="00D76C6E" w:rsidP="00D76C6E">
      <w:pPr>
        <w:spacing w:line="480" w:lineRule="auto"/>
        <w:ind w:firstLine="720"/>
      </w:pPr>
      <w:r>
        <w:lastRenderedPageBreak/>
        <w:t>More recently, Musalo, Law, Daher, Donato, and Meiners provide qualitative evidence of the decisional pathologies that follow from lack of structural independence, documenting on the basis of analysis of over 500 IJ decisions that immigration judges routinely applied highly restrictive interpretations of determinative legal elements to deny protection even where credibility was not in question</w:t>
      </w:r>
      <w:r w:rsidR="003A574F">
        <w:t xml:space="preserve">, </w:t>
      </w:r>
      <w:r>
        <w:t>with male judges and judges with enforcement backgrounds showing systematically higher denial rates.</w:t>
      </w:r>
      <w:r>
        <w:rPr>
          <w:rStyle w:val="FootnoteReference"/>
          <w:rFonts w:eastAsiaTheme="majorEastAsia"/>
        </w:rPr>
        <w:footnoteReference w:id="61"/>
      </w:r>
      <w:r>
        <w:t xml:space="preserve"> These structural reform proposals—which have been advanced for more than two decades without legislative action—acquire renewed empirical grounding in light of the behavioral evidence this Article presents. If IJs with civil service protections nonetheless shift their behavior systematically across presidential administrations, then the formal independence protections that exist are insufficient, and structural reform is necessary.</w:t>
      </w:r>
    </w:p>
    <w:p w14:paraId="17B73B62" w14:textId="77777777" w:rsidR="00D76C6E" w:rsidRDefault="00D76C6E" w:rsidP="00D76C6E">
      <w:pPr>
        <w:spacing w:line="480" w:lineRule="auto"/>
        <w:ind w:firstLine="720"/>
      </w:pPr>
      <w:r>
        <w:t xml:space="preserve">The second Trump administration has taken the institutional transformation of immigration courts further than its predecessor. Family's forthcoming analysis documents that approximately 140 immigration judges—nearly a quarter of the EOIR judiciary—were removed, furloughed, or otherwise forced out of their positions during the first months of the second Trump administration in 2025. These mass terminations represent a qualitatively different form of institutional intervention than case completion quotas or Attorney General certification: rather than shaping the incentives of existing adjudicators, they directly purge adjudicators whose </w:t>
      </w:r>
      <w:r>
        <w:lastRenderedPageBreak/>
        <w:t>outcomes are inconsistent with administration policy, raising fundamental questions about the constitutional limits of executive control over adjudication.</w:t>
      </w:r>
      <w:r>
        <w:rPr>
          <w:rStyle w:val="FootnoteReference"/>
          <w:rFonts w:eastAsiaTheme="majorEastAsia"/>
        </w:rPr>
        <w:footnoteReference w:id="62"/>
      </w:r>
    </w:p>
    <w:p w14:paraId="6B6DCF3A" w14:textId="721910F7" w:rsidR="00D76C6E" w:rsidRDefault="00D76C6E" w:rsidP="00D76C6E">
      <w:pPr>
        <w:spacing w:line="480" w:lineRule="auto"/>
        <w:ind w:firstLine="720"/>
      </w:pPr>
      <w:r>
        <w:t xml:space="preserve">Aaron Nielson, Christopher Walker, and </w:t>
      </w:r>
      <w:r w:rsidR="00E10487">
        <w:t>Melissa</w:t>
      </w:r>
      <w:r>
        <w:t xml:space="preserve"> Wasserman's analysis of immigration court capacity identifies a parallel structural crisis: the backlog—exceeding 3.6 million pending cases as of 2024—is both a symptom and a cause of institutional dysfunction. Systematic underfunding, inadequate law clerk support, and administrative capacity gaps have produced a system in which time pressure distorts adjudicatory quality and reinforces the structural conditions that generate outcome heterogeneity. Their analysis suggests that the resource crisis documented in the administrative capacity literature and the political control documented in this Article are mutually reinforcing: a resource-constrained court system is more vulnerable to political pressure, and political pressure that produces enforcement-oriented adjudicatory norms reduces demand for the administrative investments that would support higher-quality and more consistent adjudication.</w:t>
      </w:r>
      <w:r>
        <w:rPr>
          <w:rStyle w:val="FootnoteReference"/>
          <w:rFonts w:eastAsiaTheme="majorEastAsia"/>
        </w:rPr>
        <w:footnoteReference w:id="63"/>
      </w:r>
    </w:p>
    <w:p w14:paraId="6EB3DFD9" w14:textId="77777777" w:rsidR="00D76C6E" w:rsidRDefault="00D76C6E" w:rsidP="00D76C6E">
      <w:pPr>
        <w:spacing w:before="360" w:after="120" w:line="480" w:lineRule="auto"/>
      </w:pPr>
      <w:r>
        <w:rPr>
          <w:b/>
          <w:bCs/>
          <w:i/>
          <w:iCs/>
        </w:rPr>
        <w:t>G. The Remaining Empirical Gap</w:t>
      </w:r>
    </w:p>
    <w:p w14:paraId="549A0E5C" w14:textId="294660ED" w:rsidR="00D76C6E" w:rsidRDefault="00D76C6E" w:rsidP="003A574F">
      <w:pPr>
        <w:spacing w:line="480" w:lineRule="auto"/>
        <w:ind w:firstLine="720"/>
      </w:pPr>
      <w:r>
        <w:t>Taken together, the existing literature establishes three robust findings: immigration judge identity matters; representation and detention strongly shape outcomes; and EOIR</w:t>
      </w:r>
      <w:r w:rsidR="003A574F">
        <w:t>’</w:t>
      </w:r>
      <w:r>
        <w:t xml:space="preserve">s </w:t>
      </w:r>
      <w:r>
        <w:lastRenderedPageBreak/>
        <w:t>institutional design creates systematic pressures on adjudication. What remains underexplored is whether the large-scale hiring changes of the late 2010s produced measurable, cohort-specific behavioral shifts across presidential eras. Prior work documents heterogeneity but does not cleanly isolate the causal role of presidential appointment cohorts using a within-judge design that can separate the legacy of the appointing president from the responsiveness to the current administration. This Article addresses that gap.</w:t>
      </w:r>
    </w:p>
    <w:p w14:paraId="3525C4E0" w14:textId="77777777" w:rsidR="00D76C6E" w:rsidRDefault="00D76C6E" w:rsidP="00D76C6E">
      <w:pPr>
        <w:spacing w:before="480" w:after="240" w:line="480" w:lineRule="auto"/>
        <w:jc w:val="center"/>
      </w:pPr>
      <w:r>
        <w:rPr>
          <w:b/>
          <w:bCs/>
          <w:caps/>
        </w:rPr>
        <w:t>III. Theory and Hypotheses</w:t>
      </w:r>
    </w:p>
    <w:p w14:paraId="04FE9CF8" w14:textId="77777777" w:rsidR="00D76C6E" w:rsidRDefault="00D76C6E" w:rsidP="00D76C6E">
      <w:pPr>
        <w:spacing w:line="480" w:lineRule="auto"/>
        <w:ind w:firstLine="720"/>
      </w:pPr>
      <w:r>
        <w:t>Immigration courts operate at the intersection of adjudication and administration. Immigration judges formally preside over legal proceedings that determine whether noncitizens may remain in the United States, yet these proceedings occur within a bureaucratic structure controlled by the executive branch. This institutional setting raises a fundamental theoretical question: what mechanisms primarily drive variation in immigration adjudication outcomes?</w:t>
      </w:r>
    </w:p>
    <w:p w14:paraId="36D89688" w14:textId="77777777" w:rsidR="00D76C6E" w:rsidRDefault="00D76C6E" w:rsidP="00D76C6E">
      <w:pPr>
        <w:spacing w:line="480" w:lineRule="auto"/>
        <w:ind w:firstLine="720"/>
      </w:pPr>
      <w:r>
        <w:t>Three competing theoretical perspectives offer different answers. The first emphasizes the role of judicial ideology and appointments, the second highlights administrative policy regimes, and the third focuses on institutional restructuring efforts designed to reshape adjudication itself. Each framework generates distinct predictions about how immigration judges should behave across presidential administrations.</w:t>
      </w:r>
    </w:p>
    <w:p w14:paraId="2E13C157" w14:textId="77777777" w:rsidR="00D76C6E" w:rsidRDefault="00D76C6E" w:rsidP="00D76C6E">
      <w:pPr>
        <w:spacing w:before="360" w:after="120" w:line="480" w:lineRule="auto"/>
      </w:pPr>
      <w:r>
        <w:rPr>
          <w:b/>
          <w:bCs/>
          <w:i/>
          <w:iCs/>
        </w:rPr>
        <w:t>A. Judicial Ideology and the Appointment Effect</w:t>
      </w:r>
    </w:p>
    <w:p w14:paraId="46ECE997" w14:textId="21609D90" w:rsidR="00D76C6E" w:rsidRDefault="00D76C6E" w:rsidP="00D76C6E">
      <w:pPr>
        <w:spacing w:line="480" w:lineRule="auto"/>
        <w:ind w:firstLine="720"/>
      </w:pPr>
      <w:r>
        <w:t>One possibility is that immigration adjudication functions similarly to other judicial systems in which the ideological orientation of decision-makers shapes outcomes. A large body of research in judicial politics demonstrates that judges</w:t>
      </w:r>
      <w:r w:rsidR="003A574F">
        <w:t>’</w:t>
      </w:r>
      <w:r>
        <w:t xml:space="preserve"> ideological preferences can influence </w:t>
      </w:r>
      <w:r>
        <w:lastRenderedPageBreak/>
        <w:t>how they interpret statutes, evaluate evidence, and apply legal standards.</w:t>
      </w:r>
      <w:r>
        <w:rPr>
          <w:rStyle w:val="FootnoteReference"/>
          <w:rFonts w:eastAsiaTheme="majorEastAsia"/>
        </w:rPr>
        <w:footnoteReference w:id="64"/>
      </w:r>
      <w:r>
        <w:t xml:space="preserve"> If immigration judges behave in similar ways, the composition of the immigration judiciary should play an important role in determining removal outcomes.</w:t>
      </w:r>
    </w:p>
    <w:p w14:paraId="09CA2E89" w14:textId="77777777" w:rsidR="00D76C6E" w:rsidRDefault="00D76C6E" w:rsidP="00D76C6E">
      <w:pPr>
        <w:spacing w:line="480" w:lineRule="auto"/>
        <w:ind w:firstLine="720"/>
      </w:pPr>
      <w:r>
        <w:t>Under this perspective, presidential appointments matter because presidents select judges who share their policy preferences.</w:t>
      </w:r>
      <w:r>
        <w:rPr>
          <w:rStyle w:val="FootnoteReference"/>
          <w:rFonts w:eastAsiaTheme="majorEastAsia"/>
        </w:rPr>
        <w:footnoteReference w:id="65"/>
      </w:r>
      <w:r>
        <w:t xml:space="preserve"> The Trump administration appointed a large number of immigration judges between 2017 and 2021, often drawing from backgrounds associated with immigration enforcement.</w:t>
      </w:r>
      <w:r>
        <w:rPr>
          <w:rStyle w:val="FootnoteReference"/>
          <w:rFonts w:eastAsiaTheme="majorEastAsia"/>
        </w:rPr>
        <w:footnoteReference w:id="66"/>
      </w:r>
      <w:r>
        <w:t xml:space="preserve"> If these judges hold systematically different views about immigration enforcement than judges appointed by prior administrations, one would expect them to produce higher removal rates even when operating within the same policy environment.</w:t>
      </w:r>
      <w:r>
        <w:rPr>
          <w:rStyle w:val="FootnoteReference"/>
          <w:rFonts w:eastAsiaTheme="majorEastAsia"/>
        </w:rPr>
        <w:footnoteReference w:id="67"/>
      </w:r>
    </w:p>
    <w:p w14:paraId="2C67E7BB" w14:textId="77777777" w:rsidR="00D76C6E" w:rsidRDefault="00D76C6E" w:rsidP="00D76C6E">
      <w:pPr>
        <w:spacing w:line="480" w:lineRule="auto"/>
        <w:ind w:firstLine="720"/>
      </w:pPr>
      <w:r>
        <w:t>This perspective predicts persistent ideological differences across judges regardless of which presidential administration is currently in power. Even if immigration enforcement priorities change across administrations, Trump-appointed judges would be expected to remain more removal-oriented than their peers.</w:t>
      </w:r>
    </w:p>
    <w:p w14:paraId="749EF239" w14:textId="2402D79C" w:rsidR="00D76C6E" w:rsidRDefault="00D76C6E" w:rsidP="002F3924">
      <w:pPr>
        <w:spacing w:before="360" w:after="120"/>
      </w:pPr>
      <w:r>
        <w:rPr>
          <w:b/>
          <w:bCs/>
          <w:i/>
          <w:iCs/>
        </w:rPr>
        <w:t>Hypothesis 1: Ideological Appointment Hypothesis</w:t>
      </w:r>
      <w:r w:rsidR="003A574F">
        <w:t xml:space="preserve">: </w:t>
      </w:r>
      <w:r>
        <w:t>Trump-appointed immigration judges will produce higher removal rates than judges appointed by prior administrations across all presidential eras.</w:t>
      </w:r>
    </w:p>
    <w:p w14:paraId="10BF6015" w14:textId="77777777" w:rsidR="00D76C6E" w:rsidRDefault="00D76C6E" w:rsidP="00D76C6E">
      <w:pPr>
        <w:spacing w:before="360" w:after="120" w:line="480" w:lineRule="auto"/>
      </w:pPr>
      <w:r>
        <w:rPr>
          <w:b/>
          <w:bCs/>
          <w:i/>
          <w:iCs/>
        </w:rPr>
        <w:lastRenderedPageBreak/>
        <w:t>B. Administrative Policy Regimes</w:t>
      </w:r>
    </w:p>
    <w:p w14:paraId="18D5C459" w14:textId="77777777" w:rsidR="00D76C6E" w:rsidRDefault="00D76C6E" w:rsidP="00D76C6E">
      <w:pPr>
        <w:spacing w:line="480" w:lineRule="auto"/>
        <w:ind w:firstLine="720"/>
      </w:pPr>
      <w:r>
        <w:t>A second perspective emphasizes the hierarchical structure of administrative adjudication. Unlike Article III courts, immigration courts are embedded within the executive branch and subject to oversight by political principals. Presidential administrations can influence immigration adjudication through multiple channels, including enforcement priorities, prosecutorial discretion policies, procedural rules, and precedential decisions issued by the Attorney General or the Board of Immigration Appeals.</w:t>
      </w:r>
      <w:r>
        <w:rPr>
          <w:rStyle w:val="FootnoteReference"/>
          <w:rFonts w:eastAsiaTheme="majorEastAsia"/>
        </w:rPr>
        <w:footnoteReference w:id="68"/>
      </w:r>
      <w:r>
        <w:rPr>
          <w:rStyle w:val="FootnoteReference"/>
          <w:rFonts w:eastAsiaTheme="majorEastAsia"/>
        </w:rPr>
        <w:footnoteReference w:id="69"/>
      </w:r>
    </w:p>
    <w:p w14:paraId="5BDA3F15" w14:textId="7084BC92" w:rsidR="00D76C6E" w:rsidRDefault="00D76C6E" w:rsidP="00D76C6E">
      <w:pPr>
        <w:spacing w:line="480" w:lineRule="auto"/>
        <w:ind w:firstLine="720"/>
      </w:pPr>
      <w:r>
        <w:t>Because these policy instruments operate at the system level, they can influence adjudication across all immigration courts simultaneously.</w:t>
      </w:r>
      <w:r>
        <w:rPr>
          <w:rStyle w:val="FootnoteReference"/>
          <w:rFonts w:eastAsiaTheme="majorEastAsia"/>
        </w:rPr>
        <w:footnoteReference w:id="70"/>
      </w:r>
      <w:r>
        <w:rPr>
          <w:rStyle w:val="FootnoteReference"/>
          <w:rFonts w:eastAsiaTheme="majorEastAsia"/>
        </w:rPr>
        <w:footnoteReference w:id="71"/>
      </w:r>
      <w:r>
        <w:t xml:space="preserve"> Changes in enforcement priorities may alter which cases are brought before immigration judges, while changes in procedural rules may influence how cases are resolved. For example, the Biden administration</w:t>
      </w:r>
      <w:r w:rsidR="001F2F5E">
        <w:t>’</w:t>
      </w:r>
      <w:r>
        <w:t xml:space="preserve">s 2021 enforcement priorities memo significantly altered which cases ICE prosecutors were directed to </w:t>
      </w:r>
      <w:r>
        <w:lastRenderedPageBreak/>
        <w:t>pursue, affecting the composition of cases reaching immigration judges.</w:t>
      </w:r>
      <w:r>
        <w:rPr>
          <w:rStyle w:val="FootnoteReference"/>
          <w:rFonts w:eastAsiaTheme="majorEastAsia"/>
        </w:rPr>
        <w:footnoteReference w:id="72"/>
      </w:r>
      <w:r>
        <w:t xml:space="preserve"> As a result, immigration adjudication may respond strongly to shifts in presidential policy regimes even when the composition of the immigration judiciary remains relatively stable.</w:t>
      </w:r>
    </w:p>
    <w:p w14:paraId="5EB2DDAC" w14:textId="77777777" w:rsidR="00D76C6E" w:rsidRDefault="00D76C6E" w:rsidP="00D76C6E">
      <w:pPr>
        <w:spacing w:line="480" w:lineRule="auto"/>
        <w:ind w:firstLine="720"/>
      </w:pPr>
      <w:r>
        <w:t>Under this perspective, variation in removal outcomes should occur primarily across presidential administrations rather than across judges. Judges across the system will adjust their decisions in response to the policy environment created by the incumbent administration.</w:t>
      </w:r>
      <w:r>
        <w:rPr>
          <w:rStyle w:val="FootnoteReference"/>
          <w:rFonts w:eastAsiaTheme="majorEastAsia"/>
        </w:rPr>
        <w:footnoteReference w:id="73"/>
      </w:r>
    </w:p>
    <w:p w14:paraId="7F687C16" w14:textId="67CA74F3" w:rsidR="00D76C6E" w:rsidRDefault="00D76C6E" w:rsidP="002F3924">
      <w:pPr>
        <w:spacing w:before="360" w:after="120"/>
      </w:pPr>
      <w:r>
        <w:rPr>
          <w:b/>
          <w:bCs/>
          <w:i/>
          <w:iCs/>
        </w:rPr>
        <w:t>Hypothesis 2: Administrative Policy Hypothesis</w:t>
      </w:r>
      <w:r w:rsidR="001F2F5E">
        <w:t xml:space="preserve">: </w:t>
      </w:r>
      <w:r>
        <w:t>Removal rates will shift significantly across presidential administrations, and these shifts will occur across judges regardless of which president appointed them.</w:t>
      </w:r>
    </w:p>
    <w:p w14:paraId="666D5AF7" w14:textId="77777777" w:rsidR="00D76C6E" w:rsidRDefault="00D76C6E" w:rsidP="00D76C6E">
      <w:pPr>
        <w:spacing w:before="360" w:after="120" w:line="480" w:lineRule="auto"/>
      </w:pPr>
      <w:r>
        <w:rPr>
          <w:b/>
          <w:bCs/>
          <w:i/>
          <w:iCs/>
        </w:rPr>
        <w:t>C. Institutional Transformation and the Trump Court Project</w:t>
      </w:r>
    </w:p>
    <w:p w14:paraId="0C47A30E" w14:textId="77777777" w:rsidR="00D76C6E" w:rsidRDefault="00D76C6E" w:rsidP="00D76C6E">
      <w:pPr>
        <w:spacing w:line="480" w:lineRule="auto"/>
        <w:ind w:firstLine="720"/>
      </w:pPr>
      <w:r>
        <w:t xml:space="preserve">A third perspective focuses on the possibility that institutional reforms can alter the underlying dynamics of immigration adjudication. The Trump administration pursued a particularly ambitious effort to reshape the immigration court system. Between 2017 and 2021, the administration significantly expanded the immigration judiciary, introduced performance </w:t>
      </w:r>
      <w:r>
        <w:lastRenderedPageBreak/>
        <w:t>metrics and case completion quotas,</w:t>
      </w:r>
      <w:r>
        <w:rPr>
          <w:rStyle w:val="FootnoteReference"/>
          <w:rFonts w:eastAsiaTheme="majorEastAsia"/>
        </w:rPr>
        <w:footnoteReference w:id="74"/>
      </w:r>
      <w:r>
        <w:t xml:space="preserve"> limited administrative closure,</w:t>
      </w:r>
      <w:r>
        <w:rPr>
          <w:rStyle w:val="FootnoteReference"/>
          <w:rFonts w:eastAsiaTheme="majorEastAsia"/>
        </w:rPr>
        <w:footnoteReference w:id="75"/>
      </w:r>
      <w:r>
        <w:rPr>
          <w:rStyle w:val="FootnoteReference"/>
          <w:rFonts w:eastAsiaTheme="majorEastAsia"/>
        </w:rPr>
        <w:footnoteReference w:id="76"/>
      </w:r>
      <w:r>
        <w:t xml:space="preserve"> and made extensive use of the Attorney General's certification authority to issue binding precedential decisions.</w:t>
      </w:r>
      <w:r>
        <w:rPr>
          <w:rStyle w:val="FootnoteReference"/>
          <w:rFonts w:eastAsiaTheme="majorEastAsia"/>
        </w:rPr>
        <w:footnoteReference w:id="77"/>
      </w:r>
    </w:p>
    <w:p w14:paraId="33470416" w14:textId="77777777" w:rsidR="00D76C6E" w:rsidRDefault="00D76C6E" w:rsidP="00D76C6E">
      <w:pPr>
        <w:spacing w:line="480" w:lineRule="auto"/>
        <w:ind w:firstLine="720"/>
      </w:pPr>
      <w:r>
        <w:t>These reforms were widely interpreted as attempts to transform immigration courts into a more enforcement-oriented adjudicative system.</w:t>
      </w:r>
      <w:r>
        <w:rPr>
          <w:rStyle w:val="FootnoteReference"/>
          <w:rFonts w:eastAsiaTheme="majorEastAsia"/>
        </w:rPr>
        <w:footnoteReference w:id="78"/>
      </w:r>
      <w:r>
        <w:t xml:space="preserve"> By increasing oversight of immigration judges and reshaping the institutional rules governing adjudication, the Trump administration sought to accelerate removal proceedings and increase the rate at which cases resulted in deportation orders. These institutional reforms raise an important question: did the Trump administration's attempt to reshape immigration courts fundamentally alter how immigration judges decide cases?</w:t>
      </w:r>
    </w:p>
    <w:p w14:paraId="46749C14" w14:textId="77777777" w:rsidR="00D76C6E" w:rsidRDefault="00D76C6E" w:rsidP="00D76C6E">
      <w:pPr>
        <w:spacing w:line="480" w:lineRule="auto"/>
        <w:ind w:firstLine="720"/>
      </w:pPr>
      <w:r>
        <w:t xml:space="preserve">If these institutional reforms fundamentally altered the structure of immigration adjudication, their effects might persist beyond the Trump administration itself. In particular, the combination of new judicial appointments and institutional changes could create enduring </w:t>
      </w:r>
      <w:r>
        <w:lastRenderedPageBreak/>
        <w:t>differences in how immigration judges approach removal decisions. These possibilities become particularly salient following Trump's return to office in 2025. If the institutional reforms introduced during Trump's first administration reshaped immigration adjudication, one would expect the second Trump administration to produce especially large differences between Trump-appointed judges and other judges.</w:t>
      </w:r>
    </w:p>
    <w:p w14:paraId="181EFED6" w14:textId="2172DE27" w:rsidR="00D76C6E" w:rsidRDefault="00D76C6E" w:rsidP="002F3924">
      <w:pPr>
        <w:spacing w:before="360" w:after="120"/>
      </w:pPr>
      <w:r>
        <w:rPr>
          <w:b/>
          <w:bCs/>
          <w:i/>
          <w:iCs/>
        </w:rPr>
        <w:t>Hypothesis 3: Institutional Transformation Hypothesis</w:t>
      </w:r>
      <w:r w:rsidR="00C2609A">
        <w:t xml:space="preserve">: </w:t>
      </w:r>
      <w:r>
        <w:t>Trump-appointed judges will become significantly more removal-oriented during the second Trump administration than they were during earlier periods, reflecting the combined effects of appointments and institutional reforms.</w:t>
      </w:r>
    </w:p>
    <w:p w14:paraId="78230AD8" w14:textId="77777777" w:rsidR="00D76C6E" w:rsidRDefault="00D76C6E" w:rsidP="00D76C6E">
      <w:pPr>
        <w:spacing w:before="360" w:after="120" w:line="480" w:lineRule="auto"/>
      </w:pPr>
      <w:r>
        <w:rPr>
          <w:b/>
          <w:bCs/>
          <w:i/>
          <w:iCs/>
        </w:rPr>
        <w:t>D. Empirical Strategy and Predictions</w:t>
      </w:r>
    </w:p>
    <w:p w14:paraId="7363ECAA" w14:textId="7ED49BDB" w:rsidR="00D76C6E" w:rsidRDefault="00D76C6E" w:rsidP="00D76C6E">
      <w:pPr>
        <w:spacing w:line="480" w:lineRule="auto"/>
        <w:ind w:firstLine="720"/>
      </w:pPr>
      <w:r>
        <w:t>These competing hypotheses generate distinct empirical predictions. If judicial ideology drives immigration adjudication, Trump-appointed judges should produce higher removal rates across all presidential administrations.</w:t>
      </w:r>
      <w:r>
        <w:rPr>
          <w:rStyle w:val="FootnoteReference"/>
          <w:rFonts w:eastAsiaTheme="majorEastAsia"/>
        </w:rPr>
        <w:footnoteReference w:id="79"/>
      </w:r>
      <w:r>
        <w:t xml:space="preserve"> If administrative policy regimes dominate, removal outcomes should shift across presidential eras but remain similar across judges.</w:t>
      </w:r>
      <w:r>
        <w:rPr>
          <w:rStyle w:val="FootnoteReference"/>
          <w:rFonts w:eastAsiaTheme="majorEastAsia"/>
        </w:rPr>
        <w:footnoteReference w:id="80"/>
      </w:r>
      <w:r>
        <w:t xml:space="preserve"> Finally, if Trump</w:t>
      </w:r>
      <w:r w:rsidR="00C2609A">
        <w:t>’</w:t>
      </w:r>
      <w:r>
        <w:t>s institutional reforms fundamentally reshaped immigration adjudication, the return of a Trump administration should produce especially large differences between Trump-appointed judges and other judges.</w:t>
      </w:r>
      <w:r>
        <w:rPr>
          <w:rStyle w:val="FootnoteReference"/>
          <w:rFonts w:eastAsiaTheme="majorEastAsia"/>
        </w:rPr>
        <w:footnoteReference w:id="81"/>
      </w:r>
    </w:p>
    <w:p w14:paraId="1CBB9F31" w14:textId="65D7CCC5" w:rsidR="00D76C6E" w:rsidRDefault="00D76C6E" w:rsidP="002F3924">
      <w:pPr>
        <w:spacing w:line="480" w:lineRule="auto"/>
        <w:ind w:firstLine="720"/>
      </w:pPr>
      <w:r>
        <w:lastRenderedPageBreak/>
        <w:t>The empirical analysis below evaluates these predictions by examining removal outcomes across presidential eras and across judges appointed by different administrations. By comparing adjudication patterns before, during, and after the Trump administration's institutional reforms, the analysis provides evidence about the mechanisms that shape immigration court decision-making.</w:t>
      </w:r>
    </w:p>
    <w:p w14:paraId="64D6D8B1" w14:textId="77777777" w:rsidR="00D76C6E" w:rsidRDefault="00D76C6E" w:rsidP="00D76C6E">
      <w:pPr>
        <w:spacing w:before="480" w:after="240" w:line="480" w:lineRule="auto"/>
        <w:jc w:val="center"/>
      </w:pPr>
      <w:r>
        <w:rPr>
          <w:b/>
          <w:bCs/>
          <w:caps/>
        </w:rPr>
        <w:t>IV. Methodology</w:t>
      </w:r>
    </w:p>
    <w:p w14:paraId="2143D97E" w14:textId="77777777" w:rsidR="00D76C6E" w:rsidRDefault="00D76C6E" w:rsidP="00D76C6E">
      <w:pPr>
        <w:spacing w:before="360" w:after="120" w:line="480" w:lineRule="auto"/>
      </w:pPr>
      <w:r>
        <w:rPr>
          <w:b/>
          <w:bCs/>
          <w:i/>
          <w:iCs/>
        </w:rPr>
        <w:t>A. Construction of the Dataset</w:t>
      </w:r>
    </w:p>
    <w:p w14:paraId="42FB6C6C" w14:textId="670E061D" w:rsidR="00D76C6E" w:rsidRDefault="00D76C6E" w:rsidP="00D76C6E">
      <w:pPr>
        <w:spacing w:line="480" w:lineRule="auto"/>
        <w:ind w:firstLine="720"/>
      </w:pPr>
      <w:r>
        <w:t>EOIR's website contains records of every removal proceeding before an immigration court since 1951.</w:t>
      </w:r>
      <w:r>
        <w:rPr>
          <w:rStyle w:val="FootnoteReference"/>
          <w:rFonts w:eastAsiaTheme="majorEastAsia"/>
        </w:rPr>
        <w:footnoteReference w:id="82"/>
      </w:r>
      <w:r>
        <w:t xml:space="preserve"> This Article uses the </w:t>
      </w:r>
      <w:r w:rsidR="00C2609A">
        <w:t>March 2026</w:t>
      </w:r>
      <w:r>
        <w:t xml:space="preserve"> casefile, which constitutes approximately </w:t>
      </w:r>
      <w:r w:rsidR="00C2609A">
        <w:t>fourteen</w:t>
      </w:r>
      <w:r>
        <w:t xml:space="preserve"> million immigration proceedings with a substantive or procedural decision in removal cases. Biographical data—including the IJ</w:t>
      </w:r>
      <w:r w:rsidR="00C2609A">
        <w:t>’</w:t>
      </w:r>
      <w:r>
        <w:t>s gender, prior governmental employment, and appointing Attorney General—were collected for each IJ from press releases issued by EOIR at each judge's investiture.</w:t>
      </w:r>
      <w:r>
        <w:rPr>
          <w:rStyle w:val="FootnoteReference"/>
          <w:rFonts w:eastAsiaTheme="majorEastAsia"/>
        </w:rPr>
        <w:footnoteReference w:id="83"/>
      </w:r>
    </w:p>
    <w:p w14:paraId="427B472C" w14:textId="185E9E96" w:rsidR="00D76C6E" w:rsidRDefault="00D76C6E" w:rsidP="00D76C6E">
      <w:pPr>
        <w:spacing w:line="480" w:lineRule="auto"/>
        <w:ind w:firstLine="720"/>
      </w:pPr>
      <w:r>
        <w:t xml:space="preserve">The EOIR maintains an electronic case-management system consisting of a series of tables. The main analysis draws on the Case Table (A_TblCase) and the Proceeding Table (B_TblProceeding). The Schedule Table (Tbl_Schedule), which contains over </w:t>
      </w:r>
      <w:r w:rsidR="00CA33D0">
        <w:t>forty-four</w:t>
      </w:r>
      <w:r>
        <w:t xml:space="preserve"> million entries, was consulted to identify the hearing type (master calendar versus individual merits), the </w:t>
      </w:r>
      <w:r>
        <w:lastRenderedPageBreak/>
        <w:t>hearing mode (in-person versus videoconference), and adjournment information. The analysis was limited to individual hearings only, in order to focus on substantive merits decisions rather than administrative proceedings.</w:t>
      </w:r>
    </w:p>
    <w:p w14:paraId="0E6637F5" w14:textId="7F1EFB2E" w:rsidR="00D76C6E" w:rsidRDefault="00D76C6E" w:rsidP="00D76C6E">
      <w:pPr>
        <w:spacing w:line="480" w:lineRule="auto"/>
        <w:ind w:firstLine="720"/>
      </w:pPr>
      <w:r>
        <w:t>Rider cases—cases containing information on accompanying family members or juveniles processed as companions to the lead respondent—were eliminated from the analysis.</w:t>
      </w:r>
      <w:r>
        <w:rPr>
          <w:rStyle w:val="FootnoteReference"/>
          <w:rFonts w:eastAsiaTheme="majorEastAsia"/>
        </w:rPr>
        <w:footnoteReference w:id="84"/>
      </w:r>
      <w:r>
        <w:t xml:space="preserve"> Cases involving multiple merits decisions were limited to the first substantive merits decision, in order to obtain a consistent and non-duplicated outcome measure.</w:t>
      </w:r>
      <w:r w:rsidR="00CA33D0">
        <w:rPr>
          <w:rStyle w:val="FootnoteReference"/>
        </w:rPr>
        <w:footnoteReference w:id="85"/>
      </w:r>
      <w:r>
        <w:t xml:space="preserve"> </w:t>
      </w:r>
      <w:r w:rsidRPr="00CA33D0">
        <w:rPr>
          <w:i/>
          <w:iCs/>
        </w:rPr>
        <w:t>In absentia</w:t>
      </w:r>
      <w:r>
        <w:t xml:space="preserve"> removal cases were excluded from the main analysis, though they are examined separately as a robustness check.</w:t>
      </w:r>
      <w:r>
        <w:rPr>
          <w:rStyle w:val="FootnoteReference"/>
          <w:rFonts w:eastAsiaTheme="majorEastAsia"/>
        </w:rPr>
        <w:footnoteReference w:id="86"/>
      </w:r>
    </w:p>
    <w:p w14:paraId="027D64BC" w14:textId="1D3BF2AD" w:rsidR="00D76C6E" w:rsidRDefault="00D76C6E" w:rsidP="00D76C6E">
      <w:pPr>
        <w:spacing w:line="480" w:lineRule="auto"/>
        <w:ind w:firstLine="720"/>
      </w:pPr>
      <w:r>
        <w:t xml:space="preserve">The key dependent variable was coded as removal (1) if the decision code indicated that the IJ ordered removal, exclusion, deportation, or voluntary departure, and as non-removal (0) if the decision code indicated that relief from removal was granted, proceedings were terminated, the case was </w:t>
      </w:r>
      <w:r w:rsidR="00743B5A">
        <w:t>dismissed</w:t>
      </w:r>
      <w:r>
        <w:t>.</w:t>
      </w:r>
      <w:r>
        <w:rPr>
          <w:rStyle w:val="FootnoteReference"/>
          <w:rFonts w:eastAsiaTheme="majorEastAsia"/>
        </w:rPr>
        <w:footnoteReference w:id="87"/>
      </w:r>
      <w:r>
        <w:t xml:space="preserve"> Voluntary departure was coded as removal for the purpose of the main analysis, as it similarly requires the noncitizen to depart the United States.</w:t>
      </w:r>
      <w:r>
        <w:rPr>
          <w:rStyle w:val="FootnoteReference"/>
          <w:rFonts w:eastAsiaTheme="majorEastAsia"/>
        </w:rPr>
        <w:footnoteReference w:id="88"/>
      </w:r>
      <w:r>
        <w:t xml:space="preserve"> </w:t>
      </w:r>
      <w:r w:rsidR="00743B5A">
        <w:t>In the main specification, a</w:t>
      </w:r>
      <w:r>
        <w:t xml:space="preserve">dministrative closure was </w:t>
      </w:r>
      <w:r w:rsidR="00743B5A">
        <w:t xml:space="preserve">not included but in alternative specifications, it was </w:t>
      </w:r>
      <w:r w:rsidR="00743B5A">
        <w:lastRenderedPageBreak/>
        <w:t>included as non-removal</w:t>
      </w:r>
      <w:r>
        <w:t>, consistent with prior scholarship.</w:t>
      </w:r>
      <w:r>
        <w:rPr>
          <w:rStyle w:val="FootnoteReference"/>
          <w:rFonts w:eastAsiaTheme="majorEastAsia"/>
        </w:rPr>
        <w:footnoteReference w:id="89"/>
      </w:r>
      <w:r>
        <w:t xml:space="preserve"> Cases in which the noncitizen stipulated to removal were also excluded.</w:t>
      </w:r>
      <w:r>
        <w:rPr>
          <w:rStyle w:val="FootnoteReference"/>
          <w:rFonts w:eastAsiaTheme="majorEastAsia"/>
        </w:rPr>
        <w:footnoteReference w:id="90"/>
      </w:r>
    </w:p>
    <w:p w14:paraId="1F8E32A7" w14:textId="77777777" w:rsidR="00D76C6E" w:rsidRDefault="00D76C6E" w:rsidP="00D76C6E">
      <w:pPr>
        <w:spacing w:before="360" w:after="120" w:line="480" w:lineRule="auto"/>
      </w:pPr>
      <w:r>
        <w:rPr>
          <w:b/>
          <w:bCs/>
          <w:i/>
          <w:iCs/>
        </w:rPr>
        <w:t>B. Research Questions</w:t>
      </w:r>
    </w:p>
    <w:p w14:paraId="2D39E68C" w14:textId="21479109" w:rsidR="00D76C6E" w:rsidRDefault="00D76C6E" w:rsidP="00D76C6E">
      <w:pPr>
        <w:spacing w:line="480" w:lineRule="auto"/>
        <w:ind w:firstLine="720"/>
      </w:pPr>
      <w:r>
        <w:t>This Article addresses three core research questions. First, I examine whether judges appointed by particular administrations were more or less likely to order removal from the United States, controlling for case mix. Second, I examine whether, controlling for the appointing administration, judges were more or less likely to order removal during different presidential era</w:t>
      </w:r>
      <w:r w:rsidR="00491F7A">
        <w:t>. F</w:t>
      </w:r>
      <w:r>
        <w:t>or example, were Obama-appointed judges more lenient during Biden years than during Trump years? Third, and most importantly, I test whether Trump-appointed judges as a cohort shifted more or less than other judges when the Biden administration took office, and whether that shift is now reversing with Trump's return to power. The triple-difference identification strategy, described in detail in Part V, provides the analytical framework for answering these questions.</w:t>
      </w:r>
    </w:p>
    <w:p w14:paraId="214E43FB" w14:textId="77777777" w:rsidR="00D76C6E" w:rsidRDefault="00D76C6E" w:rsidP="00D76C6E">
      <w:pPr>
        <w:spacing w:before="360" w:after="120" w:line="480" w:lineRule="auto"/>
      </w:pPr>
      <w:r>
        <w:rPr>
          <w:b/>
          <w:bCs/>
          <w:i/>
          <w:iCs/>
        </w:rPr>
        <w:t>C. Control Variables</w:t>
      </w:r>
    </w:p>
    <w:p w14:paraId="5292B3B9" w14:textId="77777777" w:rsidR="00D76C6E" w:rsidRDefault="00D76C6E" w:rsidP="00D76C6E">
      <w:pPr>
        <w:spacing w:before="360" w:after="120" w:line="480" w:lineRule="auto"/>
      </w:pPr>
      <w:r>
        <w:rPr>
          <w:b/>
          <w:bCs/>
          <w:i/>
          <w:iCs/>
        </w:rPr>
        <w:t>1. Case-Level Controls</w:t>
      </w:r>
    </w:p>
    <w:p w14:paraId="61059B3E" w14:textId="2476B29A" w:rsidR="00D76C6E" w:rsidRDefault="00D76C6E" w:rsidP="00D76C6E">
      <w:pPr>
        <w:spacing w:line="480" w:lineRule="auto"/>
        <w:ind w:firstLine="720"/>
      </w:pPr>
      <w:r>
        <w:t>Whether a noncitizen was represented by counsel at the merits hearing is among the most powerful predictors of removal outcomes identified in the literature.</w:t>
      </w:r>
      <w:r>
        <w:rPr>
          <w:rStyle w:val="FootnoteReference"/>
          <w:rFonts w:eastAsiaTheme="majorEastAsia"/>
        </w:rPr>
        <w:footnoteReference w:id="91"/>
      </w:r>
      <w:r>
        <w:t xml:space="preserve"> Attorneys must file an </w:t>
      </w:r>
      <w:r>
        <w:lastRenderedPageBreak/>
        <w:t>EOIR-28 Notice of Entry of Appearance before appearing in immigration court.</w:t>
      </w:r>
      <w:r>
        <w:rPr>
          <w:rStyle w:val="FootnoteReference"/>
          <w:rFonts w:eastAsiaTheme="majorEastAsia"/>
        </w:rPr>
        <w:footnoteReference w:id="92"/>
      </w:r>
      <w:r>
        <w:t xml:space="preserve"> I </w:t>
      </w:r>
      <w:r w:rsidR="005C17D3">
        <w:t xml:space="preserve">coded this variable a few different ways for robustness. Consistent with how others have assessed it, I </w:t>
      </w:r>
      <w:r>
        <w:t>coded a noncitizen as represented if an EOIR-28 form was filed before the proceeding completion date.</w:t>
      </w:r>
      <w:r w:rsidR="005C17D3">
        <w:t xml:space="preserve"> I also matched the proceeding with the Schedule Table to assess whether at the hearing, the “</w:t>
      </w:r>
      <w:proofErr w:type="spellStart"/>
      <w:r w:rsidR="005C17D3">
        <w:t>eoirattorneyid</w:t>
      </w:r>
      <w:proofErr w:type="spellEnd"/>
      <w:r w:rsidR="005C17D3">
        <w:t xml:space="preserve">” variable was checked; if </w:t>
      </w:r>
      <w:proofErr w:type="gramStart"/>
      <w:r w:rsidR="005C17D3">
        <w:t>so</w:t>
      </w:r>
      <w:proofErr w:type="gramEnd"/>
      <w:r w:rsidR="005C17D3">
        <w:t xml:space="preserve"> I assumed that the attorney was present at the final merits hearing. </w:t>
      </w:r>
      <w:r>
        <w:t xml:space="preserve"> </w:t>
      </w:r>
    </w:p>
    <w:p w14:paraId="2F218DF7" w14:textId="77777777" w:rsidR="00D76C6E" w:rsidRDefault="00D76C6E" w:rsidP="00D76C6E">
      <w:pPr>
        <w:spacing w:line="480" w:lineRule="auto"/>
        <w:ind w:firstLine="720"/>
      </w:pPr>
      <w:r>
        <w:t>The type of application for relief the noncitizen filed is an important control because it determines the legal standard the IJ applies and the nature of the evidence the parties present. Affirmative asylum cases, defensive asylum cases, withholding-only cases, cancellation of removal, and cases involving no application for relief present fundamentally different legal postures.</w:t>
      </w:r>
      <w:r>
        <w:rPr>
          <w:rStyle w:val="FootnoteReference"/>
          <w:rFonts w:eastAsiaTheme="majorEastAsia"/>
        </w:rPr>
        <w:footnoteReference w:id="93"/>
      </w:r>
      <w:r>
        <w:t xml:space="preserve"> Whether the noncitizen filed for asylum was also separately coded, given the distinct one-year filing deadline applicable to asylum claims.</w:t>
      </w:r>
      <w:r>
        <w:rPr>
          <w:rStyle w:val="FootnoteReference"/>
          <w:rFonts w:eastAsiaTheme="majorEastAsia"/>
        </w:rPr>
        <w:footnoteReference w:id="94"/>
      </w:r>
      <w:r>
        <w:rPr>
          <w:rStyle w:val="FootnoteReference"/>
          <w:rFonts w:eastAsiaTheme="majorEastAsia"/>
        </w:rPr>
        <w:footnoteReference w:id="95"/>
      </w:r>
    </w:p>
    <w:p w14:paraId="354FFA8C" w14:textId="62D98DBA" w:rsidR="00D76C6E" w:rsidRDefault="00D76C6E" w:rsidP="00D76C6E">
      <w:pPr>
        <w:spacing w:line="480" w:lineRule="auto"/>
        <w:ind w:firstLine="720"/>
      </w:pPr>
      <w:r>
        <w:t>Nationality is a documented predictor of immigration court outcomes, with grant rates varying dramatically across countries of origin.</w:t>
      </w:r>
      <w:r>
        <w:rPr>
          <w:rStyle w:val="FootnoteReference"/>
          <w:rFonts w:eastAsiaTheme="majorEastAsia"/>
        </w:rPr>
        <w:footnoteReference w:id="96"/>
      </w:r>
      <w:r>
        <w:t xml:space="preserve"> This study controls for nationality using dummy variables for Mexico and for the Northern Triangle countries of El Salvador, Guatemala, </w:t>
      </w:r>
      <w:r>
        <w:lastRenderedPageBreak/>
        <w:t>and Honduras, which together constitute a large and growing share of the noncitizen population in removal proceedings.</w:t>
      </w:r>
      <w:r>
        <w:rPr>
          <w:rStyle w:val="FootnoteReference"/>
          <w:rFonts w:eastAsiaTheme="majorEastAsia"/>
        </w:rPr>
        <w:footnoteReference w:id="97"/>
      </w:r>
      <w:r>
        <w:t xml:space="preserve"> </w:t>
      </w:r>
    </w:p>
    <w:p w14:paraId="584BA114" w14:textId="68D24989" w:rsidR="00D76C6E" w:rsidRDefault="00D76C6E" w:rsidP="00D76C6E">
      <w:pPr>
        <w:spacing w:line="480" w:lineRule="auto"/>
        <w:ind w:firstLine="720"/>
      </w:pPr>
      <w:r>
        <w:t>The noncitizen</w:t>
      </w:r>
      <w:r w:rsidR="004517AE">
        <w:t>’</w:t>
      </w:r>
      <w:r>
        <w:t>s primary language was included as a control because non-English and non-Spanish speakers face additional challenges in removal proceedings.</w:t>
      </w:r>
      <w:r>
        <w:rPr>
          <w:rStyle w:val="FootnoteReference"/>
          <w:rFonts w:eastAsiaTheme="majorEastAsia"/>
        </w:rPr>
        <w:footnoteReference w:id="98"/>
      </w:r>
      <w:r>
        <w:t xml:space="preserve"> Interpreter availability is uneven, and an IJ may misunderstand a claim or assess credibility differently when communication is mediated through translation.</w:t>
      </w:r>
      <w:r>
        <w:rPr>
          <w:rStyle w:val="FootnoteReference"/>
          <w:rFonts w:eastAsiaTheme="majorEastAsia"/>
        </w:rPr>
        <w:footnoteReference w:id="99"/>
      </w:r>
      <w:r>
        <w:t xml:space="preserve"> </w:t>
      </w:r>
    </w:p>
    <w:p w14:paraId="686F5C65" w14:textId="77777777" w:rsidR="00D76C6E" w:rsidRDefault="00D76C6E" w:rsidP="00D76C6E">
      <w:pPr>
        <w:spacing w:line="480" w:lineRule="auto"/>
        <w:ind w:firstLine="720"/>
      </w:pPr>
      <w:r>
        <w:t>The dataset includes indicators for whether the noncitizen was traveling with family members (lead/rider status</w:t>
      </w:r>
      <w:r>
        <w:rPr>
          <w:rStyle w:val="FootnoteReference"/>
          <w:rFonts w:eastAsiaTheme="majorEastAsia"/>
        </w:rPr>
        <w:footnoteReference w:id="100"/>
      </w:r>
      <w:r>
        <w:t>) and whether the respondent was a juvenile.</w:t>
      </w:r>
      <w:r>
        <w:rPr>
          <w:rStyle w:val="FootnoteReference"/>
          <w:rFonts w:eastAsiaTheme="majorEastAsia"/>
        </w:rPr>
        <w:footnoteReference w:id="101"/>
      </w:r>
      <w:r>
        <w:t xml:space="preserve"> Detention status—whether the noncitizen was held in an ICE detention facility at the time of the merits hearing—was also included as a control, given the substantial differences between detained and non-detained dockets in processing, representation, and outcomes.</w:t>
      </w:r>
      <w:r>
        <w:rPr>
          <w:rStyle w:val="FootnoteReference"/>
          <w:rFonts w:eastAsiaTheme="majorEastAsia"/>
        </w:rPr>
        <w:footnoteReference w:id="102"/>
      </w:r>
    </w:p>
    <w:p w14:paraId="1338909F" w14:textId="4E6B7CB1" w:rsidR="00D76C6E" w:rsidRPr="002F3924" w:rsidRDefault="00D76C6E" w:rsidP="002F3924">
      <w:pPr>
        <w:pStyle w:val="NormalWeb"/>
        <w:spacing w:before="0" w:beforeAutospacing="0" w:after="0" w:afterAutospacing="0" w:line="480" w:lineRule="auto"/>
        <w:ind w:firstLine="720"/>
        <w:rPr>
          <w:color w:val="000000"/>
        </w:rPr>
      </w:pPr>
      <w:r>
        <w:t xml:space="preserve">This study </w:t>
      </w:r>
      <w:proofErr w:type="gramStart"/>
      <w:r>
        <w:t>was not able to</w:t>
      </w:r>
      <w:proofErr w:type="gramEnd"/>
      <w:r>
        <w:t xml:space="preserve"> control for </w:t>
      </w:r>
      <w:proofErr w:type="gramStart"/>
      <w:r>
        <w:t>a number of</w:t>
      </w:r>
      <w:proofErr w:type="gramEnd"/>
      <w:r>
        <w:t xml:space="preserve"> case characteristics that the BIA has identified as legally relevant to the removal determination,</w:t>
      </w:r>
      <w:r>
        <w:rPr>
          <w:rStyle w:val="FootnoteReference"/>
          <w:rFonts w:eastAsiaTheme="majorEastAsia"/>
        </w:rPr>
        <w:footnoteReference w:id="103"/>
      </w:r>
      <w:r>
        <w:t xml:space="preserve"> including the noncitizen's criminal record. The EOIR dataset contains a field for criminal status, but the entries were incomplete and </w:t>
      </w:r>
      <w:r>
        <w:lastRenderedPageBreak/>
        <w:t>inconsistent; many noncitizens with crime-based grounds for removal were coded as non-criminal.</w:t>
      </w:r>
      <w:r>
        <w:rPr>
          <w:rStyle w:val="FootnoteReference"/>
          <w:rFonts w:eastAsiaTheme="majorEastAsia"/>
        </w:rPr>
        <w:footnoteReference w:id="104"/>
      </w:r>
      <w:r>
        <w:t xml:space="preserve"> This is a significant limitation that readers should bear in mind when interpreting the regression results.</w:t>
      </w:r>
      <w:r w:rsidR="002F3924" w:rsidRPr="002F3924">
        <w:rPr>
          <w:rStyle w:val="FootnoteReference"/>
          <w:rFonts w:eastAsiaTheme="majorEastAsia"/>
        </w:rPr>
        <w:t xml:space="preserve"> </w:t>
      </w:r>
      <w:r w:rsidR="002F3924">
        <w:rPr>
          <w:rStyle w:val="FootnoteReference"/>
          <w:rFonts w:eastAsiaTheme="majorEastAsia"/>
        </w:rPr>
        <w:footnoteReference w:id="105"/>
      </w:r>
      <w:r w:rsidR="002F3924">
        <w:rPr>
          <w:rFonts w:eastAsiaTheme="majorEastAsia"/>
        </w:rPr>
        <w:t xml:space="preserve"> Nonetheless, although the variable may not be accurately coded, </w:t>
      </w:r>
      <w:r w:rsidR="002F3924">
        <w:rPr>
          <w:color w:val="000000"/>
        </w:rPr>
        <w:t>to control for differences in the seriousness and legal posture of removal proceedings, I constructed several measures capturing whether the noncitizen’s case involved criminal grounds of removability. These variables were derived from the EOIR charging and grounds-of-removal data</w:t>
      </w:r>
      <w:r w:rsidR="00FD5395">
        <w:rPr>
          <w:color w:val="000000"/>
        </w:rPr>
        <w:t xml:space="preserve"> (</w:t>
      </w:r>
      <w:proofErr w:type="spellStart"/>
      <w:r w:rsidR="00FD5395">
        <w:rPr>
          <w:color w:val="000000"/>
        </w:rPr>
        <w:t>Proceeding_Charge</w:t>
      </w:r>
      <w:proofErr w:type="spellEnd"/>
      <w:r w:rsidR="00FD5395">
        <w:rPr>
          <w:color w:val="000000"/>
        </w:rPr>
        <w:t xml:space="preserve"> Table)</w:t>
      </w:r>
      <w:r w:rsidR="002F3924">
        <w:rPr>
          <w:color w:val="000000"/>
        </w:rPr>
        <w:t>, which identify the statutory provisions under which the Department of Homeland Security charged the respondent as removable. I coded criminal grounds broadly to include proceedings involving allegations under the primary crime-related inadmissibility and removability provisions of the Immigration and Nationality Act, including §§ 212(a)(2), 237(a)(2), and 241(a)(2), In addition, the criminal tables include a criminal flag. I included those additional statutory grounds as criminal as well.</w:t>
      </w:r>
      <w:r w:rsidR="002F3924">
        <w:rPr>
          <w:rStyle w:val="FootnoteReference"/>
          <w:color w:val="000000"/>
        </w:rPr>
        <w:footnoteReference w:id="106"/>
      </w:r>
      <w:r w:rsidR="002F3924">
        <w:rPr>
          <w:color w:val="000000"/>
        </w:rPr>
        <w:t xml:space="preserve"> </w:t>
      </w:r>
    </w:p>
    <w:p w14:paraId="7C10D5E3" w14:textId="77777777" w:rsidR="00D76C6E" w:rsidRDefault="00D76C6E" w:rsidP="00D76C6E">
      <w:pPr>
        <w:spacing w:before="360" w:after="120" w:line="480" w:lineRule="auto"/>
      </w:pPr>
      <w:r>
        <w:rPr>
          <w:b/>
          <w:bCs/>
          <w:i/>
          <w:iCs/>
        </w:rPr>
        <w:t>2. Judge-Level Controls</w:t>
      </w:r>
    </w:p>
    <w:p w14:paraId="2CEA5329" w14:textId="4C913EEA" w:rsidR="00D76C6E" w:rsidRDefault="00D76C6E" w:rsidP="00D76C6E">
      <w:pPr>
        <w:spacing w:line="480" w:lineRule="auto"/>
        <w:ind w:firstLine="720"/>
      </w:pPr>
      <w:r>
        <w:t>Prior scholarship consistently finds that female IJs grant asylum at higher rates than male IJs.</w:t>
      </w:r>
      <w:r>
        <w:rPr>
          <w:rStyle w:val="FootnoteReference"/>
          <w:rFonts w:eastAsiaTheme="majorEastAsia"/>
        </w:rPr>
        <w:footnoteReference w:id="107"/>
      </w:r>
      <w:r>
        <w:t xml:space="preserve"> This study codes judge gender as a binary variable (0 for male, 1 for female). </w:t>
      </w:r>
    </w:p>
    <w:p w14:paraId="348522BD" w14:textId="614B7BE9" w:rsidR="00D76C6E" w:rsidRDefault="00D76C6E" w:rsidP="00D76C6E">
      <w:pPr>
        <w:spacing w:line="480" w:lineRule="auto"/>
        <w:ind w:firstLine="720"/>
      </w:pPr>
      <w:r>
        <w:lastRenderedPageBreak/>
        <w:t>Judges who previously worked for the INS, DHS, or DOJ may bring an enforcement orientation to the bench that distinguishes them from judges with backgrounds in private practice, non-governmental organizations, or state government.</w:t>
      </w:r>
      <w:r>
        <w:rPr>
          <w:rStyle w:val="FootnoteReference"/>
          <w:rFonts w:eastAsiaTheme="majorEastAsia"/>
        </w:rPr>
        <w:footnoteReference w:id="108"/>
      </w:r>
      <w:r w:rsidR="004517AE">
        <w:t xml:space="preserve"> </w:t>
      </w:r>
      <w:r>
        <w:t xml:space="preserve">A prior employment indicator (1 = INS/DOJ/DHS background; 0 = other) was coded from the biographical press releases. </w:t>
      </w:r>
    </w:p>
    <w:p w14:paraId="72927424" w14:textId="08E3F2DB" w:rsidR="00D76C6E" w:rsidRDefault="00D76C6E" w:rsidP="00D76C6E">
      <w:pPr>
        <w:spacing w:line="480" w:lineRule="auto"/>
        <w:ind w:firstLine="720"/>
      </w:pPr>
      <w:r>
        <w:t>The length of time the IJ had served on the bench at the time of each decision was included as a continuous variable, on the theory that more experienced judges may devote more time to evaluating the individual facts and legal arguments in each case.</w:t>
      </w:r>
      <w:r>
        <w:rPr>
          <w:rStyle w:val="FootnoteReference"/>
          <w:rFonts w:eastAsiaTheme="majorEastAsia"/>
        </w:rPr>
        <w:footnoteReference w:id="109"/>
      </w:r>
      <w:r>
        <w:t xml:space="preserve"> </w:t>
      </w:r>
    </w:p>
    <w:p w14:paraId="777E6DDB" w14:textId="77777777" w:rsidR="00D76C6E" w:rsidRDefault="00D76C6E" w:rsidP="00D76C6E">
      <w:pPr>
        <w:spacing w:before="360" w:after="120" w:line="480" w:lineRule="auto"/>
      </w:pPr>
      <w:r>
        <w:rPr>
          <w:b/>
          <w:bCs/>
          <w:i/>
          <w:iCs/>
        </w:rPr>
        <w:t>3. Geographic and Institutional Controls</w:t>
      </w:r>
    </w:p>
    <w:p w14:paraId="4849503C" w14:textId="40B8C85D" w:rsidR="00D76C6E" w:rsidRDefault="00D76C6E" w:rsidP="00D76C6E">
      <w:pPr>
        <w:spacing w:line="480" w:lineRule="auto"/>
        <w:ind w:firstLine="720"/>
      </w:pPr>
      <w:r>
        <w:t>Whether the immigration court was located within a detention facility was coded as a binary variable (1 = detention-based court; 0 = non-detention court)</w:t>
      </w:r>
      <w:r w:rsidR="000D4F70">
        <w:rPr>
          <w:rFonts w:eastAsiaTheme="majorEastAsia"/>
        </w:rPr>
        <w:t>.</w:t>
      </w:r>
      <w:r>
        <w:t xml:space="preserve"> Separate dummy variables were created for </w:t>
      </w:r>
      <w:r w:rsidR="000D4F70">
        <w:t>the base city of the hearing</w:t>
      </w:r>
      <w:r w:rsidR="001F281F">
        <w:t xml:space="preserve"> to create court fixed effects.</w:t>
      </w:r>
    </w:p>
    <w:p w14:paraId="446CC98E" w14:textId="3D9D9435" w:rsidR="001F281F" w:rsidRDefault="00D76C6E" w:rsidP="001F281F">
      <w:pPr>
        <w:spacing w:line="480" w:lineRule="auto"/>
        <w:ind w:firstLine="720"/>
      </w:pPr>
      <w:r>
        <w:t>A set of geographic variables capture features of the court's community context that prior research has linked to immigration outcomes. Courts in one of the ten largest metropolitan areas were coded as urban.</w:t>
      </w:r>
      <w:r>
        <w:rPr>
          <w:rStyle w:val="FootnoteReference"/>
          <w:rFonts w:eastAsiaTheme="majorEastAsia"/>
        </w:rPr>
        <w:footnoteReference w:id="110"/>
      </w:r>
      <w:r>
        <w:t xml:space="preserve"> Courts in counties abutting the U.S.-Mexico border were coded as border-proximate.</w:t>
      </w:r>
      <w:r>
        <w:rPr>
          <w:rStyle w:val="FootnoteReference"/>
          <w:rFonts w:eastAsiaTheme="majorEastAsia"/>
        </w:rPr>
        <w:footnoteReference w:id="111"/>
      </w:r>
      <w:r>
        <w:t xml:space="preserve"> </w:t>
      </w:r>
    </w:p>
    <w:p w14:paraId="307D5206" w14:textId="308239CB" w:rsidR="00D76C6E" w:rsidRDefault="00D76C6E" w:rsidP="0052757B">
      <w:pPr>
        <w:spacing w:line="480" w:lineRule="auto"/>
        <w:ind w:firstLine="720"/>
      </w:pPr>
      <w:r>
        <w:lastRenderedPageBreak/>
        <w:t>Finally, whether the merits hearing took place by videoconference is included as a control, given emerging evidence that videoconferenced proceedings may affect outcomes.</w:t>
      </w:r>
      <w:r>
        <w:rPr>
          <w:rStyle w:val="FootnoteReference"/>
          <w:rFonts w:eastAsiaTheme="majorEastAsia"/>
        </w:rPr>
        <w:footnoteReference w:id="112"/>
      </w:r>
    </w:p>
    <w:p w14:paraId="52C07184" w14:textId="77777777" w:rsidR="00D76C6E" w:rsidRDefault="00D76C6E" w:rsidP="00D76C6E">
      <w:pPr>
        <w:spacing w:before="480" w:after="240" w:line="480" w:lineRule="auto"/>
        <w:jc w:val="center"/>
      </w:pPr>
      <w:r>
        <w:rPr>
          <w:b/>
          <w:bCs/>
          <w:caps/>
        </w:rPr>
        <w:t>V. Empirical Strategy</w:t>
      </w:r>
    </w:p>
    <w:p w14:paraId="3BCFBDC7" w14:textId="77777777" w:rsidR="00D76C6E" w:rsidRDefault="00D76C6E" w:rsidP="00D76C6E">
      <w:pPr>
        <w:spacing w:before="360" w:after="120" w:line="480" w:lineRule="auto"/>
      </w:pPr>
      <w:r>
        <w:rPr>
          <w:b/>
          <w:bCs/>
          <w:i/>
          <w:iCs/>
        </w:rPr>
        <w:t>A. Overview and Estimands</w:t>
      </w:r>
    </w:p>
    <w:p w14:paraId="2BB0598E" w14:textId="77777777" w:rsidR="00D76C6E" w:rsidRDefault="00D76C6E" w:rsidP="00D76C6E">
      <w:pPr>
        <w:spacing w:line="480" w:lineRule="auto"/>
        <w:ind w:firstLine="720"/>
      </w:pPr>
      <w:r>
        <w:t>Before presenting the formal models, it is useful to state precisely what this study is trying to measure. This Part defines three estimands up front, in plain language and formal terms, then describes how each model addresses one of those estimands.</w:t>
      </w:r>
    </w:p>
    <w:p w14:paraId="27686365" w14:textId="29BE3647" w:rsidR="00D76C6E" w:rsidRDefault="00D76C6E" w:rsidP="00D76C6E">
      <w:pPr>
        <w:spacing w:line="480" w:lineRule="auto"/>
        <w:ind w:firstLine="720"/>
      </w:pPr>
      <w:r>
        <w:t xml:space="preserve">The first estimand is the cross-sectional cohort effect: are Trump-appointed IJs more likely to order removal than Obama- or Biden-appointed IJs, holding constant the types of cases they handle? This is the most straightforward question and can be addressed with a logit or linear probability model that includes cohort dummies and case-mix controls. Think of it as asking: </w:t>
      </w:r>
      <w:r w:rsidR="001F281F">
        <w:t>“</w:t>
      </w:r>
      <w:r>
        <w:t>If you gave the same case to a Trump appointee and an Obama appointee, would you get different outcomes on average?</w:t>
      </w:r>
      <w:r w:rsidR="001F281F">
        <w:t>”</w:t>
      </w:r>
    </w:p>
    <w:p w14:paraId="6AB9E61E" w14:textId="77777777" w:rsidR="00D76C6E" w:rsidRDefault="00D76C6E" w:rsidP="00D76C6E">
      <w:pPr>
        <w:spacing w:line="480" w:lineRule="auto"/>
        <w:ind w:firstLine="720"/>
      </w:pPr>
      <w:r>
        <w:t xml:space="preserve">The second estimand is the within-judge Biden-period shift: did the same Trump-appointed IJs become more lenient once Biden took office? This question requires within-judge variation over time and is addressed using judge fixed effects. Judge fixed effects mean that I compare each judge to herself across different presidential periods, rather than comparing different judges to each other. If Judge Smith ordered removal in 70% of cases during the Trump years and only 55% during the Biden years, that is a 15-point within-judge shift. The question is </w:t>
      </w:r>
      <w:r>
        <w:lastRenderedPageBreak/>
        <w:t>whether the average within-judge shift was larger, smaller, or the same for Trump-cohort judges compared to other cohorts.</w:t>
      </w:r>
    </w:p>
    <w:p w14:paraId="78BDF139" w14:textId="77777777" w:rsidR="00D76C6E" w:rsidRDefault="00D76C6E" w:rsidP="00D76C6E">
      <w:pPr>
        <w:spacing w:line="480" w:lineRule="auto"/>
        <w:ind w:firstLine="720"/>
      </w:pPr>
      <w:r>
        <w:t>The third and preferred estimand is the triple-difference: did Trump-cohort judges shift more in the Biden period than non-Trump judges shifted?</w:t>
      </w:r>
      <w:r>
        <w:rPr>
          <w:rStyle w:val="FootnoteReference"/>
          <w:rFonts w:eastAsiaTheme="majorEastAsia"/>
        </w:rPr>
        <w:footnoteReference w:id="113"/>
      </w:r>
      <w:r>
        <w:t xml:space="preserve"> Formally: DDD = (ΔBiden vs. Trump period for Trump IJs) − (ΔBiden vs. Trump period for non-Trump IJs). This design nets out two potential confounders at once. First, it controls for the fact that everyone changed when Biden took office—DHS changed enforcement priorities, prosecutorial discretion expanded, and the composition of filed cases shifted. Those common changes are absorbed by the period indicator in the DDD model. Second, the judge fixed effects absorb all time-invariant judge characteristics, including ideology, priors, and any cohort-level constant. What remains is the cohort-specific, within-judge behavioral response to the change in administration.</w:t>
      </w:r>
      <w:r>
        <w:rPr>
          <w:rStyle w:val="FootnoteReference"/>
          <w:rFonts w:eastAsiaTheme="majorEastAsia"/>
        </w:rPr>
        <w:footnoteReference w:id="114"/>
      </w:r>
      <w:r>
        <w:rPr>
          <w:rStyle w:val="FootnoteReference"/>
          <w:rFonts w:eastAsiaTheme="majorEastAsia"/>
        </w:rPr>
        <w:footnoteReference w:id="115"/>
      </w:r>
    </w:p>
    <w:p w14:paraId="29DC203A" w14:textId="77777777" w:rsidR="00D76C6E" w:rsidRDefault="00D76C6E" w:rsidP="00D76C6E">
      <w:pPr>
        <w:spacing w:before="360" w:after="120" w:line="480" w:lineRule="auto"/>
      </w:pPr>
      <w:r>
        <w:rPr>
          <w:b/>
          <w:bCs/>
          <w:i/>
          <w:iCs/>
        </w:rPr>
        <w:t>B. Understanding the Triple Difference: A Non-Technical Explanation</w:t>
      </w:r>
    </w:p>
    <w:p w14:paraId="7CCD28F5" w14:textId="33A174C7" w:rsidR="00D76C6E" w:rsidRDefault="00D76C6E" w:rsidP="00D76C6E">
      <w:pPr>
        <w:spacing w:line="480" w:lineRule="auto"/>
        <w:ind w:firstLine="720"/>
      </w:pPr>
      <w:r>
        <w:t xml:space="preserve">The triple-difference design can be understood through a simple analogy. Imagine two groups of workers at a company: those hired under the previous CEO (call them </w:t>
      </w:r>
      <w:r w:rsidR="001F281F">
        <w:t>“</w:t>
      </w:r>
      <w:r>
        <w:t>Group A</w:t>
      </w:r>
      <w:r w:rsidR="001F281F">
        <w:t>”</w:t>
      </w:r>
      <w:r>
        <w:t>) and those hired under the current CEO (</w:t>
      </w:r>
      <w:r w:rsidR="001F281F">
        <w:t>“</w:t>
      </w:r>
      <w:r>
        <w:t>Group B</w:t>
      </w:r>
      <w:r w:rsidR="001F281F">
        <w:t>”</w:t>
      </w:r>
      <w:r>
        <w:t xml:space="preserve">). Both groups experience the same changes in company policy when a new CEO takes over. If you want to know whether Group A employees responded differently to the new CEO than Group B employees, you need to compare the change </w:t>
      </w:r>
      <w:r>
        <w:lastRenderedPageBreak/>
        <w:t>in Group A</w:t>
      </w:r>
      <w:r w:rsidR="000F5C01">
        <w:t>’</w:t>
      </w:r>
      <w:r>
        <w:t>s behavior (before versus after the leadership change) against the change in Group B</w:t>
      </w:r>
      <w:r w:rsidR="000F5C01">
        <w:t>’</w:t>
      </w:r>
      <w:r>
        <w:t>s behavior over the same period. The "triple difference" is the difference between those two changes.</w:t>
      </w:r>
    </w:p>
    <w:p w14:paraId="65A941AD" w14:textId="5D402B56" w:rsidR="00D76C6E" w:rsidRDefault="00D76C6E" w:rsidP="00D76C6E">
      <w:pPr>
        <w:spacing w:line="480" w:lineRule="auto"/>
        <w:ind w:firstLine="720"/>
      </w:pPr>
      <w:r>
        <w:t>In the immigration court context: the</w:t>
      </w:r>
      <w:r w:rsidR="000F5C01">
        <w:t xml:space="preserve"> “</w:t>
      </w:r>
      <w:r>
        <w:t>workers</w:t>
      </w:r>
      <w:r w:rsidR="000F5C01">
        <w:t>”</w:t>
      </w:r>
      <w:r>
        <w:t xml:space="preserve"> are immigration judges, the </w:t>
      </w:r>
      <w:r w:rsidR="000F5C01">
        <w:t>“</w:t>
      </w:r>
      <w:r>
        <w:t>company</w:t>
      </w:r>
      <w:r w:rsidR="000F5C01">
        <w:t>”</w:t>
      </w:r>
      <w:r>
        <w:t xml:space="preserve"> is EOIR, and the </w:t>
      </w:r>
      <w:r w:rsidR="000F5C01">
        <w:t>“</w:t>
      </w:r>
      <w:r>
        <w:t>CEO change</w:t>
      </w:r>
      <w:r w:rsidR="00964A54">
        <w:t>”</w:t>
      </w:r>
      <w:r>
        <w:t xml:space="preserve"> is the transition from Trump to Biden (or Biden to Trump) on Inauguration Day. The triple-difference asks: after the administration changed, did judges hired under the previous administration change their behavior differently than judges hired under the current administration? If Trump-appointed judges became more lenient specifically under Biden</w:t>
      </w:r>
      <w:r w:rsidR="0052757B">
        <w:t xml:space="preserve"> </w:t>
      </w:r>
      <w:r>
        <w:t>by more than Obama-appointed judges did</w:t>
      </w:r>
      <w:r w:rsidR="0052757B">
        <w:t xml:space="preserve"> </w:t>
      </w:r>
      <w:r>
        <w:t>that would support the theory that Trump judges were in some sense "responding" to the change in political environment, not merely executing timeless policy preferences.</w:t>
      </w:r>
    </w:p>
    <w:p w14:paraId="294981A9" w14:textId="77777777" w:rsidR="00D76C6E" w:rsidRDefault="00D76C6E" w:rsidP="00D76C6E">
      <w:pPr>
        <w:spacing w:line="480" w:lineRule="auto"/>
        <w:ind w:firstLine="720"/>
      </w:pPr>
      <w:r>
        <w:t>A critical feature of this design is what it controls for. By including judge fixed effects, I hold constant everything that does not change over time within a judge's career—her ideological priors, her prior employment background, her gender, and any other time-invariant characteristics. By including court-by-month fixed effects, I hold constant everything that affected all judges in a given court during a given month—local docket surges, court-specific implementation of DHS enforcement memos, and any other local shocks. What is left, after these controls, is the part of the outcome variance that is specifically attributable to being a Trump-cohort judge facing a Biden-administration policy environment.</w:t>
      </w:r>
    </w:p>
    <w:p w14:paraId="03FFF4E2" w14:textId="77777777" w:rsidR="00D76C6E" w:rsidRDefault="00D76C6E" w:rsidP="00D76C6E">
      <w:pPr>
        <w:spacing w:line="480" w:lineRule="auto"/>
        <w:ind w:firstLine="720"/>
      </w:pPr>
      <w:r>
        <w:t xml:space="preserve">The parallel-trends assumption is the key identifying assumption of the triple-difference design: in the absence of the Biden administration taking office, Trump-cohort judges would </w:t>
      </w:r>
      <w:r>
        <w:lastRenderedPageBreak/>
        <w:t>have followed the same time trend as non-Trump-cohort judges.</w:t>
      </w:r>
      <w:r>
        <w:rPr>
          <w:rStyle w:val="FootnoteReference"/>
          <w:rFonts w:eastAsiaTheme="majorEastAsia"/>
        </w:rPr>
        <w:footnoteReference w:id="116"/>
      </w:r>
      <w:r>
        <w:t xml:space="preserve"> This assumption cannot be directly tested. However, I present an event-study pre-trend check, plotting monthly cohort-by-month interaction coefficients in the period before each presidential transition. A flat pre-trend provides supportive (though not definitive) evidence for the assumption.</w:t>
      </w:r>
      <w:r>
        <w:rPr>
          <w:rStyle w:val="FootnoteReference"/>
          <w:rFonts w:eastAsiaTheme="majorEastAsia"/>
        </w:rPr>
        <w:footnoteReference w:id="117"/>
      </w:r>
    </w:p>
    <w:p w14:paraId="0D623654" w14:textId="77777777" w:rsidR="00D76C6E" w:rsidRDefault="00D76C6E" w:rsidP="00D76C6E">
      <w:pPr>
        <w:spacing w:before="360" w:after="120" w:line="480" w:lineRule="auto"/>
      </w:pPr>
      <w:r>
        <w:rPr>
          <w:b/>
          <w:bCs/>
          <w:i/>
          <w:iCs/>
        </w:rPr>
        <w:t>C. Treatment Variables and Period Definitions</w:t>
      </w:r>
    </w:p>
    <w:p w14:paraId="0BCAFF26" w14:textId="77777777" w:rsidR="00D76C6E" w:rsidRDefault="00D76C6E" w:rsidP="00D76C6E">
      <w:pPr>
        <w:spacing w:line="480" w:lineRule="auto"/>
        <w:ind w:firstLine="720"/>
      </w:pPr>
      <w:r>
        <w:t>Judge cohorts are defined based on the appointing Attorney General and the associated presidential administration. Obama appointees are IJs sworn in between January 20, 2009, and January 19, 2017. Trump 1 appointees are those sworn in between January 20, 2017, and January 19, 2021. Biden appointees were sworn in between January 20, 2021, and January 19, 2025. Trump 2 appointees are those sworn in on or after January 20, 2025.</w:t>
      </w:r>
    </w:p>
    <w:p w14:paraId="05AB04FD" w14:textId="7EA9B532" w:rsidR="00D76C6E" w:rsidRDefault="00D76C6E" w:rsidP="00D76C6E">
      <w:pPr>
        <w:spacing w:line="480" w:lineRule="auto"/>
        <w:ind w:firstLine="720"/>
      </w:pPr>
      <w:r>
        <w:t xml:space="preserve">Presidential era indicators are defined based on the date of each decision. The Trump </w:t>
      </w:r>
      <w:r w:rsidR="000F5C01">
        <w:t>I</w:t>
      </w:r>
      <w:r>
        <w:t xml:space="preserve"> period runs from January 20, 2017, through January 19, 2021; the Biden period from January 20, 2021, through January 19, 2025; and the Trump </w:t>
      </w:r>
      <w:r w:rsidR="000F5C01">
        <w:t>II</w:t>
      </w:r>
      <w:r>
        <w:t xml:space="preserve"> period from January 20, 2025, onward. The Trump 1 period serves as the baseline in most specifications. For older appointees—those appointed under Clinton, Bush I, or earlier—the same era coding applies.</w:t>
      </w:r>
      <w:r>
        <w:rPr>
          <w:rStyle w:val="FootnoteReference"/>
          <w:rFonts w:eastAsiaTheme="majorEastAsia"/>
        </w:rPr>
        <w:footnoteReference w:id="118"/>
      </w:r>
    </w:p>
    <w:p w14:paraId="0CEB0986" w14:textId="4D639449" w:rsidR="00D76C6E" w:rsidRDefault="00D76C6E" w:rsidP="00D76C6E">
      <w:pPr>
        <w:spacing w:line="480" w:lineRule="auto"/>
        <w:ind w:firstLine="720"/>
      </w:pPr>
      <w:r>
        <w:t>The core interaction term is TrumpCohort × BidenPeriod: this variable equals 1 for decisions made by Trump 1 appointees during the Biden administration and 0 otherwise. A statistically significant negative coefficient on this interaction term would indicate that Trump-</w:t>
      </w:r>
      <w:r>
        <w:lastRenderedPageBreak/>
        <w:t xml:space="preserve">cohort judges ordered removal at a lower rate during the Biden years, relative to their own Trump-era behavior and relative to the contemporaneous behavior of non-Trump judges (after controlling for case mix). An analogous interaction, </w:t>
      </w:r>
      <w:proofErr w:type="spellStart"/>
      <w:r>
        <w:t>TrumpCohort</w:t>
      </w:r>
      <w:proofErr w:type="spellEnd"/>
      <w:r>
        <w:t xml:space="preserve"> × </w:t>
      </w:r>
      <w:proofErr w:type="spellStart"/>
      <w:r>
        <w:t>Trump</w:t>
      </w:r>
      <w:r w:rsidR="000F5C01">
        <w:t>II</w:t>
      </w:r>
      <w:r>
        <w:t>Period</w:t>
      </w:r>
      <w:proofErr w:type="spellEnd"/>
      <w:r>
        <w:t>, captures any reversal of that pattern under the second Trump administration.</w:t>
      </w:r>
    </w:p>
    <w:p w14:paraId="2FD90238" w14:textId="77777777" w:rsidR="00D76C6E" w:rsidRDefault="00D76C6E" w:rsidP="00D76C6E">
      <w:pPr>
        <w:spacing w:before="360" w:after="120" w:line="480" w:lineRule="auto"/>
        <w:rPr>
          <w:b/>
          <w:bCs/>
          <w:i/>
          <w:iCs/>
        </w:rPr>
      </w:pPr>
      <w:r>
        <w:rPr>
          <w:b/>
          <w:bCs/>
          <w:i/>
          <w:iCs/>
        </w:rPr>
        <w:t>D. Model 1: Cross-Sectional Cohort Differences</w:t>
      </w:r>
    </w:p>
    <w:p w14:paraId="48CCAE59" w14:textId="0333F927" w:rsidR="009C30EE" w:rsidRDefault="009C30EE" w:rsidP="003E71BF">
      <w:pPr>
        <w:pStyle w:val="NormalWeb"/>
        <w:spacing w:line="480" w:lineRule="auto"/>
        <w:ind w:firstLine="720"/>
        <w:rPr>
          <w:color w:val="000000"/>
        </w:rPr>
      </w:pPr>
      <w:r>
        <w:rPr>
          <w:color w:val="000000"/>
        </w:rPr>
        <w:t>Table 1 estimates baseline differences in removal outcomes across appointment cohorts and presidential administrations using a linear probability model. The specification includes indicators for appointment cohort and presidential era, along with a rich set of case-level and judge-level controls. In later columns, the model also incorporates court-level fixed effects.</w:t>
      </w:r>
    </w:p>
    <w:p w14:paraId="6F496100" w14:textId="77777777" w:rsidR="009C30EE" w:rsidRDefault="009C30EE" w:rsidP="009C30EE">
      <w:pPr>
        <w:pStyle w:val="NormalWeb"/>
        <w:spacing w:line="480" w:lineRule="auto"/>
        <w:rPr>
          <w:color w:val="000000"/>
        </w:rPr>
      </w:pPr>
      <w:r>
        <w:rPr>
          <w:color w:val="000000"/>
        </w:rPr>
        <w:t>Formally, the model takes the form:</w:t>
      </w:r>
    </w:p>
    <w:p w14:paraId="6D1B2094" w14:textId="4C36A188" w:rsidR="009C30EE" w:rsidRDefault="00000000" w:rsidP="009C30EE">
      <w:pPr>
        <w:spacing w:line="480" w:lineRule="auto"/>
      </w:pPr>
      <m:oMathPara>
        <m:oMath>
          <m:sSub>
            <m:sSubPr>
              <m:ctrlPr>
                <w:rPr>
                  <w:rFonts w:ascii="Cambria Math" w:hAnsi="Cambria Math"/>
                </w:rPr>
              </m:ctrlPr>
            </m:sSubPr>
            <m:e>
              <m:r>
                <w:rPr>
                  <w:rFonts w:ascii="Cambria Math" w:hAnsi="Cambria Math"/>
                </w:rPr>
                <m:t>Y</m:t>
              </m:r>
            </m:e>
            <m:sub>
              <m:r>
                <w:rPr>
                  <w:rFonts w:ascii="Cambria Math" w:hAnsi="Cambria Math"/>
                </w:rPr>
                <m:t>ijct</m:t>
              </m:r>
            </m:sub>
          </m:sSub>
          <m:r>
            <w:rPr>
              <w:rFonts w:ascii="Cambria Math" w:hAnsi="Cambria Math"/>
            </w:rPr>
            <m:t>=</m:t>
          </m:r>
          <m:nary>
            <m:naryPr>
              <m:chr m:val="∑"/>
              <m:limLoc m:val="undOvr"/>
              <m:grow m:val="1"/>
              <m:supHide m:val="1"/>
              <m:ctrlPr>
                <w:rPr>
                  <w:rFonts w:ascii="Cambria Math" w:hAnsi="Cambria Math"/>
                </w:rPr>
              </m:ctrlPr>
            </m:naryPr>
            <m:sub>
              <m:r>
                <w:rPr>
                  <w:rFonts w:ascii="Cambria Math" w:hAnsi="Cambria Math"/>
                </w:rPr>
                <m:t>k</m:t>
              </m:r>
            </m:sub>
            <m:sup/>
            <m:e/>
          </m:nary>
          <m:sSub>
            <m:sSubPr>
              <m:ctrlPr>
                <w:rPr>
                  <w:rFonts w:ascii="Cambria Math" w:hAnsi="Cambria Math"/>
                </w:rPr>
              </m:ctrlPr>
            </m:sSubPr>
            <m:e>
              <m:r>
                <w:rPr>
                  <w:rFonts w:ascii="Cambria Math" w:hAnsi="Cambria Math"/>
                </w:rPr>
                <m:t>θ</m:t>
              </m:r>
            </m:e>
            <m:sub>
              <m:r>
                <w:rPr>
                  <w:rFonts w:ascii="Cambria Math" w:hAnsi="Cambria Math"/>
                </w:rPr>
                <m:t>k</m:t>
              </m:r>
            </m:sub>
          </m:sSub>
          <m:r>
            <m:rPr>
              <m:sty m:val="b"/>
            </m:rPr>
            <w:rPr>
              <w:rFonts w:ascii="Cambria Math" w:hAnsi="Cambria Math"/>
            </w:rPr>
            <m:t>1</m:t>
          </m:r>
          <m:r>
            <w:rPr>
              <w:rFonts w:ascii="Cambria Math" w:hAnsi="Cambria Math"/>
            </w:rPr>
            <m:t>[</m:t>
          </m:r>
          <m:r>
            <m:rPr>
              <m:nor/>
            </m:rPr>
            <m:t>cohort</m:t>
          </m:r>
          <m:r>
            <w:rPr>
              <w:rFonts w:ascii="Cambria Math" w:hAnsi="Cambria Math"/>
            </w:rPr>
            <m:t>=k]+</m:t>
          </m:r>
          <m:nary>
            <m:naryPr>
              <m:chr m:val="∑"/>
              <m:limLoc m:val="undOvr"/>
              <m:grow m:val="1"/>
              <m:supHide m:val="1"/>
              <m:ctrlPr>
                <w:rPr>
                  <w:rFonts w:ascii="Cambria Math" w:hAnsi="Cambria Math"/>
                </w:rPr>
              </m:ctrlPr>
            </m:naryPr>
            <m:sub>
              <m:r>
                <w:rPr>
                  <w:rFonts w:ascii="Cambria Math" w:hAnsi="Cambria Math"/>
                </w:rPr>
                <m:t>e</m:t>
              </m:r>
            </m:sub>
            <m:sup/>
            <m:e/>
          </m:nary>
          <m:sSub>
            <m:sSubPr>
              <m:ctrlPr>
                <w:rPr>
                  <w:rFonts w:ascii="Cambria Math" w:hAnsi="Cambria Math"/>
                </w:rPr>
              </m:ctrlPr>
            </m:sSubPr>
            <m:e>
              <m:r>
                <w:rPr>
                  <w:rFonts w:ascii="Cambria Math" w:hAnsi="Cambria Math"/>
                </w:rPr>
                <m:t>λ</m:t>
              </m:r>
            </m:e>
            <m:sub>
              <m:r>
                <w:rPr>
                  <w:rFonts w:ascii="Cambria Math" w:hAnsi="Cambria Math"/>
                </w:rPr>
                <m:t>e</m:t>
              </m:r>
            </m:sub>
          </m:sSub>
          <m:r>
            <m:rPr>
              <m:sty m:val="b"/>
            </m:rPr>
            <w:rPr>
              <w:rFonts w:ascii="Cambria Math" w:hAnsi="Cambria Math"/>
            </w:rPr>
            <m:t>1</m:t>
          </m:r>
          <m:r>
            <w:rPr>
              <w:rFonts w:ascii="Cambria Math" w:hAnsi="Cambria Math"/>
            </w:rPr>
            <m:t>[</m:t>
          </m:r>
          <m:r>
            <m:rPr>
              <m:nor/>
            </m:rPr>
            <m:t>era</m:t>
          </m:r>
          <m:r>
            <w:rPr>
              <w:rFonts w:ascii="Cambria Math" w:hAnsi="Cambria Math"/>
            </w:rPr>
            <m:t>=e]+</m:t>
          </m:r>
          <m:sSubSup>
            <m:sSubSupPr>
              <m:ctrlPr>
                <w:rPr>
                  <w:rFonts w:ascii="Cambria Math" w:hAnsi="Cambria Math"/>
                </w:rPr>
              </m:ctrlPr>
            </m:sSubSupPr>
            <m:e>
              <m:r>
                <w:rPr>
                  <w:rFonts w:ascii="Cambria Math" w:hAnsi="Cambria Math"/>
                </w:rPr>
                <m:t>X</m:t>
              </m:r>
            </m:e>
            <m:sub>
              <m:r>
                <w:rPr>
                  <w:rFonts w:ascii="Cambria Math" w:hAnsi="Cambria Math"/>
                </w:rPr>
                <m:t>i</m:t>
              </m:r>
            </m:sub>
            <m:sup>
              <m:r>
                <m:rPr>
                  <m:sty m:val="p"/>
                </m:rPr>
                <w:rPr>
                  <w:rFonts w:ascii="Cambria Math" w:hAnsi="Cambria Math"/>
                </w:rPr>
                <m:t>'</m:t>
              </m:r>
            </m:sup>
          </m:sSubSup>
          <m:r>
            <w:rPr>
              <w:rFonts w:ascii="Cambria Math" w:hAnsi="Cambria Math"/>
            </w:rPr>
            <m:t>δ+</m:t>
          </m:r>
          <m:sSub>
            <m:sSubPr>
              <m:ctrlPr>
                <w:rPr>
                  <w:rFonts w:ascii="Cambria Math" w:hAnsi="Cambria Math"/>
                </w:rPr>
              </m:ctrlPr>
            </m:sSubPr>
            <m:e>
              <m:r>
                <w:rPr>
                  <w:rFonts w:ascii="Cambria Math" w:hAnsi="Cambria Math"/>
                </w:rPr>
                <m:t>α</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ijct</m:t>
              </m:r>
            </m:sub>
          </m:sSub>
        </m:oMath>
      </m:oMathPara>
    </w:p>
    <w:p w14:paraId="44BDB70A" w14:textId="0DBE2403" w:rsidR="009C30EE" w:rsidRDefault="009C30EE" w:rsidP="009C30EE">
      <w:pPr>
        <w:pStyle w:val="NormalWeb"/>
        <w:spacing w:line="480" w:lineRule="auto"/>
        <w:rPr>
          <w:color w:val="000000"/>
        </w:rPr>
      </w:pPr>
      <w:r>
        <w:rPr>
          <w:color w:val="000000"/>
        </w:rPr>
        <w:t>where</w:t>
      </w:r>
      <w:r>
        <w:rPr>
          <w:rStyle w:val="apple-converted-space"/>
          <w:color w:val="000000"/>
        </w:rPr>
        <w:t> </w:t>
      </w:r>
      <m:oMath>
        <m:sSub>
          <m:sSubPr>
            <m:ctrlPr>
              <w:rPr>
                <w:rFonts w:ascii="Cambria Math" w:hAnsi="Cambria Math"/>
              </w:rPr>
            </m:ctrlPr>
          </m:sSubPr>
          <m:e>
            <m:r>
              <w:rPr>
                <w:rFonts w:ascii="Cambria Math" w:hAnsi="Cambria Math"/>
              </w:rPr>
              <m:t>Y</m:t>
            </m:r>
          </m:e>
          <m:sub>
            <m:r>
              <w:rPr>
                <w:rFonts w:ascii="Cambria Math" w:hAnsi="Cambria Math"/>
              </w:rPr>
              <m:t>ijct</m:t>
            </m:r>
          </m:sub>
        </m:sSub>
      </m:oMath>
      <w:r>
        <w:rPr>
          <w:rStyle w:val="apple-converted-space"/>
          <w:color w:val="000000"/>
        </w:rPr>
        <w:t> </w:t>
      </w:r>
      <w:r>
        <w:rPr>
          <w:color w:val="000000"/>
        </w:rPr>
        <w:t>is an indicator for whether case</w:t>
      </w:r>
      <w:r>
        <w:rPr>
          <w:rStyle w:val="apple-converted-space"/>
          <w:color w:val="000000"/>
        </w:rPr>
        <w:t> </w:t>
      </w:r>
      <m:oMath>
        <m:r>
          <w:rPr>
            <w:rFonts w:ascii="Cambria Math" w:hAnsi="Cambria Math"/>
          </w:rPr>
          <m:t>i</m:t>
        </m:r>
      </m:oMath>
      <w:r>
        <w:rPr>
          <w:rStyle w:val="apple-converted-space"/>
          <w:color w:val="000000"/>
        </w:rPr>
        <w:t> </w:t>
      </w:r>
      <w:r>
        <w:rPr>
          <w:color w:val="000000"/>
        </w:rPr>
        <w:t>results in a removal order,</w:t>
      </w:r>
      <w:r>
        <w:rPr>
          <w:rStyle w:val="apple-converted-space"/>
          <w:color w:val="000000"/>
        </w:rPr>
        <w:t> </w:t>
      </w:r>
      <m:oMath>
        <m:sSub>
          <m:sSubPr>
            <m:ctrlPr>
              <w:rPr>
                <w:rFonts w:ascii="Cambria Math" w:hAnsi="Cambria Math"/>
              </w:rPr>
            </m:ctrlPr>
          </m:sSubPr>
          <m:e>
            <m:r>
              <w:rPr>
                <w:rFonts w:ascii="Cambria Math" w:hAnsi="Cambria Math"/>
              </w:rPr>
              <m:t>X</m:t>
            </m:r>
          </m:e>
          <m:sub>
            <m:r>
              <w:rPr>
                <w:rFonts w:ascii="Cambria Math" w:hAnsi="Cambria Math"/>
              </w:rPr>
              <m:t>i</m:t>
            </m:r>
          </m:sub>
        </m:sSub>
      </m:oMath>
      <w:r>
        <w:rPr>
          <w:rStyle w:val="apple-converted-space"/>
          <w:color w:val="000000"/>
        </w:rPr>
        <w:t> </w:t>
      </w:r>
      <w:r>
        <w:rPr>
          <w:color w:val="000000"/>
        </w:rPr>
        <w:t>includes case-level and judge-level controls, and</w:t>
      </w:r>
      <w:r>
        <w:rPr>
          <w:rStyle w:val="apple-converted-space"/>
          <w:color w:val="000000"/>
        </w:rPr>
        <w:t> </w:t>
      </w:r>
      <m:oMath>
        <m:sSub>
          <m:sSubPr>
            <m:ctrlPr>
              <w:rPr>
                <w:rFonts w:ascii="Cambria Math" w:hAnsi="Cambria Math"/>
              </w:rPr>
            </m:ctrlPr>
          </m:sSubPr>
          <m:e>
            <m:r>
              <w:rPr>
                <w:rFonts w:ascii="Cambria Math" w:hAnsi="Cambria Math"/>
              </w:rPr>
              <m:t>α</m:t>
            </m:r>
          </m:e>
          <m:sub>
            <m:r>
              <w:rPr>
                <w:rFonts w:ascii="Cambria Math" w:hAnsi="Cambria Math"/>
              </w:rPr>
              <m:t>c</m:t>
            </m:r>
          </m:sub>
        </m:sSub>
      </m:oMath>
      <w:r>
        <w:rPr>
          <w:rStyle w:val="apple-converted-space"/>
          <w:color w:val="000000"/>
        </w:rPr>
        <w:t> </w:t>
      </w:r>
      <w:r>
        <w:rPr>
          <w:color w:val="000000"/>
        </w:rPr>
        <w:t>represents court fixed effects. This specification pools all observations across eras and allows for a direct comparison of cohort and era effects within a unified framework.</w:t>
      </w:r>
    </w:p>
    <w:p w14:paraId="6CEF55DE" w14:textId="77777777" w:rsidR="0052757B" w:rsidRDefault="0052757B" w:rsidP="009C30EE">
      <w:pPr>
        <w:pStyle w:val="NormalWeb"/>
        <w:spacing w:line="480" w:lineRule="auto"/>
        <w:rPr>
          <w:color w:val="000000"/>
        </w:rPr>
      </w:pPr>
    </w:p>
    <w:p w14:paraId="7A18B7E5" w14:textId="77777777" w:rsidR="0052757B" w:rsidRDefault="0052757B" w:rsidP="009C30EE">
      <w:pPr>
        <w:pStyle w:val="NormalWeb"/>
        <w:spacing w:line="480" w:lineRule="auto"/>
        <w:rPr>
          <w:color w:val="000000"/>
        </w:rPr>
      </w:pPr>
    </w:p>
    <w:p w14:paraId="264276F6" w14:textId="77777777" w:rsidR="0052757B" w:rsidRDefault="0052757B" w:rsidP="009C30EE">
      <w:pPr>
        <w:pStyle w:val="NormalWeb"/>
        <w:spacing w:line="480" w:lineRule="auto"/>
        <w:rPr>
          <w:color w:val="000000"/>
        </w:rPr>
      </w:pPr>
    </w:p>
    <w:p w14:paraId="64D7AD83" w14:textId="6A76831B" w:rsidR="009C30EE" w:rsidRDefault="009C30EE" w:rsidP="0098727F">
      <w:pPr>
        <w:pStyle w:val="NormalWeb"/>
        <w:jc w:val="center"/>
        <w:rPr>
          <w:rFonts w:eastAsiaTheme="minorHAnsi"/>
          <w14:ligatures w14:val="standardContextual"/>
        </w:rPr>
      </w:pPr>
      <w:r>
        <w:rPr>
          <w:b/>
          <w:bCs/>
          <w:color w:val="000000"/>
        </w:rPr>
        <w:lastRenderedPageBreak/>
        <w:t>Table 1: Removal Outcomes by Judge Appointment Cohort and Presidential Administration, with Case and Judge Controls</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548"/>
        <w:gridCol w:w="1440"/>
        <w:gridCol w:w="1440"/>
        <w:gridCol w:w="1440"/>
        <w:gridCol w:w="1440"/>
        <w:gridCol w:w="1440"/>
      </w:tblGrid>
      <w:tr w:rsidR="00DE143A" w14:paraId="21DBC35B" w14:textId="77777777">
        <w:tc>
          <w:tcPr>
            <w:tcW w:w="1548" w:type="dxa"/>
            <w:tcBorders>
              <w:top w:val="single" w:sz="4" w:space="0" w:color="BFBFBF"/>
              <w:left w:val="single" w:sz="8" w:space="0" w:color="BFBFBF"/>
              <w:bottom w:val="single" w:sz="8" w:space="0" w:color="BFBFBF"/>
              <w:right w:val="single" w:sz="8" w:space="0" w:color="BFBFBF"/>
            </w:tcBorders>
            <w:tcMar>
              <w:top w:w="100" w:type="nil"/>
              <w:right w:w="100" w:type="nil"/>
            </w:tcMar>
            <w:vAlign w:val="center"/>
          </w:tcPr>
          <w:p w14:paraId="3A98A4C7" w14:textId="77777777" w:rsidR="00DE143A" w:rsidRDefault="00DE143A">
            <w:pPr>
              <w:autoSpaceDE w:val="0"/>
              <w:autoSpaceDN w:val="0"/>
              <w:adjustRightInd w:val="0"/>
              <w:rPr>
                <w:rFonts w:eastAsiaTheme="minorHAnsi"/>
                <w14:ligatures w14:val="standardContextual"/>
              </w:rPr>
            </w:pPr>
          </w:p>
        </w:tc>
        <w:tc>
          <w:tcPr>
            <w:tcW w:w="1440" w:type="dxa"/>
            <w:tcBorders>
              <w:top w:val="single" w:sz="4" w:space="0" w:color="BFBFBF"/>
              <w:left w:val="single" w:sz="8" w:space="0" w:color="BFBFBF"/>
              <w:bottom w:val="single" w:sz="8" w:space="0" w:color="BFBFBF"/>
              <w:right w:val="single" w:sz="8" w:space="0" w:color="BFBFBF"/>
            </w:tcBorders>
            <w:tcMar>
              <w:top w:w="100" w:type="nil"/>
              <w:right w:w="100" w:type="nil"/>
            </w:tcMar>
            <w:vAlign w:val="center"/>
          </w:tcPr>
          <w:p w14:paraId="0CF64B73" w14:textId="34F8BE11" w:rsidR="00DE143A" w:rsidRPr="0052757B" w:rsidRDefault="00DE143A">
            <w:pPr>
              <w:autoSpaceDE w:val="0"/>
              <w:autoSpaceDN w:val="0"/>
              <w:adjustRightInd w:val="0"/>
              <w:jc w:val="center"/>
              <w:rPr>
                <w:rFonts w:eastAsiaTheme="minorHAnsi"/>
                <w:b/>
                <w:bCs/>
                <w14:ligatures w14:val="standardContextual"/>
              </w:rPr>
            </w:pPr>
            <w:r w:rsidRPr="0052757B">
              <w:rPr>
                <w:rFonts w:eastAsiaTheme="minorHAnsi"/>
                <w:b/>
                <w:bCs/>
                <w14:ligatures w14:val="standardContextual"/>
              </w:rPr>
              <w:t>(1)</w:t>
            </w:r>
            <w:r w:rsidR="003E71BF">
              <w:rPr>
                <w:rFonts w:eastAsiaTheme="minorHAnsi"/>
                <w:b/>
                <w:bCs/>
                <w14:ligatures w14:val="standardContextual"/>
              </w:rPr>
              <w:t xml:space="preserve"> Appoint Only</w:t>
            </w:r>
          </w:p>
        </w:tc>
        <w:tc>
          <w:tcPr>
            <w:tcW w:w="1440" w:type="dxa"/>
            <w:tcBorders>
              <w:top w:val="single" w:sz="4" w:space="0" w:color="BFBFBF"/>
              <w:left w:val="single" w:sz="8" w:space="0" w:color="BFBFBF"/>
              <w:bottom w:val="single" w:sz="8" w:space="0" w:color="BFBFBF"/>
              <w:right w:val="single" w:sz="8" w:space="0" w:color="BFBFBF"/>
            </w:tcBorders>
            <w:tcMar>
              <w:top w:w="100" w:type="nil"/>
              <w:right w:w="100" w:type="nil"/>
            </w:tcMar>
            <w:vAlign w:val="center"/>
          </w:tcPr>
          <w:p w14:paraId="5FB9367E" w14:textId="6D9623AB" w:rsidR="00DE143A" w:rsidRPr="0052757B" w:rsidRDefault="00DE143A">
            <w:pPr>
              <w:autoSpaceDE w:val="0"/>
              <w:autoSpaceDN w:val="0"/>
              <w:adjustRightInd w:val="0"/>
              <w:jc w:val="center"/>
              <w:rPr>
                <w:rFonts w:eastAsiaTheme="minorHAnsi"/>
                <w:b/>
                <w:bCs/>
                <w14:ligatures w14:val="standardContextual"/>
              </w:rPr>
            </w:pPr>
            <w:r w:rsidRPr="0052757B">
              <w:rPr>
                <w:rFonts w:eastAsiaTheme="minorHAnsi"/>
                <w:b/>
                <w:bCs/>
                <w14:ligatures w14:val="standardContextual"/>
              </w:rPr>
              <w:t>(2)</w:t>
            </w:r>
            <w:r w:rsidR="003E71BF">
              <w:rPr>
                <w:rFonts w:eastAsiaTheme="minorHAnsi"/>
                <w:b/>
                <w:bCs/>
                <w14:ligatures w14:val="standardContextual"/>
              </w:rPr>
              <w:t xml:space="preserve"> Appoint +Era</w:t>
            </w:r>
          </w:p>
        </w:tc>
        <w:tc>
          <w:tcPr>
            <w:tcW w:w="1440" w:type="dxa"/>
            <w:tcBorders>
              <w:top w:val="single" w:sz="4" w:space="0" w:color="BFBFBF"/>
              <w:left w:val="single" w:sz="8" w:space="0" w:color="BFBFBF"/>
              <w:bottom w:val="single" w:sz="8" w:space="0" w:color="BFBFBF"/>
              <w:right w:val="single" w:sz="8" w:space="0" w:color="BFBFBF"/>
            </w:tcBorders>
            <w:tcMar>
              <w:top w:w="100" w:type="nil"/>
              <w:right w:w="100" w:type="nil"/>
            </w:tcMar>
            <w:vAlign w:val="center"/>
          </w:tcPr>
          <w:p w14:paraId="5F6C770F" w14:textId="4F8C0BE0" w:rsidR="00DE143A" w:rsidRPr="0052757B" w:rsidRDefault="00DE143A">
            <w:pPr>
              <w:autoSpaceDE w:val="0"/>
              <w:autoSpaceDN w:val="0"/>
              <w:adjustRightInd w:val="0"/>
              <w:jc w:val="center"/>
              <w:rPr>
                <w:rFonts w:eastAsiaTheme="minorHAnsi"/>
                <w:b/>
                <w:bCs/>
                <w14:ligatures w14:val="standardContextual"/>
              </w:rPr>
            </w:pPr>
            <w:r w:rsidRPr="0052757B">
              <w:rPr>
                <w:rFonts w:eastAsiaTheme="minorHAnsi"/>
                <w:b/>
                <w:bCs/>
                <w14:ligatures w14:val="standardContextual"/>
              </w:rPr>
              <w:t>(3)</w:t>
            </w:r>
            <w:r w:rsidR="003E71BF">
              <w:rPr>
                <w:rFonts w:eastAsiaTheme="minorHAnsi"/>
                <w:b/>
                <w:bCs/>
                <w14:ligatures w14:val="standardContextual"/>
              </w:rPr>
              <w:t xml:space="preserve"> Appoint+ </w:t>
            </w:r>
            <w:proofErr w:type="spellStart"/>
            <w:r w:rsidR="003E71BF">
              <w:rPr>
                <w:rFonts w:eastAsiaTheme="minorHAnsi"/>
                <w:b/>
                <w:bCs/>
                <w14:ligatures w14:val="standardContextual"/>
              </w:rPr>
              <w:t>Era+Case</w:t>
            </w:r>
            <w:proofErr w:type="spellEnd"/>
          </w:p>
        </w:tc>
        <w:tc>
          <w:tcPr>
            <w:tcW w:w="1440" w:type="dxa"/>
            <w:tcBorders>
              <w:top w:val="single" w:sz="4" w:space="0" w:color="BFBFBF"/>
              <w:left w:val="single" w:sz="8" w:space="0" w:color="BFBFBF"/>
              <w:bottom w:val="single" w:sz="8" w:space="0" w:color="BFBFBF"/>
              <w:right w:val="single" w:sz="8" w:space="0" w:color="BFBFBF"/>
            </w:tcBorders>
            <w:tcMar>
              <w:top w:w="100" w:type="nil"/>
              <w:right w:w="100" w:type="nil"/>
            </w:tcMar>
            <w:vAlign w:val="center"/>
          </w:tcPr>
          <w:p w14:paraId="5F205AE1" w14:textId="4D238A4A" w:rsidR="00DE143A" w:rsidRPr="0052757B" w:rsidRDefault="00DE143A">
            <w:pPr>
              <w:autoSpaceDE w:val="0"/>
              <w:autoSpaceDN w:val="0"/>
              <w:adjustRightInd w:val="0"/>
              <w:jc w:val="center"/>
              <w:rPr>
                <w:rFonts w:eastAsiaTheme="minorHAnsi"/>
                <w:b/>
                <w:bCs/>
                <w14:ligatures w14:val="standardContextual"/>
              </w:rPr>
            </w:pPr>
            <w:r w:rsidRPr="0052757B">
              <w:rPr>
                <w:rFonts w:eastAsiaTheme="minorHAnsi"/>
                <w:b/>
                <w:bCs/>
                <w14:ligatures w14:val="standardContextual"/>
              </w:rPr>
              <w:t>(4)</w:t>
            </w:r>
            <w:r w:rsidR="003E71BF">
              <w:rPr>
                <w:rFonts w:eastAsiaTheme="minorHAnsi"/>
                <w:b/>
                <w:bCs/>
                <w14:ligatures w14:val="standardContextual"/>
              </w:rPr>
              <w:t xml:space="preserve"> Appoint+ </w:t>
            </w:r>
            <w:proofErr w:type="spellStart"/>
            <w:r w:rsidR="003E71BF">
              <w:rPr>
                <w:rFonts w:eastAsiaTheme="minorHAnsi"/>
                <w:b/>
                <w:bCs/>
                <w14:ligatures w14:val="standardContextual"/>
              </w:rPr>
              <w:t>Era+Case+Judge</w:t>
            </w:r>
            <w:proofErr w:type="spellEnd"/>
          </w:p>
        </w:tc>
        <w:tc>
          <w:tcPr>
            <w:tcW w:w="1440" w:type="dxa"/>
            <w:tcBorders>
              <w:top w:val="single" w:sz="4" w:space="0" w:color="BFBFBF"/>
              <w:left w:val="single" w:sz="8" w:space="0" w:color="BFBFBF"/>
              <w:bottom w:val="single" w:sz="8" w:space="0" w:color="BFBFBF"/>
              <w:right w:val="single" w:sz="8" w:space="0" w:color="BFBFBF"/>
            </w:tcBorders>
            <w:tcMar>
              <w:top w:w="100" w:type="nil"/>
              <w:right w:w="100" w:type="nil"/>
            </w:tcMar>
            <w:vAlign w:val="center"/>
          </w:tcPr>
          <w:p w14:paraId="774B612C" w14:textId="65A6D488" w:rsidR="00DE143A" w:rsidRPr="0052757B" w:rsidRDefault="00DE143A">
            <w:pPr>
              <w:autoSpaceDE w:val="0"/>
              <w:autoSpaceDN w:val="0"/>
              <w:adjustRightInd w:val="0"/>
              <w:jc w:val="center"/>
              <w:rPr>
                <w:rFonts w:eastAsiaTheme="minorHAnsi"/>
                <w:b/>
                <w:bCs/>
                <w14:ligatures w14:val="standardContextual"/>
              </w:rPr>
            </w:pPr>
            <w:r w:rsidRPr="0052757B">
              <w:rPr>
                <w:rFonts w:eastAsiaTheme="minorHAnsi"/>
                <w:b/>
                <w:bCs/>
                <w14:ligatures w14:val="standardContextual"/>
              </w:rPr>
              <w:t>(5)</w:t>
            </w:r>
            <w:r w:rsidR="00D74FB9">
              <w:rPr>
                <w:rFonts w:eastAsiaTheme="minorHAnsi"/>
                <w:b/>
                <w:bCs/>
                <w14:ligatures w14:val="standardContextual"/>
              </w:rPr>
              <w:t xml:space="preserve"> Appoint+ </w:t>
            </w:r>
            <w:proofErr w:type="spellStart"/>
            <w:r w:rsidR="00D74FB9">
              <w:rPr>
                <w:rFonts w:eastAsiaTheme="minorHAnsi"/>
                <w:b/>
                <w:bCs/>
                <w14:ligatures w14:val="standardContextual"/>
              </w:rPr>
              <w:t>Era+Case+Judge+Ct</w:t>
            </w:r>
            <w:proofErr w:type="spellEnd"/>
            <w:r w:rsidR="00D74FB9">
              <w:rPr>
                <w:rFonts w:eastAsiaTheme="minorHAnsi"/>
                <w:b/>
                <w:bCs/>
                <w14:ligatures w14:val="standardContextual"/>
              </w:rPr>
              <w:t xml:space="preserve"> Fixed</w:t>
            </w:r>
          </w:p>
        </w:tc>
      </w:tr>
      <w:tr w:rsidR="00DE143A" w14:paraId="724476CC"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6E242F8"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12FCD75" w14:textId="004F0366" w:rsidR="00DE143A" w:rsidRPr="0052757B" w:rsidRDefault="0052757B">
            <w:pPr>
              <w:autoSpaceDE w:val="0"/>
              <w:autoSpaceDN w:val="0"/>
              <w:adjustRightInd w:val="0"/>
              <w:jc w:val="center"/>
              <w:rPr>
                <w:rFonts w:eastAsiaTheme="minorHAnsi"/>
                <w:b/>
                <w:bCs/>
                <w14:ligatures w14:val="standardContextual"/>
              </w:rPr>
            </w:pPr>
            <w:r w:rsidRPr="0052757B">
              <w:rPr>
                <w:rFonts w:eastAsiaTheme="minorHAnsi"/>
                <w:b/>
                <w:bCs/>
                <w14:ligatures w14:val="standardContextual"/>
              </w:rPr>
              <w:t>Remove</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1E9BF2C" w14:textId="693C7960" w:rsidR="00DE143A" w:rsidRPr="0052757B" w:rsidRDefault="0052757B">
            <w:pPr>
              <w:autoSpaceDE w:val="0"/>
              <w:autoSpaceDN w:val="0"/>
              <w:adjustRightInd w:val="0"/>
              <w:jc w:val="center"/>
              <w:rPr>
                <w:rFonts w:eastAsiaTheme="minorHAnsi"/>
                <w:b/>
                <w:bCs/>
                <w14:ligatures w14:val="standardContextual"/>
              </w:rPr>
            </w:pPr>
            <w:r w:rsidRPr="0052757B">
              <w:rPr>
                <w:rFonts w:eastAsiaTheme="minorHAnsi"/>
                <w:b/>
                <w:bCs/>
                <w14:ligatures w14:val="standardContextual"/>
              </w:rPr>
              <w:t>Remove</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F57C144" w14:textId="0DD5F35C" w:rsidR="00DE143A" w:rsidRPr="0052757B" w:rsidRDefault="0052757B">
            <w:pPr>
              <w:autoSpaceDE w:val="0"/>
              <w:autoSpaceDN w:val="0"/>
              <w:adjustRightInd w:val="0"/>
              <w:jc w:val="center"/>
              <w:rPr>
                <w:rFonts w:eastAsiaTheme="minorHAnsi"/>
                <w:b/>
                <w:bCs/>
                <w14:ligatures w14:val="standardContextual"/>
              </w:rPr>
            </w:pPr>
            <w:r w:rsidRPr="0052757B">
              <w:rPr>
                <w:rFonts w:eastAsiaTheme="minorHAnsi"/>
                <w:b/>
                <w:bCs/>
                <w14:ligatures w14:val="standardContextual"/>
              </w:rPr>
              <w:t>Remove</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49E3613" w14:textId="01E0D17D" w:rsidR="00DE143A" w:rsidRPr="0052757B" w:rsidRDefault="0052757B">
            <w:pPr>
              <w:autoSpaceDE w:val="0"/>
              <w:autoSpaceDN w:val="0"/>
              <w:adjustRightInd w:val="0"/>
              <w:jc w:val="center"/>
              <w:rPr>
                <w:rFonts w:eastAsiaTheme="minorHAnsi"/>
                <w:b/>
                <w:bCs/>
                <w14:ligatures w14:val="standardContextual"/>
              </w:rPr>
            </w:pPr>
            <w:r w:rsidRPr="0052757B">
              <w:rPr>
                <w:rFonts w:eastAsiaTheme="minorHAnsi"/>
                <w:b/>
                <w:bCs/>
                <w14:ligatures w14:val="standardContextual"/>
              </w:rPr>
              <w:t>Remove</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48D7813" w14:textId="01437637" w:rsidR="00DE143A" w:rsidRPr="0052757B" w:rsidRDefault="0052757B">
            <w:pPr>
              <w:autoSpaceDE w:val="0"/>
              <w:autoSpaceDN w:val="0"/>
              <w:adjustRightInd w:val="0"/>
              <w:jc w:val="center"/>
              <w:rPr>
                <w:rFonts w:eastAsiaTheme="minorHAnsi"/>
                <w:b/>
                <w:bCs/>
                <w14:ligatures w14:val="standardContextual"/>
              </w:rPr>
            </w:pPr>
            <w:r w:rsidRPr="0052757B">
              <w:rPr>
                <w:rFonts w:eastAsiaTheme="minorHAnsi"/>
                <w:b/>
                <w:bCs/>
                <w14:ligatures w14:val="standardContextual"/>
              </w:rPr>
              <w:t>Remove</w:t>
            </w:r>
          </w:p>
        </w:tc>
      </w:tr>
      <w:tr w:rsidR="00DE143A" w14:paraId="335D8CBB" w14:textId="77777777">
        <w:tblPrEx>
          <w:tblBorders>
            <w:top w:val="none" w:sz="0" w:space="0" w:color="auto"/>
          </w:tblBorders>
        </w:tblPrEx>
        <w:tc>
          <w:tcPr>
            <w:tcW w:w="1548" w:type="dxa"/>
            <w:tcBorders>
              <w:top w:val="single" w:sz="4" w:space="0" w:color="BFBFBF"/>
              <w:left w:val="single" w:sz="8" w:space="0" w:color="BFBFBF"/>
              <w:bottom w:val="single" w:sz="8" w:space="0" w:color="BFBFBF"/>
              <w:right w:val="single" w:sz="8" w:space="0" w:color="BFBFBF"/>
            </w:tcBorders>
            <w:tcMar>
              <w:top w:w="100" w:type="nil"/>
              <w:right w:w="100" w:type="nil"/>
            </w:tcMar>
            <w:vAlign w:val="center"/>
          </w:tcPr>
          <w:p w14:paraId="478E60BA" w14:textId="59641B51" w:rsidR="00DE143A" w:rsidRDefault="00DE143A">
            <w:pPr>
              <w:autoSpaceDE w:val="0"/>
              <w:autoSpaceDN w:val="0"/>
              <w:adjustRightInd w:val="0"/>
              <w:rPr>
                <w:rFonts w:eastAsiaTheme="minorHAnsi"/>
                <w14:ligatures w14:val="standardContextual"/>
              </w:rPr>
            </w:pPr>
            <w:r>
              <w:rPr>
                <w:rFonts w:eastAsiaTheme="minorHAnsi"/>
                <w14:ligatures w14:val="standardContextual"/>
              </w:rPr>
              <w:t>Bush I</w:t>
            </w:r>
            <w:r w:rsidR="0052757B">
              <w:rPr>
                <w:rFonts w:eastAsiaTheme="minorHAnsi"/>
                <w14:ligatures w14:val="standardContextual"/>
              </w:rPr>
              <w:t xml:space="preserve"> App.</w:t>
            </w:r>
          </w:p>
        </w:tc>
        <w:tc>
          <w:tcPr>
            <w:tcW w:w="1440" w:type="dxa"/>
            <w:tcBorders>
              <w:top w:val="single" w:sz="4" w:space="0" w:color="BFBFBF"/>
              <w:left w:val="single" w:sz="8" w:space="0" w:color="BFBFBF"/>
              <w:bottom w:val="single" w:sz="8" w:space="0" w:color="BFBFBF"/>
              <w:right w:val="single" w:sz="8" w:space="0" w:color="BFBFBF"/>
            </w:tcBorders>
            <w:tcMar>
              <w:top w:w="100" w:type="nil"/>
              <w:right w:w="100" w:type="nil"/>
            </w:tcMar>
            <w:vAlign w:val="center"/>
          </w:tcPr>
          <w:p w14:paraId="3C2199B6"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-0.041</w:t>
            </w:r>
          </w:p>
        </w:tc>
        <w:tc>
          <w:tcPr>
            <w:tcW w:w="1440" w:type="dxa"/>
            <w:tcBorders>
              <w:top w:val="single" w:sz="4" w:space="0" w:color="BFBFBF"/>
              <w:left w:val="single" w:sz="8" w:space="0" w:color="BFBFBF"/>
              <w:bottom w:val="single" w:sz="8" w:space="0" w:color="BFBFBF"/>
              <w:right w:val="single" w:sz="8" w:space="0" w:color="BFBFBF"/>
            </w:tcBorders>
            <w:tcMar>
              <w:top w:w="100" w:type="nil"/>
              <w:right w:w="100" w:type="nil"/>
            </w:tcMar>
            <w:vAlign w:val="center"/>
          </w:tcPr>
          <w:p w14:paraId="7012A24C"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-0.086</w:t>
            </w:r>
          </w:p>
        </w:tc>
        <w:tc>
          <w:tcPr>
            <w:tcW w:w="1440" w:type="dxa"/>
            <w:tcBorders>
              <w:top w:val="single" w:sz="4" w:space="0" w:color="BFBFBF"/>
              <w:left w:val="single" w:sz="8" w:space="0" w:color="BFBFBF"/>
              <w:bottom w:val="single" w:sz="8" w:space="0" w:color="BFBFBF"/>
              <w:right w:val="single" w:sz="8" w:space="0" w:color="BFBFBF"/>
            </w:tcBorders>
            <w:tcMar>
              <w:top w:w="100" w:type="nil"/>
              <w:right w:w="100" w:type="nil"/>
            </w:tcMar>
            <w:vAlign w:val="center"/>
          </w:tcPr>
          <w:p w14:paraId="15E92CE1"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-0.030</w:t>
            </w:r>
          </w:p>
        </w:tc>
        <w:tc>
          <w:tcPr>
            <w:tcW w:w="1440" w:type="dxa"/>
            <w:tcBorders>
              <w:top w:val="single" w:sz="4" w:space="0" w:color="BFBFBF"/>
              <w:left w:val="single" w:sz="8" w:space="0" w:color="BFBFBF"/>
              <w:bottom w:val="single" w:sz="8" w:space="0" w:color="BFBFBF"/>
              <w:right w:val="single" w:sz="8" w:space="0" w:color="BFBFBF"/>
            </w:tcBorders>
            <w:tcMar>
              <w:top w:w="100" w:type="nil"/>
              <w:right w:w="100" w:type="nil"/>
            </w:tcMar>
            <w:vAlign w:val="center"/>
          </w:tcPr>
          <w:p w14:paraId="2D6B838A"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0.160</w:t>
            </w:r>
            <w:r w:rsidRPr="003E71BF">
              <w:rPr>
                <w:rFonts w:eastAsiaTheme="minorHAnsi"/>
                <w:sz w:val="20"/>
                <w:szCs w:val="20"/>
                <w:vertAlign w:val="superscript"/>
                <w14:ligatures w14:val="standardContextual"/>
              </w:rPr>
              <w:t>***</w:t>
            </w:r>
          </w:p>
        </w:tc>
        <w:tc>
          <w:tcPr>
            <w:tcW w:w="1440" w:type="dxa"/>
            <w:tcBorders>
              <w:top w:val="single" w:sz="4" w:space="0" w:color="BFBFBF"/>
              <w:left w:val="single" w:sz="8" w:space="0" w:color="BFBFBF"/>
              <w:bottom w:val="single" w:sz="8" w:space="0" w:color="BFBFBF"/>
              <w:right w:val="single" w:sz="8" w:space="0" w:color="BFBFBF"/>
            </w:tcBorders>
            <w:tcMar>
              <w:top w:w="100" w:type="nil"/>
              <w:right w:w="100" w:type="nil"/>
            </w:tcMar>
            <w:vAlign w:val="center"/>
          </w:tcPr>
          <w:p w14:paraId="10A209C5"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0.132</w:t>
            </w:r>
            <w:r w:rsidRPr="003E71BF">
              <w:rPr>
                <w:rFonts w:eastAsiaTheme="minorHAnsi"/>
                <w:sz w:val="20"/>
                <w:szCs w:val="20"/>
                <w:vertAlign w:val="superscript"/>
                <w14:ligatures w14:val="standardContextual"/>
              </w:rPr>
              <w:t>***</w:t>
            </w:r>
          </w:p>
        </w:tc>
      </w:tr>
      <w:tr w:rsidR="00DE143A" w14:paraId="2B014E50"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6ECA452"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F68B514"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(0.052)</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EF7B18E"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(0.052)</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F638701"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(0.047)</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83EF2D9"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(0.062)</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1F76598"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(0.045)</w:t>
            </w:r>
          </w:p>
        </w:tc>
      </w:tr>
      <w:tr w:rsidR="00DE143A" w14:paraId="156F9ADA"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C262196"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DE35F1F"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6C4E3D4"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A65255E"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5574977"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0AA0432" w14:textId="77777777" w:rsidR="00DE143A" w:rsidRPr="003E71BF" w:rsidRDefault="00DE143A">
            <w:pPr>
              <w:autoSpaceDE w:val="0"/>
              <w:autoSpaceDN w:val="0"/>
              <w:adjustRightInd w:val="0"/>
              <w:rPr>
                <w:rFonts w:eastAsiaTheme="minorHAnsi"/>
                <w:sz w:val="20"/>
                <w:szCs w:val="20"/>
                <w14:ligatures w14:val="standardContextual"/>
              </w:rPr>
            </w:pPr>
          </w:p>
        </w:tc>
      </w:tr>
      <w:tr w:rsidR="00DE143A" w14:paraId="5365CD63"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59468DF" w14:textId="318115EA" w:rsidR="00DE143A" w:rsidRDefault="00DE143A">
            <w:pPr>
              <w:autoSpaceDE w:val="0"/>
              <w:autoSpaceDN w:val="0"/>
              <w:adjustRightInd w:val="0"/>
              <w:rPr>
                <w:rFonts w:eastAsiaTheme="minorHAnsi"/>
                <w14:ligatures w14:val="standardContextual"/>
              </w:rPr>
            </w:pPr>
            <w:r>
              <w:rPr>
                <w:rFonts w:eastAsiaTheme="minorHAnsi"/>
                <w14:ligatures w14:val="standardContextual"/>
              </w:rPr>
              <w:t>Clinton</w:t>
            </w:r>
            <w:r w:rsidR="0052757B">
              <w:rPr>
                <w:rFonts w:eastAsiaTheme="minorHAnsi"/>
                <w14:ligatures w14:val="standardContextual"/>
              </w:rPr>
              <w:t xml:space="preserve"> App.</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98829E2"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-0.039</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7BBB6B7"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-0.081</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75D6EBC"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-0.031</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66DFD7C"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0.111</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4A25A0F"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0.104</w:t>
            </w:r>
            <w:r w:rsidRPr="003E71BF">
              <w:rPr>
                <w:rFonts w:eastAsiaTheme="minorHAnsi"/>
                <w:sz w:val="20"/>
                <w:szCs w:val="20"/>
                <w:vertAlign w:val="superscript"/>
                <w14:ligatures w14:val="standardContextual"/>
              </w:rPr>
              <w:t>***</w:t>
            </w:r>
          </w:p>
        </w:tc>
      </w:tr>
      <w:tr w:rsidR="00DE143A" w14:paraId="4FBC9A53"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38523F0"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5C060EA"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(0.026)</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052C9B9"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(0.029)</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3119A71"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(0.022)</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55ED1E5"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(0.038)</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1A706CD"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(0.030)</w:t>
            </w:r>
          </w:p>
        </w:tc>
      </w:tr>
      <w:tr w:rsidR="00DE143A" w14:paraId="77057C3B"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179304E"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13EE51E"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4E8A65D"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C42F801"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0311D5F"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740ABA4" w14:textId="77777777" w:rsidR="00DE143A" w:rsidRPr="003E71BF" w:rsidRDefault="00DE143A">
            <w:pPr>
              <w:autoSpaceDE w:val="0"/>
              <w:autoSpaceDN w:val="0"/>
              <w:adjustRightInd w:val="0"/>
              <w:rPr>
                <w:rFonts w:eastAsiaTheme="minorHAnsi"/>
                <w:sz w:val="20"/>
                <w:szCs w:val="20"/>
                <w14:ligatures w14:val="standardContextual"/>
              </w:rPr>
            </w:pPr>
          </w:p>
        </w:tc>
      </w:tr>
      <w:tr w:rsidR="00DE143A" w14:paraId="454639AF"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87BD27B" w14:textId="68660AEA" w:rsidR="00DE143A" w:rsidRDefault="00DE143A">
            <w:pPr>
              <w:autoSpaceDE w:val="0"/>
              <w:autoSpaceDN w:val="0"/>
              <w:adjustRightInd w:val="0"/>
              <w:rPr>
                <w:rFonts w:eastAsiaTheme="minorHAnsi"/>
                <w14:ligatures w14:val="standardContextual"/>
              </w:rPr>
            </w:pPr>
            <w:r>
              <w:rPr>
                <w:rFonts w:eastAsiaTheme="minorHAnsi"/>
                <w14:ligatures w14:val="standardContextual"/>
              </w:rPr>
              <w:t>Bush II</w:t>
            </w:r>
            <w:r w:rsidR="0052757B">
              <w:rPr>
                <w:rFonts w:eastAsiaTheme="minorHAnsi"/>
                <w14:ligatures w14:val="standardContextual"/>
              </w:rPr>
              <w:t xml:space="preserve"> App.</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1467381"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-0.030</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6C9E5E4"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-0.050</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A85475A"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-0.028</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60F1459"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0.017</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B8C6D34"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0.033</w:t>
            </w:r>
            <w:r w:rsidRPr="003E71BF">
              <w:rPr>
                <w:rFonts w:eastAsiaTheme="minorHAnsi"/>
                <w:sz w:val="20"/>
                <w:szCs w:val="20"/>
                <w:vertAlign w:val="superscript"/>
                <w14:ligatures w14:val="standardContextual"/>
              </w:rPr>
              <w:t>*</w:t>
            </w:r>
          </w:p>
        </w:tc>
      </w:tr>
      <w:tr w:rsidR="00DE143A" w14:paraId="30F178E6"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21FC797"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838BD9B"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(0.035)</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3CE9D4F"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(0.035)</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8758371"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(0.026)</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F40522E"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(0.026)</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19D772B"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(0.018)</w:t>
            </w:r>
          </w:p>
        </w:tc>
      </w:tr>
      <w:tr w:rsidR="00DE143A" w14:paraId="789BD44C"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AB7E5F3"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BFD5F50"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23E5735"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CA4493F"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59ACA2F"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E4B44D2" w14:textId="77777777" w:rsidR="00DE143A" w:rsidRPr="003E71BF" w:rsidRDefault="00DE143A">
            <w:pPr>
              <w:autoSpaceDE w:val="0"/>
              <w:autoSpaceDN w:val="0"/>
              <w:adjustRightInd w:val="0"/>
              <w:rPr>
                <w:rFonts w:eastAsiaTheme="minorHAnsi"/>
                <w:sz w:val="20"/>
                <w:szCs w:val="20"/>
                <w14:ligatures w14:val="standardContextual"/>
              </w:rPr>
            </w:pPr>
          </w:p>
        </w:tc>
      </w:tr>
      <w:tr w:rsidR="00DE143A" w14:paraId="148178E0"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26D26B2" w14:textId="4F610FA5" w:rsidR="00DE143A" w:rsidRDefault="00DE143A">
            <w:pPr>
              <w:autoSpaceDE w:val="0"/>
              <w:autoSpaceDN w:val="0"/>
              <w:adjustRightInd w:val="0"/>
              <w:rPr>
                <w:rFonts w:eastAsiaTheme="minorHAnsi"/>
                <w14:ligatures w14:val="standardContextual"/>
              </w:rPr>
            </w:pPr>
            <w:r>
              <w:rPr>
                <w:rFonts w:eastAsiaTheme="minorHAnsi"/>
                <w14:ligatures w14:val="standardContextual"/>
              </w:rPr>
              <w:t>Trump I</w:t>
            </w:r>
            <w:r w:rsidR="0052757B">
              <w:rPr>
                <w:rFonts w:eastAsiaTheme="minorHAnsi"/>
                <w14:ligatures w14:val="standardContextual"/>
              </w:rPr>
              <w:t xml:space="preserve"> App.</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0723DBA"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0.033</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9B6D1D9"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0.057</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59D6465"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0.050</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2216C7B"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-0.011</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74B72D7"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0.003</w:t>
            </w:r>
          </w:p>
        </w:tc>
      </w:tr>
      <w:tr w:rsidR="00DE143A" w14:paraId="334C5469"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606E9E3"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247925E"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(0.023)</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EC6DF03"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(0.023)</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E665F25"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(0.017)</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85CB4E2"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(0.022)</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793FC8B"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(0.016)</w:t>
            </w:r>
          </w:p>
        </w:tc>
      </w:tr>
      <w:tr w:rsidR="00DE143A" w14:paraId="7DC6FB96"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24F19E9"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FA1CA58"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CDC95D7"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56D4D52"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D3C1223"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490B044" w14:textId="77777777" w:rsidR="00DE143A" w:rsidRPr="003E71BF" w:rsidRDefault="00DE143A">
            <w:pPr>
              <w:autoSpaceDE w:val="0"/>
              <w:autoSpaceDN w:val="0"/>
              <w:adjustRightInd w:val="0"/>
              <w:rPr>
                <w:rFonts w:eastAsiaTheme="minorHAnsi"/>
                <w:sz w:val="20"/>
                <w:szCs w:val="20"/>
                <w14:ligatures w14:val="standardContextual"/>
              </w:rPr>
            </w:pPr>
          </w:p>
        </w:tc>
      </w:tr>
      <w:tr w:rsidR="00DE143A" w14:paraId="24357EA0"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5AEB65B" w14:textId="3EF11BE0" w:rsidR="00DE143A" w:rsidRDefault="00DE143A">
            <w:pPr>
              <w:autoSpaceDE w:val="0"/>
              <w:autoSpaceDN w:val="0"/>
              <w:adjustRightInd w:val="0"/>
              <w:rPr>
                <w:rFonts w:eastAsiaTheme="minorHAnsi"/>
                <w14:ligatures w14:val="standardContextual"/>
              </w:rPr>
            </w:pPr>
            <w:r>
              <w:rPr>
                <w:rFonts w:eastAsiaTheme="minorHAnsi"/>
                <w14:ligatures w14:val="standardContextual"/>
              </w:rPr>
              <w:t>Biden</w:t>
            </w:r>
            <w:r w:rsidR="0052757B">
              <w:rPr>
                <w:rFonts w:eastAsiaTheme="minorHAnsi"/>
                <w14:ligatures w14:val="standardContextual"/>
              </w:rPr>
              <w:t xml:space="preserve"> App.</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A96AD7B"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-0.005</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18A1B27"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0.031</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A408E58"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0.030</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9A1A473"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-0.040</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92ED1DA"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-0.026</w:t>
            </w:r>
          </w:p>
        </w:tc>
      </w:tr>
      <w:tr w:rsidR="00DE143A" w14:paraId="084CCA4E"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3477F37"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8E83892"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(0.025)</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FCF1FD7"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(0.024)</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8055D0A"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(0.019)</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0CF0B9E"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(0.027)</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1FD9513"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(0.021)</w:t>
            </w:r>
          </w:p>
        </w:tc>
      </w:tr>
      <w:tr w:rsidR="00DE143A" w14:paraId="18DE11C2"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4F9C1FF"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C93F4D4"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32454C3"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3D49E53"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ECA95B0"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CDD8257" w14:textId="77777777" w:rsidR="00DE143A" w:rsidRPr="003E71BF" w:rsidRDefault="00DE143A">
            <w:pPr>
              <w:autoSpaceDE w:val="0"/>
              <w:autoSpaceDN w:val="0"/>
              <w:adjustRightInd w:val="0"/>
              <w:rPr>
                <w:rFonts w:eastAsiaTheme="minorHAnsi"/>
                <w:sz w:val="20"/>
                <w:szCs w:val="20"/>
                <w14:ligatures w14:val="standardContextual"/>
              </w:rPr>
            </w:pPr>
          </w:p>
        </w:tc>
      </w:tr>
      <w:tr w:rsidR="00DE143A" w14:paraId="1AF7CFA6"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A5C0443" w14:textId="7400B2C7" w:rsidR="00DE143A" w:rsidRDefault="00DE143A">
            <w:pPr>
              <w:autoSpaceDE w:val="0"/>
              <w:autoSpaceDN w:val="0"/>
              <w:adjustRightInd w:val="0"/>
              <w:rPr>
                <w:rFonts w:eastAsiaTheme="minorHAnsi"/>
                <w14:ligatures w14:val="standardContextual"/>
              </w:rPr>
            </w:pPr>
            <w:r>
              <w:rPr>
                <w:rFonts w:eastAsiaTheme="minorHAnsi"/>
                <w14:ligatures w14:val="standardContextual"/>
              </w:rPr>
              <w:t>Trump II</w:t>
            </w:r>
            <w:r w:rsidR="0052757B">
              <w:rPr>
                <w:rFonts w:eastAsiaTheme="minorHAnsi"/>
                <w14:ligatures w14:val="standardContextual"/>
              </w:rPr>
              <w:t xml:space="preserve"> Ap.</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71C4E70"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0.399</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3F9FF31"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0.165</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8BFF934"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0.067</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7C82A36"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-0.044</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5085028"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-0.028</w:t>
            </w:r>
          </w:p>
        </w:tc>
      </w:tr>
      <w:tr w:rsidR="00DE143A" w14:paraId="3546A593"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FE5C0DD"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C24A28C"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(0.022)</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47C9A8B"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(0.022)</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B419D7C"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(0.020)</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F4399D5"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(0.036)</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F71368C"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(0.029)</w:t>
            </w:r>
          </w:p>
        </w:tc>
      </w:tr>
      <w:tr w:rsidR="00DE143A" w14:paraId="113079E1"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24AD6E2"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C229E2D"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71B0AC7"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3793363"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BB50E31"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BEE549A" w14:textId="77777777" w:rsidR="00DE143A" w:rsidRPr="003E71BF" w:rsidRDefault="00DE143A">
            <w:pPr>
              <w:autoSpaceDE w:val="0"/>
              <w:autoSpaceDN w:val="0"/>
              <w:adjustRightInd w:val="0"/>
              <w:rPr>
                <w:rFonts w:eastAsiaTheme="minorHAnsi"/>
                <w:sz w:val="20"/>
                <w:szCs w:val="20"/>
                <w14:ligatures w14:val="standardContextual"/>
              </w:rPr>
            </w:pPr>
          </w:p>
        </w:tc>
      </w:tr>
      <w:tr w:rsidR="00DE143A" w14:paraId="1ECDD680"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099667E" w14:textId="36CE6A04" w:rsidR="00DE143A" w:rsidRDefault="00DE143A">
            <w:pPr>
              <w:autoSpaceDE w:val="0"/>
              <w:autoSpaceDN w:val="0"/>
              <w:adjustRightInd w:val="0"/>
              <w:rPr>
                <w:rFonts w:eastAsiaTheme="minorHAnsi"/>
                <w14:ligatures w14:val="standardContextual"/>
              </w:rPr>
            </w:pPr>
            <w:r>
              <w:rPr>
                <w:rFonts w:eastAsiaTheme="minorHAnsi"/>
                <w14:ligatures w14:val="standardContextual"/>
              </w:rPr>
              <w:t>Obama</w:t>
            </w:r>
            <w:r w:rsidR="0052757B">
              <w:rPr>
                <w:rFonts w:eastAsiaTheme="minorHAnsi"/>
                <w14:ligatures w14:val="standardContextual"/>
              </w:rPr>
              <w:t xml:space="preserve"> Era</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7FDB8AF"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BA2BAF0"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-0.102</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CEA46DB"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-0.178</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2AD05D7"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-0.113</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2C5F17C"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-0.103</w:t>
            </w:r>
            <w:r w:rsidRPr="003E71BF">
              <w:rPr>
                <w:rFonts w:eastAsiaTheme="minorHAnsi"/>
                <w:sz w:val="20"/>
                <w:szCs w:val="20"/>
                <w:vertAlign w:val="superscript"/>
                <w14:ligatures w14:val="standardContextual"/>
              </w:rPr>
              <w:t>***</w:t>
            </w:r>
          </w:p>
        </w:tc>
      </w:tr>
      <w:tr w:rsidR="00DE143A" w14:paraId="2CF3CFD5"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9AAA5AB"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2A281AB"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F5529DB"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(0.013)</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1337AE5"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(0.010)</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EFE86D8"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(0.015)</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587FCA2"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(0.012)</w:t>
            </w:r>
          </w:p>
        </w:tc>
      </w:tr>
      <w:tr w:rsidR="00DE143A" w14:paraId="716FC3DC"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078F752"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BB4CF91"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28BD228"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90A1244"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26B63FD"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CE7BDF8" w14:textId="77777777" w:rsidR="00DE143A" w:rsidRPr="003E71BF" w:rsidRDefault="00DE143A">
            <w:pPr>
              <w:autoSpaceDE w:val="0"/>
              <w:autoSpaceDN w:val="0"/>
              <w:adjustRightInd w:val="0"/>
              <w:rPr>
                <w:rFonts w:eastAsiaTheme="minorHAnsi"/>
                <w:sz w:val="20"/>
                <w:szCs w:val="20"/>
                <w14:ligatures w14:val="standardContextual"/>
              </w:rPr>
            </w:pPr>
          </w:p>
        </w:tc>
      </w:tr>
      <w:tr w:rsidR="00DE143A" w14:paraId="03FA3A60"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7B9B6EC" w14:textId="154923AE" w:rsidR="00DE143A" w:rsidRDefault="00DE143A">
            <w:pPr>
              <w:autoSpaceDE w:val="0"/>
              <w:autoSpaceDN w:val="0"/>
              <w:adjustRightInd w:val="0"/>
              <w:rPr>
                <w:rFonts w:eastAsiaTheme="minorHAnsi"/>
                <w14:ligatures w14:val="standardContextual"/>
              </w:rPr>
            </w:pPr>
            <w:r>
              <w:rPr>
                <w:rFonts w:eastAsiaTheme="minorHAnsi"/>
                <w14:ligatures w14:val="standardContextual"/>
              </w:rPr>
              <w:t>Trump I</w:t>
            </w:r>
            <w:r w:rsidR="0052757B">
              <w:rPr>
                <w:rFonts w:eastAsiaTheme="minorHAnsi"/>
                <w14:ligatures w14:val="standardContextual"/>
              </w:rPr>
              <w:t xml:space="preserve"> Era</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AAB5A11"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AAB3250"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0.038</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4B615BC"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-0.113</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86C8BB7"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-0.003</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738AAB8"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-0.008</w:t>
            </w:r>
          </w:p>
        </w:tc>
      </w:tr>
      <w:tr w:rsidR="00DE143A" w14:paraId="7DEB62C3"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19E2D13"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C33EE39"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F46BCA7"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(0.017)</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7C01222"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(0.014)</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E84766D"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(0.028)</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ABFDF6F"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(0.021)</w:t>
            </w:r>
          </w:p>
        </w:tc>
      </w:tr>
      <w:tr w:rsidR="00DE143A" w14:paraId="70EAC10D"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A38D0F2"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0B4A25E"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CC5AA72"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6289708"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E36D50D"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8982C5D" w14:textId="77777777" w:rsidR="00DE143A" w:rsidRPr="003E71BF" w:rsidRDefault="00DE143A">
            <w:pPr>
              <w:autoSpaceDE w:val="0"/>
              <w:autoSpaceDN w:val="0"/>
              <w:adjustRightInd w:val="0"/>
              <w:rPr>
                <w:rFonts w:eastAsiaTheme="minorHAnsi"/>
                <w:sz w:val="20"/>
                <w:szCs w:val="20"/>
                <w14:ligatures w14:val="standardContextual"/>
              </w:rPr>
            </w:pPr>
          </w:p>
        </w:tc>
      </w:tr>
      <w:tr w:rsidR="00DE143A" w14:paraId="6C79A97F"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8FD04AF" w14:textId="6C36301C" w:rsidR="00DE143A" w:rsidRDefault="00DE143A">
            <w:pPr>
              <w:autoSpaceDE w:val="0"/>
              <w:autoSpaceDN w:val="0"/>
              <w:adjustRightInd w:val="0"/>
              <w:rPr>
                <w:rFonts w:eastAsiaTheme="minorHAnsi"/>
                <w14:ligatures w14:val="standardContextual"/>
              </w:rPr>
            </w:pPr>
            <w:r>
              <w:rPr>
                <w:rFonts w:eastAsiaTheme="minorHAnsi"/>
                <w14:ligatures w14:val="standardContextual"/>
              </w:rPr>
              <w:t>Biden</w:t>
            </w:r>
            <w:r w:rsidR="0052757B">
              <w:rPr>
                <w:rFonts w:eastAsiaTheme="minorHAnsi"/>
                <w14:ligatures w14:val="standardContextual"/>
              </w:rPr>
              <w:t xml:space="preserve"> Era</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DA99C3F"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EDBDB4E"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-0.288</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378FE94"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-0.377</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3CB32ED"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-0.235</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56DB305"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-0.248</w:t>
            </w:r>
            <w:r w:rsidRPr="003E71BF">
              <w:rPr>
                <w:rFonts w:eastAsiaTheme="minorHAnsi"/>
                <w:sz w:val="20"/>
                <w:szCs w:val="20"/>
                <w:vertAlign w:val="superscript"/>
                <w14:ligatures w14:val="standardContextual"/>
              </w:rPr>
              <w:t>***</w:t>
            </w:r>
          </w:p>
        </w:tc>
      </w:tr>
      <w:tr w:rsidR="00DE143A" w14:paraId="1DB7E81E"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2684F72"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6BC87E1"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9B596CF"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(0.019)</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6675565"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(0.016)</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543E77F"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(0.036)</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914CAE1"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(0.027)</w:t>
            </w:r>
          </w:p>
        </w:tc>
      </w:tr>
      <w:tr w:rsidR="00DE143A" w14:paraId="2FD37B50"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3507A3A"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16DC6CF"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B70AE77"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CE1FF13"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5032855"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52F3A10" w14:textId="77777777" w:rsidR="00DE143A" w:rsidRPr="003E71BF" w:rsidRDefault="00DE143A">
            <w:pPr>
              <w:autoSpaceDE w:val="0"/>
              <w:autoSpaceDN w:val="0"/>
              <w:adjustRightInd w:val="0"/>
              <w:rPr>
                <w:rFonts w:eastAsiaTheme="minorHAnsi"/>
                <w:sz w:val="20"/>
                <w:szCs w:val="20"/>
                <w14:ligatures w14:val="standardContextual"/>
              </w:rPr>
            </w:pPr>
          </w:p>
        </w:tc>
      </w:tr>
      <w:tr w:rsidR="00DE143A" w14:paraId="1018BA82"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F2E7D82" w14:textId="6C988A4E" w:rsidR="00DE143A" w:rsidRDefault="00DE143A">
            <w:pPr>
              <w:autoSpaceDE w:val="0"/>
              <w:autoSpaceDN w:val="0"/>
              <w:adjustRightInd w:val="0"/>
              <w:rPr>
                <w:rFonts w:eastAsiaTheme="minorHAnsi"/>
                <w14:ligatures w14:val="standardContextual"/>
              </w:rPr>
            </w:pPr>
            <w:r>
              <w:rPr>
                <w:rFonts w:eastAsiaTheme="minorHAnsi"/>
                <w14:ligatures w14:val="standardContextual"/>
              </w:rPr>
              <w:t>Trump II</w:t>
            </w:r>
            <w:r w:rsidR="0052757B">
              <w:rPr>
                <w:rFonts w:eastAsiaTheme="minorHAnsi"/>
                <w14:ligatures w14:val="standardContextual"/>
              </w:rPr>
              <w:t xml:space="preserve"> Era</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591CF14"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5C1E67E"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0.153</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AB43A67"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0.071</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F3157F5"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0.224</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3084A57"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0.184</w:t>
            </w:r>
            <w:r w:rsidRPr="003E71BF">
              <w:rPr>
                <w:rFonts w:eastAsiaTheme="minorHAnsi"/>
                <w:sz w:val="20"/>
                <w:szCs w:val="20"/>
                <w:vertAlign w:val="superscript"/>
                <w14:ligatures w14:val="standardContextual"/>
              </w:rPr>
              <w:t>***</w:t>
            </w:r>
          </w:p>
        </w:tc>
      </w:tr>
      <w:tr w:rsidR="00DE143A" w14:paraId="7CF5EEFB"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FB7CAF8"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8F25958"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45A6939"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(0.019)</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B838AE6"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(0.016)</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0744F34"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(0.040)</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90F59D5"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(0.030)</w:t>
            </w:r>
          </w:p>
        </w:tc>
      </w:tr>
      <w:tr w:rsidR="00DE143A" w14:paraId="2ECD4C87"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1DE12A4"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F7DD001"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8A19992"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A8D5366"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AC55655"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F8DD264" w14:textId="77777777" w:rsidR="00DE143A" w:rsidRPr="003E71BF" w:rsidRDefault="00DE143A">
            <w:pPr>
              <w:autoSpaceDE w:val="0"/>
              <w:autoSpaceDN w:val="0"/>
              <w:adjustRightInd w:val="0"/>
              <w:rPr>
                <w:rFonts w:eastAsiaTheme="minorHAnsi"/>
                <w:sz w:val="20"/>
                <w:szCs w:val="20"/>
                <w14:ligatures w14:val="standardContextual"/>
              </w:rPr>
            </w:pPr>
          </w:p>
        </w:tc>
      </w:tr>
      <w:tr w:rsidR="00DE143A" w14:paraId="0585B892"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4FD96CF" w14:textId="747E4916" w:rsidR="00DE143A" w:rsidRDefault="0052757B">
            <w:pPr>
              <w:autoSpaceDE w:val="0"/>
              <w:autoSpaceDN w:val="0"/>
              <w:adjustRightInd w:val="0"/>
              <w:rPr>
                <w:rFonts w:eastAsiaTheme="minorHAnsi"/>
                <w14:ligatures w14:val="standardContextual"/>
              </w:rPr>
            </w:pPr>
            <w:r>
              <w:rPr>
                <w:rFonts w:eastAsiaTheme="minorHAnsi"/>
                <w14:ligatures w14:val="standardContextual"/>
              </w:rPr>
              <w:t>Represented</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F8F4CC7"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781565F"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7DB3973"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-0.201</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037E0CC"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-0.194</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AB7BACA"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-0.165</w:t>
            </w:r>
            <w:r w:rsidRPr="003E71BF">
              <w:rPr>
                <w:rFonts w:eastAsiaTheme="minorHAnsi"/>
                <w:sz w:val="20"/>
                <w:szCs w:val="20"/>
                <w:vertAlign w:val="superscript"/>
                <w14:ligatures w14:val="standardContextual"/>
              </w:rPr>
              <w:t>***</w:t>
            </w:r>
          </w:p>
        </w:tc>
      </w:tr>
      <w:tr w:rsidR="00DE143A" w14:paraId="1305A81F"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6065CB4"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D1F50E9"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56FEDA8"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1FD3F58"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(0.006)</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B73C95E"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(0.006)</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400F00A"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(0.006)</w:t>
            </w:r>
          </w:p>
        </w:tc>
      </w:tr>
      <w:tr w:rsidR="00DE143A" w14:paraId="2BA86116"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B0F63BC"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871FF28"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85695E5"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CC14F7A"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F12DAA1"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15A2E1F" w14:textId="77777777" w:rsidR="00DE143A" w:rsidRPr="003E71BF" w:rsidRDefault="00DE143A">
            <w:pPr>
              <w:autoSpaceDE w:val="0"/>
              <w:autoSpaceDN w:val="0"/>
              <w:adjustRightInd w:val="0"/>
              <w:rPr>
                <w:rFonts w:eastAsiaTheme="minorHAnsi"/>
                <w:sz w:val="20"/>
                <w:szCs w:val="20"/>
                <w14:ligatures w14:val="standardContextual"/>
              </w:rPr>
            </w:pPr>
          </w:p>
        </w:tc>
      </w:tr>
      <w:tr w:rsidR="00DE143A" w14:paraId="2B111067"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5A14C33" w14:textId="3C8B2DEF" w:rsidR="00DE143A" w:rsidRDefault="00DE143A">
            <w:pPr>
              <w:autoSpaceDE w:val="0"/>
              <w:autoSpaceDN w:val="0"/>
              <w:adjustRightInd w:val="0"/>
              <w:rPr>
                <w:rFonts w:eastAsiaTheme="minorHAnsi"/>
                <w14:ligatures w14:val="standardContextual"/>
              </w:rPr>
            </w:pPr>
            <w:r>
              <w:rPr>
                <w:rFonts w:eastAsiaTheme="minorHAnsi"/>
                <w14:ligatures w14:val="standardContextual"/>
              </w:rPr>
              <w:t>A</w:t>
            </w:r>
            <w:r w:rsidR="0052757B">
              <w:rPr>
                <w:rFonts w:eastAsiaTheme="minorHAnsi"/>
                <w14:ligatures w14:val="standardContextual"/>
              </w:rPr>
              <w:t>sylum</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7F53E1B"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65C7C22"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512F486"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0.087</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33BA029"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0.091</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17BF274"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0.122</w:t>
            </w:r>
            <w:r w:rsidRPr="003E71BF">
              <w:rPr>
                <w:rFonts w:eastAsiaTheme="minorHAnsi"/>
                <w:sz w:val="20"/>
                <w:szCs w:val="20"/>
                <w:vertAlign w:val="superscript"/>
                <w14:ligatures w14:val="standardContextual"/>
              </w:rPr>
              <w:t>***</w:t>
            </w:r>
          </w:p>
        </w:tc>
      </w:tr>
      <w:tr w:rsidR="00DE143A" w14:paraId="2507B3D8"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8AF1C1B"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0D605BD"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DA6D38A"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40E3198"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(0.010)</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F917F1A"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(0.010)</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BC5F9A9"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(0.008)</w:t>
            </w:r>
          </w:p>
        </w:tc>
      </w:tr>
      <w:tr w:rsidR="00DE143A" w14:paraId="63510D75"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38B2B14"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D006E49"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493E66D"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8FB997A"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73B8170"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0E16E4C" w14:textId="77777777" w:rsidR="00DE143A" w:rsidRPr="003E71BF" w:rsidRDefault="00DE143A">
            <w:pPr>
              <w:autoSpaceDE w:val="0"/>
              <w:autoSpaceDN w:val="0"/>
              <w:adjustRightInd w:val="0"/>
              <w:rPr>
                <w:rFonts w:eastAsiaTheme="minorHAnsi"/>
                <w:sz w:val="20"/>
                <w:szCs w:val="20"/>
                <w14:ligatures w14:val="standardContextual"/>
              </w:rPr>
            </w:pPr>
          </w:p>
        </w:tc>
      </w:tr>
      <w:tr w:rsidR="00DE143A" w14:paraId="3E52D167"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77E3605" w14:textId="77777777" w:rsidR="00DE143A" w:rsidRDefault="00DE143A">
            <w:pPr>
              <w:autoSpaceDE w:val="0"/>
              <w:autoSpaceDN w:val="0"/>
              <w:adjustRightInd w:val="0"/>
              <w:rPr>
                <w:rFonts w:eastAsiaTheme="minorHAnsi"/>
                <w14:ligatures w14:val="standardContextual"/>
              </w:rPr>
            </w:pPr>
            <w:r>
              <w:rPr>
                <w:rFonts w:eastAsiaTheme="minorHAnsi"/>
                <w14:ligatures w14:val="standardContextual"/>
              </w:rPr>
              <w:t>Mexico / Northern Triangle</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FEB2E10"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C530A41"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8BD55C7"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0.193</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2907801"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0.187</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B58877E"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0.171</w:t>
            </w:r>
            <w:r w:rsidRPr="003E71BF">
              <w:rPr>
                <w:rFonts w:eastAsiaTheme="minorHAnsi"/>
                <w:sz w:val="20"/>
                <w:szCs w:val="20"/>
                <w:vertAlign w:val="superscript"/>
                <w14:ligatures w14:val="standardContextual"/>
              </w:rPr>
              <w:t>***</w:t>
            </w:r>
          </w:p>
        </w:tc>
      </w:tr>
      <w:tr w:rsidR="00DE143A" w14:paraId="296AF05E"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A38342A"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935D745"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1904BC2"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7B71536"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(0.008)</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5B59A3F"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(0.007)</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2EB56BA"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(0.005)</w:t>
            </w:r>
          </w:p>
        </w:tc>
      </w:tr>
      <w:tr w:rsidR="00DE143A" w14:paraId="37CE6153"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69414FA"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9F57197"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813A597"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4C475BD"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FE58C01"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438F2FC" w14:textId="77777777" w:rsidR="00DE143A" w:rsidRPr="003E71BF" w:rsidRDefault="00DE143A">
            <w:pPr>
              <w:autoSpaceDE w:val="0"/>
              <w:autoSpaceDN w:val="0"/>
              <w:adjustRightInd w:val="0"/>
              <w:rPr>
                <w:rFonts w:eastAsiaTheme="minorHAnsi"/>
                <w:sz w:val="20"/>
                <w:szCs w:val="20"/>
                <w14:ligatures w14:val="standardContextual"/>
              </w:rPr>
            </w:pPr>
          </w:p>
        </w:tc>
      </w:tr>
      <w:tr w:rsidR="00DE143A" w14:paraId="31541A7B"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3787457" w14:textId="3C9DC2E6" w:rsidR="00DE143A" w:rsidRDefault="0052757B">
            <w:pPr>
              <w:autoSpaceDE w:val="0"/>
              <w:autoSpaceDN w:val="0"/>
              <w:adjustRightInd w:val="0"/>
              <w:rPr>
                <w:rFonts w:eastAsiaTheme="minorHAnsi"/>
                <w14:ligatures w14:val="standardContextual"/>
              </w:rPr>
            </w:pPr>
            <w:r>
              <w:rPr>
                <w:rFonts w:eastAsiaTheme="minorHAnsi"/>
                <w14:ligatures w14:val="standardContextual"/>
              </w:rPr>
              <w:t>E</w:t>
            </w:r>
            <w:r w:rsidR="00DE143A">
              <w:rPr>
                <w:rFonts w:eastAsiaTheme="minorHAnsi"/>
                <w14:ligatures w14:val="standardContextual"/>
              </w:rPr>
              <w:t>nglish</w:t>
            </w:r>
            <w:r>
              <w:rPr>
                <w:rFonts w:eastAsiaTheme="minorHAnsi"/>
                <w14:ligatures w14:val="standardContextual"/>
              </w:rPr>
              <w:t>-speaking</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F13D026"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6251187"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71E4C13"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-0.063</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0593B43"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-0.067</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A434251"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-0.070</w:t>
            </w:r>
            <w:r w:rsidRPr="003E71BF">
              <w:rPr>
                <w:rFonts w:eastAsiaTheme="minorHAnsi"/>
                <w:sz w:val="20"/>
                <w:szCs w:val="20"/>
                <w:vertAlign w:val="superscript"/>
                <w14:ligatures w14:val="standardContextual"/>
              </w:rPr>
              <w:t>***</w:t>
            </w:r>
          </w:p>
        </w:tc>
      </w:tr>
      <w:tr w:rsidR="00DE143A" w14:paraId="186D1A18"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288C099"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3514DE0"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1256F3A"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42907A5"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(0.005)</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5171D47"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(0.005)</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2CB32EB"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(0.004)</w:t>
            </w:r>
          </w:p>
        </w:tc>
      </w:tr>
      <w:tr w:rsidR="00DE143A" w14:paraId="381B22D3"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C8ED174"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E061498"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A511A08"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46086B1"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61BE95A"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7D3EC40" w14:textId="77777777" w:rsidR="00DE143A" w:rsidRPr="003E71BF" w:rsidRDefault="00DE143A">
            <w:pPr>
              <w:autoSpaceDE w:val="0"/>
              <w:autoSpaceDN w:val="0"/>
              <w:adjustRightInd w:val="0"/>
              <w:rPr>
                <w:rFonts w:eastAsiaTheme="minorHAnsi"/>
                <w:sz w:val="20"/>
                <w:szCs w:val="20"/>
                <w14:ligatures w14:val="standardContextual"/>
              </w:rPr>
            </w:pPr>
          </w:p>
        </w:tc>
      </w:tr>
      <w:tr w:rsidR="00DE143A" w14:paraId="66316ED4"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413CEC0" w14:textId="04772D4E" w:rsidR="00DE143A" w:rsidRDefault="00DE143A">
            <w:pPr>
              <w:autoSpaceDE w:val="0"/>
              <w:autoSpaceDN w:val="0"/>
              <w:adjustRightInd w:val="0"/>
              <w:rPr>
                <w:rFonts w:eastAsiaTheme="minorHAnsi"/>
                <w14:ligatures w14:val="standardContextual"/>
              </w:rPr>
            </w:pPr>
            <w:r>
              <w:rPr>
                <w:rFonts w:eastAsiaTheme="minorHAnsi"/>
                <w14:ligatures w14:val="standardContextual"/>
              </w:rPr>
              <w:t xml:space="preserve">Detention </w:t>
            </w:r>
            <w:r w:rsidR="0052757B">
              <w:rPr>
                <w:rFonts w:eastAsiaTheme="minorHAnsi"/>
                <w14:ligatures w14:val="standardContextual"/>
              </w:rPr>
              <w:t>Facility</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6EF43EA"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40D2946"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7F51DED"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0.125</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189C91F"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0.115</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DF54A55"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0.064</w:t>
            </w:r>
            <w:r w:rsidRPr="003E71BF">
              <w:rPr>
                <w:rFonts w:eastAsiaTheme="minorHAnsi"/>
                <w:sz w:val="20"/>
                <w:szCs w:val="20"/>
                <w:vertAlign w:val="superscript"/>
                <w14:ligatures w14:val="standardContextual"/>
              </w:rPr>
              <w:t>***</w:t>
            </w:r>
          </w:p>
        </w:tc>
      </w:tr>
      <w:tr w:rsidR="00DE143A" w14:paraId="114F0BE4"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1759917"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77ECFF5"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6FCEA96"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FC02448"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(0.010)</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93CA2F0"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(0.011)</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643C7A7"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(0.020)</w:t>
            </w:r>
          </w:p>
        </w:tc>
      </w:tr>
      <w:tr w:rsidR="00DE143A" w14:paraId="0B04CF86"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087E27A"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8082216"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B106F93"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0951C1E"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36469D7"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E3D26C2" w14:textId="77777777" w:rsidR="00DE143A" w:rsidRPr="003E71BF" w:rsidRDefault="00DE143A">
            <w:pPr>
              <w:autoSpaceDE w:val="0"/>
              <w:autoSpaceDN w:val="0"/>
              <w:adjustRightInd w:val="0"/>
              <w:rPr>
                <w:rFonts w:eastAsiaTheme="minorHAnsi"/>
                <w:sz w:val="20"/>
                <w:szCs w:val="20"/>
                <w14:ligatures w14:val="standardContextual"/>
              </w:rPr>
            </w:pPr>
          </w:p>
        </w:tc>
      </w:tr>
      <w:tr w:rsidR="00DE143A" w14:paraId="55F2EE7E"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29A027F" w14:textId="345A1095" w:rsidR="00DE143A" w:rsidRDefault="0052757B">
            <w:pPr>
              <w:autoSpaceDE w:val="0"/>
              <w:autoSpaceDN w:val="0"/>
              <w:adjustRightInd w:val="0"/>
              <w:rPr>
                <w:rFonts w:eastAsiaTheme="minorHAnsi"/>
                <w14:ligatures w14:val="standardContextual"/>
              </w:rPr>
            </w:pPr>
            <w:r>
              <w:rPr>
                <w:rFonts w:eastAsiaTheme="minorHAnsi"/>
                <w14:ligatures w14:val="standardContextual"/>
              </w:rPr>
              <w:t>Ever Detained</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95EB287"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0F3D091"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4951753"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0.111</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6ACC463"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0.109</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CF6DFC1"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0.100</w:t>
            </w:r>
            <w:r w:rsidRPr="003E71BF">
              <w:rPr>
                <w:rFonts w:eastAsiaTheme="minorHAnsi"/>
                <w:sz w:val="20"/>
                <w:szCs w:val="20"/>
                <w:vertAlign w:val="superscript"/>
                <w14:ligatures w14:val="standardContextual"/>
              </w:rPr>
              <w:t>***</w:t>
            </w:r>
          </w:p>
        </w:tc>
      </w:tr>
      <w:tr w:rsidR="00DE143A" w14:paraId="468E3FD7"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3B42985"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1A9B3AD"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65EBDF4"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BAA05C4"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(0.007)</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4AC1F05"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(0.006)</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A2EF589"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(0.006)</w:t>
            </w:r>
          </w:p>
        </w:tc>
      </w:tr>
      <w:tr w:rsidR="00DE143A" w14:paraId="51A2FBE2"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A34085A"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9313818"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041AA91"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23938D8"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8468AD7"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54921D0" w14:textId="77777777" w:rsidR="00DE143A" w:rsidRPr="003E71BF" w:rsidRDefault="00DE143A">
            <w:pPr>
              <w:autoSpaceDE w:val="0"/>
              <w:autoSpaceDN w:val="0"/>
              <w:adjustRightInd w:val="0"/>
              <w:rPr>
                <w:rFonts w:eastAsiaTheme="minorHAnsi"/>
                <w:sz w:val="20"/>
                <w:szCs w:val="20"/>
                <w14:ligatures w14:val="standardContextual"/>
              </w:rPr>
            </w:pPr>
          </w:p>
        </w:tc>
      </w:tr>
      <w:tr w:rsidR="00DE143A" w14:paraId="0A39648C"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4A5E657" w14:textId="2D1401C7" w:rsidR="00DE143A" w:rsidRDefault="0052757B">
            <w:pPr>
              <w:autoSpaceDE w:val="0"/>
              <w:autoSpaceDN w:val="0"/>
              <w:adjustRightInd w:val="0"/>
              <w:rPr>
                <w:rFonts w:eastAsiaTheme="minorHAnsi"/>
                <w14:ligatures w14:val="standardContextual"/>
              </w:rPr>
            </w:pPr>
            <w:r>
              <w:rPr>
                <w:rFonts w:eastAsiaTheme="minorHAnsi"/>
                <w14:ligatures w14:val="standardContextual"/>
              </w:rPr>
              <w:t>Criminal</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B827E43"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8327DF8"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41784AF"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-0.096</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54A1580"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-0.100</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627A6DF"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-0.106</w:t>
            </w:r>
            <w:r w:rsidRPr="003E71BF">
              <w:rPr>
                <w:rFonts w:eastAsiaTheme="minorHAnsi"/>
                <w:sz w:val="20"/>
                <w:szCs w:val="20"/>
                <w:vertAlign w:val="superscript"/>
                <w14:ligatures w14:val="standardContextual"/>
              </w:rPr>
              <w:t>***</w:t>
            </w:r>
          </w:p>
        </w:tc>
      </w:tr>
      <w:tr w:rsidR="00DE143A" w14:paraId="18230CE3"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6D316CA"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B1E2B9B"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F7BCC8C"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B62FEA2"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(0.007)</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FCF7CA4"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(0.007)</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5EDA014"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(0.007)</w:t>
            </w:r>
          </w:p>
        </w:tc>
      </w:tr>
      <w:tr w:rsidR="00DE143A" w14:paraId="68584551"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3B23057"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5F54536"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D6CE6A9"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5D9A427"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97B664D"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E1074A9" w14:textId="77777777" w:rsidR="00DE143A" w:rsidRPr="003E71BF" w:rsidRDefault="00DE143A">
            <w:pPr>
              <w:autoSpaceDE w:val="0"/>
              <w:autoSpaceDN w:val="0"/>
              <w:adjustRightInd w:val="0"/>
              <w:rPr>
                <w:rFonts w:eastAsiaTheme="minorHAnsi"/>
                <w:sz w:val="20"/>
                <w:szCs w:val="20"/>
                <w14:ligatures w14:val="standardContextual"/>
              </w:rPr>
            </w:pPr>
          </w:p>
        </w:tc>
      </w:tr>
      <w:tr w:rsidR="00DE143A" w14:paraId="4583F48E"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D683109" w14:textId="261F565B" w:rsidR="00DE143A" w:rsidRDefault="0052757B">
            <w:pPr>
              <w:autoSpaceDE w:val="0"/>
              <w:autoSpaceDN w:val="0"/>
              <w:adjustRightInd w:val="0"/>
              <w:rPr>
                <w:rFonts w:eastAsiaTheme="minorHAnsi"/>
                <w14:ligatures w14:val="standardContextual"/>
              </w:rPr>
            </w:pPr>
            <w:r>
              <w:rPr>
                <w:rFonts w:eastAsiaTheme="minorHAnsi"/>
                <w14:ligatures w14:val="standardContextual"/>
              </w:rPr>
              <w:t>Remote hearing</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12DDC5E"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76BE189"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0B80104"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0.025</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E0BAB6D"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0.024</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0BC5E8C"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0.010</w:t>
            </w:r>
          </w:p>
        </w:tc>
      </w:tr>
      <w:tr w:rsidR="00DE143A" w14:paraId="483C6EC4"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249C14D"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2899F63"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4B4488B"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34FE372"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(0.007)</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AD57C48"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(0.008)</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B0DB744"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(0.006)</w:t>
            </w:r>
          </w:p>
        </w:tc>
      </w:tr>
      <w:tr w:rsidR="00DE143A" w14:paraId="59FFAE2F"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1721E7B"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2084740"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2A231AD"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3588202"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5803721"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2CFD3DD" w14:textId="77777777" w:rsidR="00DE143A" w:rsidRPr="003E71BF" w:rsidRDefault="00DE143A">
            <w:pPr>
              <w:autoSpaceDE w:val="0"/>
              <w:autoSpaceDN w:val="0"/>
              <w:adjustRightInd w:val="0"/>
              <w:rPr>
                <w:rFonts w:eastAsiaTheme="minorHAnsi"/>
                <w:sz w:val="20"/>
                <w:szCs w:val="20"/>
                <w14:ligatures w14:val="standardContextual"/>
              </w:rPr>
            </w:pPr>
          </w:p>
        </w:tc>
      </w:tr>
      <w:tr w:rsidR="00DE143A" w14:paraId="2791A83A"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16A0F39" w14:textId="11A3664B" w:rsidR="00DE143A" w:rsidRDefault="0052757B">
            <w:pPr>
              <w:autoSpaceDE w:val="0"/>
              <w:autoSpaceDN w:val="0"/>
              <w:adjustRightInd w:val="0"/>
              <w:rPr>
                <w:rFonts w:eastAsiaTheme="minorHAnsi"/>
                <w14:ligatures w14:val="standardContextual"/>
              </w:rPr>
            </w:pPr>
            <w:r>
              <w:rPr>
                <w:rFonts w:eastAsiaTheme="minorHAnsi"/>
                <w14:ligatures w14:val="standardContextual"/>
              </w:rPr>
              <w:t>Female</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CD6EA47"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BE68734"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5DD8E77"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FAF2407"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-0.077</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D05EE3E"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-0.043</w:t>
            </w:r>
            <w:r w:rsidRPr="003E71BF">
              <w:rPr>
                <w:rFonts w:eastAsiaTheme="minorHAnsi"/>
                <w:sz w:val="20"/>
                <w:szCs w:val="20"/>
                <w:vertAlign w:val="superscript"/>
                <w14:ligatures w14:val="standardContextual"/>
              </w:rPr>
              <w:t>***</w:t>
            </w:r>
          </w:p>
        </w:tc>
      </w:tr>
      <w:tr w:rsidR="00DE143A" w14:paraId="595B60AE"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9EF7B89"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362EEAB"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56ADCED"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FAA62E2"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6A082CB"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(0.013)</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6C687FB"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(0.010)</w:t>
            </w:r>
          </w:p>
        </w:tc>
      </w:tr>
      <w:tr w:rsidR="00DE143A" w14:paraId="6D9E6B51"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198CB67"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DC0003C"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9D60B7C"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3838078"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6E44F10"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FB9FFFE" w14:textId="77777777" w:rsidR="00DE143A" w:rsidRPr="003E71BF" w:rsidRDefault="00DE143A">
            <w:pPr>
              <w:autoSpaceDE w:val="0"/>
              <w:autoSpaceDN w:val="0"/>
              <w:adjustRightInd w:val="0"/>
              <w:rPr>
                <w:rFonts w:eastAsiaTheme="minorHAnsi"/>
                <w:sz w:val="20"/>
                <w:szCs w:val="20"/>
                <w14:ligatures w14:val="standardContextual"/>
              </w:rPr>
            </w:pPr>
          </w:p>
        </w:tc>
      </w:tr>
      <w:tr w:rsidR="00DE143A" w14:paraId="63A421DA"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896EC47" w14:textId="37B8E85F" w:rsidR="00DE143A" w:rsidRDefault="0052757B">
            <w:pPr>
              <w:autoSpaceDE w:val="0"/>
              <w:autoSpaceDN w:val="0"/>
              <w:adjustRightInd w:val="0"/>
              <w:rPr>
                <w:rFonts w:eastAsiaTheme="minorHAnsi"/>
                <w14:ligatures w14:val="standardContextual"/>
              </w:rPr>
            </w:pPr>
            <w:r>
              <w:rPr>
                <w:rFonts w:eastAsiaTheme="minorHAnsi"/>
                <w14:ligatures w14:val="standardContextual"/>
              </w:rPr>
              <w:t>Military</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0F32121"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A4AD7D0"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44624E5"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2025954"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-0.008</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F29DA2F"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-0.012</w:t>
            </w:r>
          </w:p>
        </w:tc>
      </w:tr>
      <w:tr w:rsidR="00DE143A" w14:paraId="6768E35F"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AB38DCD"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553B0A3"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6AC3BC6"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87DFD9D"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4772BFA"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(0.018)</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ADEFBA6"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(0.013)</w:t>
            </w:r>
          </w:p>
        </w:tc>
      </w:tr>
      <w:tr w:rsidR="00DE143A" w14:paraId="24930591"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DE7AC12"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BC11257"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8E991B6"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387C190"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A19B855"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7C17ADC" w14:textId="77777777" w:rsidR="00DE143A" w:rsidRPr="003E71BF" w:rsidRDefault="00DE143A">
            <w:pPr>
              <w:autoSpaceDE w:val="0"/>
              <w:autoSpaceDN w:val="0"/>
              <w:adjustRightInd w:val="0"/>
              <w:rPr>
                <w:rFonts w:eastAsiaTheme="minorHAnsi"/>
                <w:sz w:val="20"/>
                <w:szCs w:val="20"/>
                <w14:ligatures w14:val="standardContextual"/>
              </w:rPr>
            </w:pPr>
          </w:p>
        </w:tc>
      </w:tr>
      <w:tr w:rsidR="00DE143A" w14:paraId="79A77071"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E581D86" w14:textId="1B120AF6" w:rsidR="00DE143A" w:rsidRDefault="0052757B">
            <w:pPr>
              <w:autoSpaceDE w:val="0"/>
              <w:autoSpaceDN w:val="0"/>
              <w:adjustRightInd w:val="0"/>
              <w:rPr>
                <w:rFonts w:eastAsiaTheme="minorHAnsi"/>
                <w14:ligatures w14:val="standardContextual"/>
              </w:rPr>
            </w:pPr>
            <w:r>
              <w:rPr>
                <w:rFonts w:eastAsiaTheme="minorHAnsi"/>
                <w14:ligatures w14:val="standardContextual"/>
              </w:rPr>
              <w:t>Govt Exp</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57195DD"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18F269D"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BC91B19"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D213B30"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0.049</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EE8879D"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0.028</w:t>
            </w:r>
            <w:r w:rsidRPr="003E71BF">
              <w:rPr>
                <w:rFonts w:eastAsiaTheme="minorHAnsi"/>
                <w:sz w:val="20"/>
                <w:szCs w:val="20"/>
                <w:vertAlign w:val="superscript"/>
                <w14:ligatures w14:val="standardContextual"/>
              </w:rPr>
              <w:t>**</w:t>
            </w:r>
          </w:p>
        </w:tc>
      </w:tr>
      <w:tr w:rsidR="00DE143A" w14:paraId="7A189DFE"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7919A29"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7D3DB28"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58B5337"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D043BF9"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67D94E0"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(0.016)</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AC531E8"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(0.011)</w:t>
            </w:r>
          </w:p>
        </w:tc>
      </w:tr>
      <w:tr w:rsidR="00DE143A" w14:paraId="4C7971A4"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D721E20"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DFA670D"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A5024C1"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F9EE171"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D3BAA62"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5042E85" w14:textId="77777777" w:rsidR="00DE143A" w:rsidRPr="003E71BF" w:rsidRDefault="00DE143A">
            <w:pPr>
              <w:autoSpaceDE w:val="0"/>
              <w:autoSpaceDN w:val="0"/>
              <w:adjustRightInd w:val="0"/>
              <w:rPr>
                <w:rFonts w:eastAsiaTheme="minorHAnsi"/>
                <w:sz w:val="20"/>
                <w:szCs w:val="20"/>
                <w14:ligatures w14:val="standardContextual"/>
              </w:rPr>
            </w:pPr>
          </w:p>
        </w:tc>
      </w:tr>
      <w:tr w:rsidR="00DE143A" w14:paraId="0FEE6639"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813E8FA" w14:textId="07E50544" w:rsidR="00DE143A" w:rsidRDefault="0052757B">
            <w:pPr>
              <w:autoSpaceDE w:val="0"/>
              <w:autoSpaceDN w:val="0"/>
              <w:adjustRightInd w:val="0"/>
              <w:rPr>
                <w:rFonts w:eastAsiaTheme="minorHAnsi"/>
                <w14:ligatures w14:val="standardContextual"/>
              </w:rPr>
            </w:pPr>
            <w:r>
              <w:rPr>
                <w:rFonts w:eastAsiaTheme="minorHAnsi"/>
                <w14:ligatures w14:val="standardContextual"/>
              </w:rPr>
              <w:t>Imm. Exp</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EDD8867"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3C6A498"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6A53882"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B758C2D"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-0.038</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78F4F9F"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-0.023</w:t>
            </w:r>
          </w:p>
        </w:tc>
      </w:tr>
      <w:tr w:rsidR="00DE143A" w14:paraId="2CE54946"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7D45BEB"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8D71D97"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F96EDD1"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C2E3B19"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49E158F"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(0.018)</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FADE2DE"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(0.014)</w:t>
            </w:r>
          </w:p>
        </w:tc>
      </w:tr>
      <w:tr w:rsidR="00DE143A" w14:paraId="3D0488CE"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338C81C"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461D786"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8962B8A"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4110A46"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CC401AA"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6808F40" w14:textId="77777777" w:rsidR="00DE143A" w:rsidRPr="003E71BF" w:rsidRDefault="00DE143A">
            <w:pPr>
              <w:autoSpaceDE w:val="0"/>
              <w:autoSpaceDN w:val="0"/>
              <w:adjustRightInd w:val="0"/>
              <w:rPr>
                <w:rFonts w:eastAsiaTheme="minorHAnsi"/>
                <w:sz w:val="20"/>
                <w:szCs w:val="20"/>
                <w14:ligatures w14:val="standardContextual"/>
              </w:rPr>
            </w:pPr>
          </w:p>
        </w:tc>
      </w:tr>
      <w:tr w:rsidR="00DE143A" w14:paraId="17C538C5"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20118BB" w14:textId="0EA388C0" w:rsidR="00DE143A" w:rsidRDefault="00DE143A">
            <w:pPr>
              <w:autoSpaceDE w:val="0"/>
              <w:autoSpaceDN w:val="0"/>
              <w:adjustRightInd w:val="0"/>
              <w:rPr>
                <w:rFonts w:eastAsiaTheme="minorHAnsi"/>
                <w14:ligatures w14:val="standardContextual"/>
              </w:rPr>
            </w:pPr>
            <w:r>
              <w:rPr>
                <w:rFonts w:eastAsiaTheme="minorHAnsi"/>
                <w14:ligatures w14:val="standardContextual"/>
              </w:rPr>
              <w:t xml:space="preserve">Judge </w:t>
            </w:r>
            <w:r w:rsidR="0052757B">
              <w:rPr>
                <w:rFonts w:eastAsiaTheme="minorHAnsi"/>
                <w14:ligatures w14:val="standardContextual"/>
              </w:rPr>
              <w:t>Tenure</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F1EAC3B"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6C2154C"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EB7D17D"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CEC69D3"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-0.009</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4A48D15"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-0.008</w:t>
            </w:r>
            <w:r w:rsidRPr="003E71BF">
              <w:rPr>
                <w:rFonts w:eastAsiaTheme="minorHAnsi"/>
                <w:sz w:val="20"/>
                <w:szCs w:val="20"/>
                <w:vertAlign w:val="superscript"/>
                <w14:ligatures w14:val="standardContextual"/>
              </w:rPr>
              <w:t>***</w:t>
            </w:r>
          </w:p>
        </w:tc>
      </w:tr>
      <w:tr w:rsidR="00DE143A" w14:paraId="49C98AF1"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41FA4C1"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D0022A8"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93E56C2"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7930E25" w14:textId="77777777" w:rsidR="00DE143A" w:rsidRPr="003E71BF" w:rsidRDefault="00DE143A">
            <w:pPr>
              <w:autoSpaceDE w:val="0"/>
              <w:autoSpaceDN w:val="0"/>
              <w:adjustRightInd w:val="0"/>
              <w:jc w:val="center"/>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F9267BA"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(0.002)</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EA20C96"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(0.002)</w:t>
            </w:r>
          </w:p>
        </w:tc>
      </w:tr>
      <w:tr w:rsidR="00DE143A" w14:paraId="20241EF4"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3E41F15"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189592B"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D2EC015"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58BAA0A"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A071541" w14:textId="77777777" w:rsidR="00DE143A" w:rsidRPr="003E71BF" w:rsidRDefault="00DE143A">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CC72D5E" w14:textId="77777777" w:rsidR="00DE143A" w:rsidRPr="003E71BF" w:rsidRDefault="00DE143A">
            <w:pPr>
              <w:autoSpaceDE w:val="0"/>
              <w:autoSpaceDN w:val="0"/>
              <w:adjustRightInd w:val="0"/>
              <w:rPr>
                <w:rFonts w:eastAsiaTheme="minorHAnsi"/>
                <w:sz w:val="20"/>
                <w:szCs w:val="20"/>
                <w14:ligatures w14:val="standardContextual"/>
              </w:rPr>
            </w:pPr>
          </w:p>
        </w:tc>
      </w:tr>
      <w:tr w:rsidR="00DE143A" w14:paraId="35964B4D"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4C44C23" w14:textId="77777777" w:rsidR="00DE143A" w:rsidRDefault="00DE143A">
            <w:pPr>
              <w:autoSpaceDE w:val="0"/>
              <w:autoSpaceDN w:val="0"/>
              <w:adjustRightInd w:val="0"/>
              <w:rPr>
                <w:rFonts w:eastAsiaTheme="minorHAnsi"/>
                <w14:ligatures w14:val="standardContextual"/>
              </w:rPr>
            </w:pPr>
            <w:r>
              <w:rPr>
                <w:rFonts w:eastAsiaTheme="minorHAnsi"/>
                <w14:ligatures w14:val="standardContextual"/>
              </w:rPr>
              <w:t>Constant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9A997DC"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0.525</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A338ECB"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0.606</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6F9BA3E"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0.657</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56AB4B6"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0.637</w:t>
            </w:r>
            <w:r w:rsidRPr="003E71BF">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9A3A24E"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0.599</w:t>
            </w:r>
            <w:r w:rsidRPr="003E71BF">
              <w:rPr>
                <w:rFonts w:eastAsiaTheme="minorHAnsi"/>
                <w:sz w:val="20"/>
                <w:szCs w:val="20"/>
                <w:vertAlign w:val="superscript"/>
                <w14:ligatures w14:val="standardContextual"/>
              </w:rPr>
              <w:t>***</w:t>
            </w:r>
          </w:p>
        </w:tc>
      </w:tr>
      <w:tr w:rsidR="00DE143A" w14:paraId="1B5C05A1" w14:textId="77777777">
        <w:tblPrEx>
          <w:tblBorders>
            <w:top w:val="none" w:sz="0" w:space="0" w:color="auto"/>
          </w:tblBorders>
        </w:tblPrEx>
        <w:tc>
          <w:tcPr>
            <w:tcW w:w="1548" w:type="dxa"/>
            <w:tcBorders>
              <w:top w:val="single" w:sz="8" w:space="0" w:color="BFBFBF"/>
              <w:left w:val="single" w:sz="8" w:space="0" w:color="BFBFBF"/>
              <w:bottom w:val="single" w:sz="4" w:space="0" w:color="BFBFBF"/>
              <w:right w:val="single" w:sz="8" w:space="0" w:color="BFBFBF"/>
            </w:tcBorders>
            <w:tcMar>
              <w:top w:w="100" w:type="nil"/>
              <w:right w:w="100" w:type="nil"/>
            </w:tcMar>
            <w:vAlign w:val="center"/>
          </w:tcPr>
          <w:p w14:paraId="61D38EF4" w14:textId="77777777" w:rsidR="00DE143A" w:rsidRDefault="00DE143A">
            <w:pPr>
              <w:autoSpaceDE w:val="0"/>
              <w:autoSpaceDN w:val="0"/>
              <w:adjustRightInd w:val="0"/>
              <w:rPr>
                <w:rFonts w:eastAsiaTheme="minorHAnsi"/>
                <w14:ligatures w14:val="standardContextual"/>
              </w:rPr>
            </w:pPr>
          </w:p>
        </w:tc>
        <w:tc>
          <w:tcPr>
            <w:tcW w:w="1440" w:type="dxa"/>
            <w:tcBorders>
              <w:top w:val="single" w:sz="8" w:space="0" w:color="BFBFBF"/>
              <w:left w:val="single" w:sz="8" w:space="0" w:color="BFBFBF"/>
              <w:bottom w:val="single" w:sz="4" w:space="0" w:color="BFBFBF"/>
              <w:right w:val="single" w:sz="8" w:space="0" w:color="BFBFBF"/>
            </w:tcBorders>
            <w:tcMar>
              <w:top w:w="100" w:type="nil"/>
              <w:right w:w="100" w:type="nil"/>
            </w:tcMar>
            <w:vAlign w:val="center"/>
          </w:tcPr>
          <w:p w14:paraId="0C201982"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(0.020)</w:t>
            </w:r>
          </w:p>
        </w:tc>
        <w:tc>
          <w:tcPr>
            <w:tcW w:w="1440" w:type="dxa"/>
            <w:tcBorders>
              <w:top w:val="single" w:sz="8" w:space="0" w:color="BFBFBF"/>
              <w:left w:val="single" w:sz="8" w:space="0" w:color="BFBFBF"/>
              <w:bottom w:val="single" w:sz="4" w:space="0" w:color="BFBFBF"/>
              <w:right w:val="single" w:sz="8" w:space="0" w:color="BFBFBF"/>
            </w:tcBorders>
            <w:tcMar>
              <w:top w:w="100" w:type="nil"/>
              <w:right w:w="100" w:type="nil"/>
            </w:tcMar>
            <w:vAlign w:val="center"/>
          </w:tcPr>
          <w:p w14:paraId="467F5529"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(0.023)</w:t>
            </w:r>
          </w:p>
        </w:tc>
        <w:tc>
          <w:tcPr>
            <w:tcW w:w="1440" w:type="dxa"/>
            <w:tcBorders>
              <w:top w:val="single" w:sz="8" w:space="0" w:color="BFBFBF"/>
              <w:left w:val="single" w:sz="8" w:space="0" w:color="BFBFBF"/>
              <w:bottom w:val="single" w:sz="4" w:space="0" w:color="BFBFBF"/>
              <w:right w:val="single" w:sz="8" w:space="0" w:color="BFBFBF"/>
            </w:tcBorders>
            <w:tcMar>
              <w:top w:w="100" w:type="nil"/>
              <w:right w:w="100" w:type="nil"/>
            </w:tcMar>
            <w:vAlign w:val="center"/>
          </w:tcPr>
          <w:p w14:paraId="1DF2E3EF"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(0.019)</w:t>
            </w:r>
          </w:p>
        </w:tc>
        <w:tc>
          <w:tcPr>
            <w:tcW w:w="1440" w:type="dxa"/>
            <w:tcBorders>
              <w:top w:val="single" w:sz="8" w:space="0" w:color="BFBFBF"/>
              <w:left w:val="single" w:sz="8" w:space="0" w:color="BFBFBF"/>
              <w:bottom w:val="single" w:sz="4" w:space="0" w:color="BFBFBF"/>
              <w:right w:val="single" w:sz="8" w:space="0" w:color="BFBFBF"/>
            </w:tcBorders>
            <w:tcMar>
              <w:top w:w="100" w:type="nil"/>
              <w:right w:w="100" w:type="nil"/>
            </w:tcMar>
            <w:vAlign w:val="center"/>
          </w:tcPr>
          <w:p w14:paraId="0A1EF9BB"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(0.026)</w:t>
            </w:r>
          </w:p>
        </w:tc>
        <w:tc>
          <w:tcPr>
            <w:tcW w:w="1440" w:type="dxa"/>
            <w:tcBorders>
              <w:top w:val="single" w:sz="8" w:space="0" w:color="BFBFBF"/>
              <w:left w:val="single" w:sz="8" w:space="0" w:color="BFBFBF"/>
              <w:bottom w:val="single" w:sz="4" w:space="0" w:color="BFBFBF"/>
              <w:right w:val="single" w:sz="8" w:space="0" w:color="BFBFBF"/>
            </w:tcBorders>
            <w:tcMar>
              <w:top w:w="100" w:type="nil"/>
              <w:right w:w="100" w:type="nil"/>
            </w:tcMar>
            <w:vAlign w:val="center"/>
          </w:tcPr>
          <w:p w14:paraId="615F2D5C"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(0.024)</w:t>
            </w:r>
          </w:p>
        </w:tc>
      </w:tr>
      <w:tr w:rsidR="00DE143A" w14:paraId="7E7BFB49" w14:textId="77777777">
        <w:tblPrEx>
          <w:tblBorders>
            <w:top w:val="none" w:sz="0" w:space="0" w:color="auto"/>
          </w:tblBorders>
        </w:tblPrEx>
        <w:tc>
          <w:tcPr>
            <w:tcW w:w="1548" w:type="dxa"/>
            <w:tcBorders>
              <w:top w:val="single" w:sz="4" w:space="0" w:color="BFBFBF"/>
              <w:left w:val="single" w:sz="8" w:space="0" w:color="BFBFBF"/>
              <w:bottom w:val="single" w:sz="8" w:space="0" w:color="BFBFBF"/>
              <w:right w:val="single" w:sz="8" w:space="0" w:color="BFBFBF"/>
            </w:tcBorders>
            <w:tcMar>
              <w:top w:w="100" w:type="nil"/>
              <w:right w:w="100" w:type="nil"/>
            </w:tcMar>
            <w:vAlign w:val="center"/>
          </w:tcPr>
          <w:p w14:paraId="3450B7D9" w14:textId="77777777" w:rsidR="00DE143A" w:rsidRDefault="00DE143A">
            <w:pPr>
              <w:autoSpaceDE w:val="0"/>
              <w:autoSpaceDN w:val="0"/>
              <w:adjustRightInd w:val="0"/>
              <w:rPr>
                <w:rFonts w:eastAsiaTheme="minorHAnsi"/>
                <w14:ligatures w14:val="standardContextual"/>
              </w:rPr>
            </w:pPr>
            <w:r>
              <w:rPr>
                <w:rFonts w:eastAsiaTheme="minorHAnsi"/>
                <w14:ligatures w14:val="standardContextual"/>
              </w:rPr>
              <w:t>Observations</w:t>
            </w:r>
          </w:p>
        </w:tc>
        <w:tc>
          <w:tcPr>
            <w:tcW w:w="1440" w:type="dxa"/>
            <w:tcBorders>
              <w:top w:val="single" w:sz="4" w:space="0" w:color="BFBFBF"/>
              <w:left w:val="single" w:sz="8" w:space="0" w:color="BFBFBF"/>
              <w:bottom w:val="single" w:sz="8" w:space="0" w:color="BFBFBF"/>
              <w:right w:val="single" w:sz="8" w:space="0" w:color="BFBFBF"/>
            </w:tcBorders>
            <w:tcMar>
              <w:top w:w="100" w:type="nil"/>
              <w:right w:w="100" w:type="nil"/>
            </w:tcMar>
            <w:vAlign w:val="center"/>
          </w:tcPr>
          <w:p w14:paraId="17A9C8D1"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1.02e+06</w:t>
            </w:r>
          </w:p>
        </w:tc>
        <w:tc>
          <w:tcPr>
            <w:tcW w:w="1440" w:type="dxa"/>
            <w:tcBorders>
              <w:top w:val="single" w:sz="4" w:space="0" w:color="BFBFBF"/>
              <w:left w:val="single" w:sz="8" w:space="0" w:color="BFBFBF"/>
              <w:bottom w:val="single" w:sz="8" w:space="0" w:color="BFBFBF"/>
              <w:right w:val="single" w:sz="8" w:space="0" w:color="BFBFBF"/>
            </w:tcBorders>
            <w:tcMar>
              <w:top w:w="100" w:type="nil"/>
              <w:right w:w="100" w:type="nil"/>
            </w:tcMar>
            <w:vAlign w:val="center"/>
          </w:tcPr>
          <w:p w14:paraId="6789AA41"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1.02e+06</w:t>
            </w:r>
          </w:p>
        </w:tc>
        <w:tc>
          <w:tcPr>
            <w:tcW w:w="1440" w:type="dxa"/>
            <w:tcBorders>
              <w:top w:val="single" w:sz="4" w:space="0" w:color="BFBFBF"/>
              <w:left w:val="single" w:sz="8" w:space="0" w:color="BFBFBF"/>
              <w:bottom w:val="single" w:sz="8" w:space="0" w:color="BFBFBF"/>
              <w:right w:val="single" w:sz="8" w:space="0" w:color="BFBFBF"/>
            </w:tcBorders>
            <w:tcMar>
              <w:top w:w="100" w:type="nil"/>
              <w:right w:w="100" w:type="nil"/>
            </w:tcMar>
            <w:vAlign w:val="center"/>
          </w:tcPr>
          <w:p w14:paraId="27555F86"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9.54e+05</w:t>
            </w:r>
          </w:p>
        </w:tc>
        <w:tc>
          <w:tcPr>
            <w:tcW w:w="1440" w:type="dxa"/>
            <w:tcBorders>
              <w:top w:val="single" w:sz="4" w:space="0" w:color="BFBFBF"/>
              <w:left w:val="single" w:sz="8" w:space="0" w:color="BFBFBF"/>
              <w:bottom w:val="single" w:sz="8" w:space="0" w:color="BFBFBF"/>
              <w:right w:val="single" w:sz="8" w:space="0" w:color="BFBFBF"/>
            </w:tcBorders>
            <w:tcMar>
              <w:top w:w="100" w:type="nil"/>
              <w:right w:w="100" w:type="nil"/>
            </w:tcMar>
            <w:vAlign w:val="center"/>
          </w:tcPr>
          <w:p w14:paraId="113E5E57"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9.42e+05</w:t>
            </w:r>
          </w:p>
        </w:tc>
        <w:tc>
          <w:tcPr>
            <w:tcW w:w="1440" w:type="dxa"/>
            <w:tcBorders>
              <w:top w:val="single" w:sz="4" w:space="0" w:color="BFBFBF"/>
              <w:left w:val="single" w:sz="8" w:space="0" w:color="BFBFBF"/>
              <w:bottom w:val="single" w:sz="8" w:space="0" w:color="BFBFBF"/>
              <w:right w:val="single" w:sz="8" w:space="0" w:color="BFBFBF"/>
            </w:tcBorders>
            <w:tcMar>
              <w:top w:w="100" w:type="nil"/>
              <w:right w:w="100" w:type="nil"/>
            </w:tcMar>
            <w:vAlign w:val="center"/>
          </w:tcPr>
          <w:p w14:paraId="20B5EE19"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9.42e+05</w:t>
            </w:r>
          </w:p>
        </w:tc>
      </w:tr>
      <w:tr w:rsidR="00DE143A" w14:paraId="7950F839" w14:textId="77777777">
        <w:tc>
          <w:tcPr>
            <w:tcW w:w="1548" w:type="dxa"/>
            <w:tcBorders>
              <w:top w:val="single" w:sz="8" w:space="0" w:color="BFBFBF"/>
              <w:left w:val="single" w:sz="8" w:space="0" w:color="BFBFBF"/>
              <w:bottom w:val="single" w:sz="4" w:space="0" w:color="BFBFBF"/>
              <w:right w:val="single" w:sz="8" w:space="0" w:color="BFBFBF"/>
            </w:tcBorders>
            <w:tcMar>
              <w:top w:w="100" w:type="nil"/>
              <w:right w:w="100" w:type="nil"/>
            </w:tcMar>
            <w:vAlign w:val="center"/>
          </w:tcPr>
          <w:p w14:paraId="75642749" w14:textId="77777777" w:rsidR="00DE143A" w:rsidRDefault="00DE143A">
            <w:pPr>
              <w:autoSpaceDE w:val="0"/>
              <w:autoSpaceDN w:val="0"/>
              <w:adjustRightInd w:val="0"/>
              <w:rPr>
                <w:rFonts w:eastAsiaTheme="minorHAnsi"/>
                <w14:ligatures w14:val="standardContextual"/>
              </w:rPr>
            </w:pPr>
            <w:r>
              <w:rPr>
                <w:rFonts w:eastAsiaTheme="minorHAnsi"/>
                <w14:ligatures w14:val="standardContextual"/>
              </w:rPr>
              <w:lastRenderedPageBreak/>
              <w:t>Adj. R-squared</w:t>
            </w:r>
          </w:p>
        </w:tc>
        <w:tc>
          <w:tcPr>
            <w:tcW w:w="1440" w:type="dxa"/>
            <w:tcBorders>
              <w:top w:val="single" w:sz="8" w:space="0" w:color="BFBFBF"/>
              <w:left w:val="single" w:sz="8" w:space="0" w:color="BFBFBF"/>
              <w:bottom w:val="single" w:sz="4" w:space="0" w:color="BFBFBF"/>
              <w:right w:val="single" w:sz="8" w:space="0" w:color="BFBFBF"/>
            </w:tcBorders>
            <w:tcMar>
              <w:top w:w="100" w:type="nil"/>
              <w:right w:w="100" w:type="nil"/>
            </w:tcMar>
            <w:vAlign w:val="center"/>
          </w:tcPr>
          <w:p w14:paraId="1E4420D2"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0.005</w:t>
            </w:r>
          </w:p>
        </w:tc>
        <w:tc>
          <w:tcPr>
            <w:tcW w:w="1440" w:type="dxa"/>
            <w:tcBorders>
              <w:top w:val="single" w:sz="8" w:space="0" w:color="BFBFBF"/>
              <w:left w:val="single" w:sz="8" w:space="0" w:color="BFBFBF"/>
              <w:bottom w:val="single" w:sz="4" w:space="0" w:color="BFBFBF"/>
              <w:right w:val="single" w:sz="8" w:space="0" w:color="BFBFBF"/>
            </w:tcBorders>
            <w:tcMar>
              <w:top w:w="100" w:type="nil"/>
              <w:right w:w="100" w:type="nil"/>
            </w:tcMar>
            <w:vAlign w:val="center"/>
          </w:tcPr>
          <w:p w14:paraId="36ABD129"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0.080</w:t>
            </w:r>
          </w:p>
        </w:tc>
        <w:tc>
          <w:tcPr>
            <w:tcW w:w="1440" w:type="dxa"/>
            <w:tcBorders>
              <w:top w:val="single" w:sz="8" w:space="0" w:color="BFBFBF"/>
              <w:left w:val="single" w:sz="8" w:space="0" w:color="BFBFBF"/>
              <w:bottom w:val="single" w:sz="4" w:space="0" w:color="BFBFBF"/>
              <w:right w:val="single" w:sz="8" w:space="0" w:color="BFBFBF"/>
            </w:tcBorders>
            <w:tcMar>
              <w:top w:w="100" w:type="nil"/>
              <w:right w:w="100" w:type="nil"/>
            </w:tcMar>
            <w:vAlign w:val="center"/>
          </w:tcPr>
          <w:p w14:paraId="7883E68F"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0.196</w:t>
            </w:r>
          </w:p>
        </w:tc>
        <w:tc>
          <w:tcPr>
            <w:tcW w:w="1440" w:type="dxa"/>
            <w:tcBorders>
              <w:top w:val="single" w:sz="8" w:space="0" w:color="BFBFBF"/>
              <w:left w:val="single" w:sz="8" w:space="0" w:color="BFBFBF"/>
              <w:bottom w:val="single" w:sz="4" w:space="0" w:color="BFBFBF"/>
              <w:right w:val="single" w:sz="8" w:space="0" w:color="BFBFBF"/>
            </w:tcBorders>
            <w:tcMar>
              <w:top w:w="100" w:type="nil"/>
              <w:right w:w="100" w:type="nil"/>
            </w:tcMar>
            <w:vAlign w:val="center"/>
          </w:tcPr>
          <w:p w14:paraId="773105E4"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0.206</w:t>
            </w:r>
          </w:p>
        </w:tc>
        <w:tc>
          <w:tcPr>
            <w:tcW w:w="1440" w:type="dxa"/>
            <w:tcBorders>
              <w:top w:val="single" w:sz="8" w:space="0" w:color="BFBFBF"/>
              <w:left w:val="single" w:sz="8" w:space="0" w:color="BFBFBF"/>
              <w:bottom w:val="single" w:sz="4" w:space="0" w:color="BFBFBF"/>
              <w:right w:val="single" w:sz="8" w:space="0" w:color="BFBFBF"/>
            </w:tcBorders>
            <w:tcMar>
              <w:top w:w="100" w:type="nil"/>
              <w:right w:w="100" w:type="nil"/>
            </w:tcMar>
            <w:vAlign w:val="center"/>
          </w:tcPr>
          <w:p w14:paraId="2EBBE51B" w14:textId="77777777" w:rsidR="00DE143A" w:rsidRPr="003E71BF" w:rsidRDefault="00DE143A">
            <w:pPr>
              <w:autoSpaceDE w:val="0"/>
              <w:autoSpaceDN w:val="0"/>
              <w:adjustRightInd w:val="0"/>
              <w:jc w:val="center"/>
              <w:rPr>
                <w:rFonts w:eastAsiaTheme="minorHAnsi"/>
                <w:sz w:val="20"/>
                <w:szCs w:val="20"/>
                <w14:ligatures w14:val="standardContextual"/>
              </w:rPr>
            </w:pPr>
            <w:r w:rsidRPr="003E71BF">
              <w:rPr>
                <w:rFonts w:eastAsiaTheme="minorHAnsi"/>
                <w:sz w:val="20"/>
                <w:szCs w:val="20"/>
                <w14:ligatures w14:val="standardContextual"/>
              </w:rPr>
              <w:t>0.248</w:t>
            </w:r>
          </w:p>
        </w:tc>
      </w:tr>
    </w:tbl>
    <w:p w14:paraId="3465F39A" w14:textId="07B43A1A" w:rsidR="00DE143A" w:rsidRDefault="00DE143A" w:rsidP="00DE143A">
      <w:pPr>
        <w:autoSpaceDE w:val="0"/>
        <w:autoSpaceDN w:val="0"/>
        <w:adjustRightInd w:val="0"/>
        <w:rPr>
          <w:rFonts w:eastAsiaTheme="minorHAnsi"/>
          <w:sz w:val="20"/>
          <w:szCs w:val="20"/>
          <w14:ligatures w14:val="standardContextual"/>
        </w:rPr>
      </w:pPr>
      <w:r>
        <w:rPr>
          <w:rFonts w:eastAsiaTheme="minorHAnsi"/>
          <w:sz w:val="20"/>
          <w:szCs w:val="20"/>
          <w14:ligatures w14:val="standardContextual"/>
        </w:rPr>
        <w:t>Standard errors in parentheses</w:t>
      </w:r>
      <w:r w:rsidR="0052757B">
        <w:rPr>
          <w:rFonts w:eastAsiaTheme="minorHAnsi"/>
          <w:sz w:val="20"/>
          <w:szCs w:val="20"/>
          <w14:ligatures w14:val="standardContextual"/>
        </w:rPr>
        <w:t xml:space="preserve">. </w:t>
      </w:r>
      <w:r>
        <w:rPr>
          <w:rFonts w:eastAsiaTheme="minorHAnsi"/>
          <w:sz w:val="20"/>
          <w:szCs w:val="20"/>
          <w:vertAlign w:val="superscript"/>
          <w14:ligatures w14:val="standardContextual"/>
        </w:rPr>
        <w:t>*</w:t>
      </w:r>
      <w:r>
        <w:rPr>
          <w:rFonts w:eastAsiaTheme="minorHAnsi"/>
          <w:sz w:val="20"/>
          <w:szCs w:val="20"/>
          <w14:ligatures w14:val="standardContextual"/>
        </w:rPr>
        <w:t xml:space="preserve"> </w:t>
      </w:r>
      <w:r>
        <w:rPr>
          <w:rFonts w:eastAsiaTheme="minorHAnsi"/>
          <w:i/>
          <w:iCs/>
          <w:sz w:val="20"/>
          <w:szCs w:val="20"/>
          <w14:ligatures w14:val="standardContextual"/>
        </w:rPr>
        <w:t>p</w:t>
      </w:r>
      <w:r>
        <w:rPr>
          <w:rFonts w:eastAsiaTheme="minorHAnsi"/>
          <w:sz w:val="20"/>
          <w:szCs w:val="20"/>
          <w14:ligatures w14:val="standardContextual"/>
        </w:rPr>
        <w:t xml:space="preserve"> &lt; 0.10, </w:t>
      </w:r>
      <w:r>
        <w:rPr>
          <w:rFonts w:eastAsiaTheme="minorHAnsi"/>
          <w:sz w:val="20"/>
          <w:szCs w:val="20"/>
          <w:vertAlign w:val="superscript"/>
          <w14:ligatures w14:val="standardContextual"/>
        </w:rPr>
        <w:t>**</w:t>
      </w:r>
      <w:r>
        <w:rPr>
          <w:rFonts w:eastAsiaTheme="minorHAnsi"/>
          <w:sz w:val="20"/>
          <w:szCs w:val="20"/>
          <w14:ligatures w14:val="standardContextual"/>
        </w:rPr>
        <w:t xml:space="preserve"> </w:t>
      </w:r>
      <w:r>
        <w:rPr>
          <w:rFonts w:eastAsiaTheme="minorHAnsi"/>
          <w:i/>
          <w:iCs/>
          <w:sz w:val="20"/>
          <w:szCs w:val="20"/>
          <w14:ligatures w14:val="standardContextual"/>
        </w:rPr>
        <w:t>p</w:t>
      </w:r>
      <w:r>
        <w:rPr>
          <w:rFonts w:eastAsiaTheme="minorHAnsi"/>
          <w:sz w:val="20"/>
          <w:szCs w:val="20"/>
          <w14:ligatures w14:val="standardContextual"/>
        </w:rPr>
        <w:t xml:space="preserve"> &lt; 0.05, </w:t>
      </w:r>
      <w:r>
        <w:rPr>
          <w:rFonts w:eastAsiaTheme="minorHAnsi"/>
          <w:sz w:val="20"/>
          <w:szCs w:val="20"/>
          <w:vertAlign w:val="superscript"/>
          <w14:ligatures w14:val="standardContextual"/>
        </w:rPr>
        <w:t>***</w:t>
      </w:r>
      <w:r>
        <w:rPr>
          <w:rFonts w:eastAsiaTheme="minorHAnsi"/>
          <w:sz w:val="20"/>
          <w:szCs w:val="20"/>
          <w14:ligatures w14:val="standardContextual"/>
        </w:rPr>
        <w:t xml:space="preserve"> </w:t>
      </w:r>
      <w:r>
        <w:rPr>
          <w:rFonts w:eastAsiaTheme="minorHAnsi"/>
          <w:i/>
          <w:iCs/>
          <w:sz w:val="20"/>
          <w:szCs w:val="20"/>
          <w14:ligatures w14:val="standardContextual"/>
        </w:rPr>
        <w:t>p</w:t>
      </w:r>
      <w:r>
        <w:rPr>
          <w:rFonts w:eastAsiaTheme="minorHAnsi"/>
          <w:sz w:val="20"/>
          <w:szCs w:val="20"/>
          <w14:ligatures w14:val="standardContextual"/>
        </w:rPr>
        <w:t xml:space="preserve"> &lt; 0.01</w:t>
      </w:r>
    </w:p>
    <w:p w14:paraId="463F2A85" w14:textId="77777777" w:rsidR="00DE143A" w:rsidRDefault="00DE143A" w:rsidP="00DE143A">
      <w:pPr>
        <w:autoSpaceDE w:val="0"/>
        <w:autoSpaceDN w:val="0"/>
        <w:adjustRightInd w:val="0"/>
        <w:rPr>
          <w:rFonts w:eastAsiaTheme="minorHAnsi"/>
          <w14:ligatures w14:val="standardContextual"/>
        </w:rPr>
      </w:pPr>
    </w:p>
    <w:p w14:paraId="268A79FB" w14:textId="77777777" w:rsidR="00DE143A" w:rsidRDefault="00DE143A" w:rsidP="0098727F">
      <w:pPr>
        <w:pStyle w:val="NormalWeb"/>
        <w:spacing w:before="0" w:beforeAutospacing="0" w:after="0" w:afterAutospacing="0" w:line="480" w:lineRule="auto"/>
        <w:ind w:firstLine="720"/>
        <w:rPr>
          <w:color w:val="000000"/>
        </w:rPr>
      </w:pPr>
      <w:r>
        <w:rPr>
          <w:color w:val="000000"/>
        </w:rPr>
        <w:t>This table presents baseline estimates of removal outcomes across detailed appointment cohorts and presidential administrations, using Obama appointees as the reference category. The purpose of this specification is to provide a more granular assessment of cohort differences than the grouped “pre-Trump” comparison, while also evaluating how these differences change once case characteristics, judge attributes, and fixed effects are introduced. The results illustrate how both judicial background and administrative context shape removal decisions, and how the relative importance of these factors evolves across specifications.</w:t>
      </w:r>
    </w:p>
    <w:p w14:paraId="29764ECD" w14:textId="77777777" w:rsidR="00DE143A" w:rsidRDefault="00DE143A" w:rsidP="0098727F">
      <w:pPr>
        <w:pStyle w:val="NormalWeb"/>
        <w:spacing w:before="0" w:beforeAutospacing="0" w:after="0" w:afterAutospacing="0" w:line="480" w:lineRule="auto"/>
        <w:ind w:firstLine="720"/>
        <w:rPr>
          <w:color w:val="000000"/>
        </w:rPr>
      </w:pPr>
      <w:r>
        <w:rPr>
          <w:color w:val="000000"/>
        </w:rPr>
        <w:t>Column (1) reports raw differences in removal outcomes across appointment cohorts, without controls. In this specification, most pre-Obama cohorts (Bush I, Clinton, and Bush II) exhibit slightly lower removal rates than Obama appointees, though these differences are generally imprecise. Trump I appointees appear modestly more removal-oriented, while Trump II appointees exhibit substantially higher removal rates, with a difference of nearly 40 percentage points relative to Obama appointees. These large differences reflect both behavioral variation and substantial differences in case composition and court assignment across cohorts.</w:t>
      </w:r>
    </w:p>
    <w:p w14:paraId="3AB9E64A" w14:textId="77777777" w:rsidR="00DE143A" w:rsidRDefault="00DE143A" w:rsidP="0098727F">
      <w:pPr>
        <w:pStyle w:val="NormalWeb"/>
        <w:spacing w:before="0" w:beforeAutospacing="0" w:after="0" w:afterAutospacing="0" w:line="480" w:lineRule="auto"/>
        <w:rPr>
          <w:color w:val="000000"/>
        </w:rPr>
      </w:pPr>
      <w:r>
        <w:rPr>
          <w:color w:val="000000"/>
        </w:rPr>
        <w:t xml:space="preserve">Column (2) adds indicators for presidential administration. Once administrative context is included, cohort differences change noticeably. The Trump I coefficient increases and becomes statistically significant, while earlier cohorts (Clinton and Bush I) appear more removal-averse relative to Obama appointees. At the same time, large differences across administrations </w:t>
      </w:r>
      <w:proofErr w:type="gramStart"/>
      <w:r>
        <w:rPr>
          <w:color w:val="000000"/>
        </w:rPr>
        <w:t>emerge:</w:t>
      </w:r>
      <w:proofErr w:type="gramEnd"/>
      <w:r>
        <w:rPr>
          <w:color w:val="000000"/>
        </w:rPr>
        <w:t xml:space="preserve"> removal rates are significantly lower under the Obama and Biden administrations and higher under the Trump II administration. These patterns indicate that administrative context is a major driver of outcomes and interacts with the distribution of cases across cohorts.</w:t>
      </w:r>
    </w:p>
    <w:p w14:paraId="08C47A3B" w14:textId="77777777" w:rsidR="00DE143A" w:rsidRDefault="00DE143A" w:rsidP="0098727F">
      <w:pPr>
        <w:pStyle w:val="NormalWeb"/>
        <w:spacing w:before="0" w:beforeAutospacing="0" w:after="0" w:afterAutospacing="0" w:line="480" w:lineRule="auto"/>
        <w:ind w:firstLine="720"/>
        <w:rPr>
          <w:color w:val="000000"/>
        </w:rPr>
      </w:pPr>
      <w:r>
        <w:rPr>
          <w:color w:val="000000"/>
        </w:rPr>
        <w:lastRenderedPageBreak/>
        <w:t>Column (3) introduces case-level controls, including representation, asylum claims, nationality, language ability, detention status, and criminal history. The inclusion of these variables substantially attenuates the cohort coefficients. In particular, the large differences observed for Trump II appointees shrink dramatically, and the Trump I coefficient declines as well. This indicates that a meaningful portion of the raw differences across cohorts is driven by differences in case mix rather than purely differences in judicial behavior. At the same time, the administration coefficients remain large, suggesting that policy environment continues to exert a strong influence even after controlling for observable case characteristics.</w:t>
      </w:r>
    </w:p>
    <w:p w14:paraId="7491D8A3" w14:textId="77777777" w:rsidR="00DE143A" w:rsidRDefault="00DE143A" w:rsidP="0098727F">
      <w:pPr>
        <w:pStyle w:val="NormalWeb"/>
        <w:spacing w:before="0" w:beforeAutospacing="0" w:after="0" w:afterAutospacing="0" w:line="480" w:lineRule="auto"/>
        <w:ind w:firstLine="720"/>
        <w:rPr>
          <w:color w:val="000000"/>
        </w:rPr>
      </w:pPr>
      <w:r>
        <w:rPr>
          <w:color w:val="000000"/>
        </w:rPr>
        <w:t xml:space="preserve">Column (4) adds judge-level characteristics, including gender, prior government experience, military background, immigration experience, and judicial tenure. The inclusion of these variables further alters the cohort estimates. Notably, earlier cohorts such as Bush I and Clinton now appear significantly more removal-oriented relative to Obama appointees. This reversal reflects the fact that Obama appointees differ systematically from earlier cohorts along observable dimensions—particularly experience and professional background—that are correlated with removal outcomes. Once these differences are accounted for, the relative positioning of </w:t>
      </w:r>
      <w:proofErr w:type="gramStart"/>
      <w:r>
        <w:rPr>
          <w:color w:val="000000"/>
        </w:rPr>
        <w:t>cohorts</w:t>
      </w:r>
      <w:proofErr w:type="gramEnd"/>
      <w:r>
        <w:rPr>
          <w:color w:val="000000"/>
        </w:rPr>
        <w:t xml:space="preserve"> changes.</w:t>
      </w:r>
    </w:p>
    <w:p w14:paraId="1A30CFB1" w14:textId="77777777" w:rsidR="00DE143A" w:rsidRDefault="00DE143A" w:rsidP="0098727F">
      <w:pPr>
        <w:pStyle w:val="NormalWeb"/>
        <w:spacing w:before="0" w:beforeAutospacing="0" w:after="0" w:afterAutospacing="0" w:line="480" w:lineRule="auto"/>
        <w:ind w:firstLine="720"/>
        <w:rPr>
          <w:color w:val="000000"/>
        </w:rPr>
      </w:pPr>
      <w:r>
        <w:rPr>
          <w:color w:val="000000"/>
        </w:rPr>
        <w:t xml:space="preserve">Column (5) adds court-level fixed effects based on base city, providing the preferred baseline specification. In this column, most cohort differences are small in magnitude. Trump I appointees are no longer statistically distinguishable from Obama appointees, and the coefficients for Biden and Trump II appointees are also modest and imprecise. Earlier cohorts, however, remain somewhat more removal-oriented than Obama appointees, with Bush I and Clinton appointees exhibiting differences of approximately 10–13 percentage points. Overall, </w:t>
      </w:r>
      <w:r>
        <w:rPr>
          <w:color w:val="000000"/>
        </w:rPr>
        <w:lastRenderedPageBreak/>
        <w:t xml:space="preserve">these results indicate that once case composition, judge characteristics, and court assignment are </w:t>
      </w:r>
      <w:proofErr w:type="gramStart"/>
      <w:r>
        <w:rPr>
          <w:color w:val="000000"/>
        </w:rPr>
        <w:t>taken into account</w:t>
      </w:r>
      <w:proofErr w:type="gramEnd"/>
      <w:r>
        <w:rPr>
          <w:color w:val="000000"/>
        </w:rPr>
        <w:t>, differences across appointment cohorts are limited in magnitude.</w:t>
      </w:r>
    </w:p>
    <w:p w14:paraId="5D9C711F" w14:textId="77777777" w:rsidR="00DE143A" w:rsidRDefault="00DE143A" w:rsidP="0098727F">
      <w:pPr>
        <w:pStyle w:val="NormalWeb"/>
        <w:spacing w:before="0" w:beforeAutospacing="0" w:after="0" w:afterAutospacing="0" w:line="480" w:lineRule="auto"/>
        <w:rPr>
          <w:color w:val="000000"/>
        </w:rPr>
      </w:pPr>
      <w:r>
        <w:rPr>
          <w:color w:val="000000"/>
        </w:rPr>
        <w:t>In contrast, differences across presidential administrations remain large and robust across all specifications. In the preferred specification, removal rates are substantially lower under the Obama and Biden administrations and higher under the Trump II administration. The magnitude of these shifts—particularly the large decline under the Biden administration and the increase under Trump II—far exceeds the remaining differences across cohorts. This pattern underscores the dominant role of administrative context in shaping outcomes.</w:t>
      </w:r>
    </w:p>
    <w:p w14:paraId="55AC9877" w14:textId="77777777" w:rsidR="00DE143A" w:rsidRDefault="00DE143A" w:rsidP="00E00FB0">
      <w:pPr>
        <w:pStyle w:val="NormalWeb"/>
        <w:spacing w:before="0" w:beforeAutospacing="0" w:after="0" w:afterAutospacing="0" w:line="480" w:lineRule="auto"/>
        <w:ind w:firstLine="720"/>
        <w:rPr>
          <w:color w:val="000000"/>
        </w:rPr>
      </w:pPr>
      <w:r>
        <w:rPr>
          <w:color w:val="000000"/>
        </w:rPr>
        <w:t>The control variables behave consistently with expectations and further highlight the importance of case composition. Representation is associated with significantly lower removal rates, while detention and nationality indicators are associated with higher removal rates. Criminal history is associated with lower removal rates in this specification, likely reflecting the interaction between criminal charges and eligibility for certain forms of relief or removal pathways. Judge-level characteristics also exhibit modest effects, with female judges less likely to order removal and judges with prior government experience more likely to do so. Judicial tenure is associated with a small decline in removal propensity over time.</w:t>
      </w:r>
    </w:p>
    <w:p w14:paraId="19BA7C3E" w14:textId="52EDCD97" w:rsidR="009C30EE" w:rsidRPr="00DE143A" w:rsidRDefault="00DE143A" w:rsidP="00E00FB0">
      <w:pPr>
        <w:pStyle w:val="NormalWeb"/>
        <w:spacing w:before="0" w:beforeAutospacing="0" w:after="0" w:afterAutospacing="0" w:line="480" w:lineRule="auto"/>
        <w:ind w:firstLine="720"/>
        <w:rPr>
          <w:color w:val="000000"/>
        </w:rPr>
      </w:pPr>
      <w:r>
        <w:rPr>
          <w:color w:val="000000"/>
        </w:rPr>
        <w:t xml:space="preserve">Taken together, the results in this table demonstrate that while appointment cohort is associated with differences in removal outcomes, these differences are relatively modest once observable characteristics and fixed effects are included. By contrast, variation across presidential administrations is large and persistent. These findings suggest that administrative context and case composition play a more important role than judicial background in explaining variation in removal decisions. This motivates the interaction-based analyses that follow, which </w:t>
      </w:r>
      <w:r>
        <w:rPr>
          <w:color w:val="000000"/>
        </w:rPr>
        <w:lastRenderedPageBreak/>
        <w:t>examine whether cohort differences become more pronounced under specific policy environments.</w:t>
      </w:r>
    </w:p>
    <w:p w14:paraId="6EDCFAE9" w14:textId="77777777" w:rsidR="00D76C6E" w:rsidRDefault="00D76C6E" w:rsidP="00D76C6E">
      <w:pPr>
        <w:spacing w:before="360" w:after="120" w:line="480" w:lineRule="auto"/>
        <w:rPr>
          <w:b/>
          <w:bCs/>
          <w:i/>
          <w:iCs/>
        </w:rPr>
      </w:pPr>
      <w:r>
        <w:rPr>
          <w:b/>
          <w:bCs/>
          <w:i/>
          <w:iCs/>
        </w:rPr>
        <w:t>E. Model 2: Judge Fixed Effects and the Biden-Period Shift</w:t>
      </w:r>
    </w:p>
    <w:p w14:paraId="37645B92" w14:textId="77777777" w:rsidR="00842166" w:rsidRDefault="00842166" w:rsidP="0098727F">
      <w:pPr>
        <w:pStyle w:val="NormalWeb"/>
        <w:spacing w:line="480" w:lineRule="auto"/>
        <w:ind w:firstLine="720"/>
        <w:rPr>
          <w:color w:val="000000"/>
        </w:rPr>
      </w:pPr>
      <w:r>
        <w:rPr>
          <w:color w:val="000000"/>
        </w:rPr>
        <w:t>The second, and more demanding, specification introduces judge fixed effects, allowing for identification from within-judge changes over time. The full specification is:</w:t>
      </w:r>
    </w:p>
    <w:p w14:paraId="2019CED3" w14:textId="59542413" w:rsidR="00842166" w:rsidRDefault="00000000" w:rsidP="00842166">
      <w:pPr>
        <w:spacing w:line="480" w:lineRule="auto"/>
      </w:pPr>
      <m:oMathPara>
        <m:oMath>
          <m:sSub>
            <m:sSubPr>
              <m:ctrlPr>
                <w:rPr>
                  <w:rFonts w:ascii="Cambria Math" w:hAnsi="Cambria Math"/>
                </w:rPr>
              </m:ctrlPr>
            </m:sSubPr>
            <m:e>
              <m:r>
                <w:rPr>
                  <w:rFonts w:ascii="Cambria Math" w:hAnsi="Cambria Math"/>
                </w:rPr>
                <m:t>Y</m:t>
              </m:r>
            </m:e>
            <m:sub>
              <m:r>
                <w:rPr>
                  <w:rFonts w:ascii="Cambria Math" w:hAnsi="Cambria Math"/>
                </w:rPr>
                <m:t>ijct</m:t>
              </m:r>
            </m:sub>
          </m:sSub>
          <m: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c×t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m:t>
              </m:r>
            </m:sub>
          </m:sSub>
          <m:sSub>
            <m:sSubPr>
              <m:ctrlPr>
                <w:rPr>
                  <w:rFonts w:ascii="Cambria Math" w:hAnsi="Cambria Math"/>
                </w:rPr>
              </m:ctrlPr>
            </m:sSubPr>
            <m:e>
              <m:r>
                <m:rPr>
                  <m:nor/>
                </m:rPr>
                <m:t>Biden</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r>
            <w:rPr>
              <w:rFonts w:ascii="Cambria Math" w:hAnsi="Cambria Math"/>
            </w:rPr>
            <m:t>(</m:t>
          </m:r>
          <m:sSub>
            <m:sSubPr>
              <m:ctrlPr>
                <w:rPr>
                  <w:rFonts w:ascii="Cambria Math" w:hAnsi="Cambria Math"/>
                </w:rPr>
              </m:ctrlPr>
            </m:sSubPr>
            <m:e>
              <m:r>
                <m:rPr>
                  <m:nor/>
                </m:rPr>
                <m:t>TrumpCohort</m:t>
              </m:r>
            </m:e>
            <m:sub>
              <m:r>
                <w:rPr>
                  <w:rFonts w:ascii="Cambria Math" w:hAnsi="Cambria Math"/>
                </w:rPr>
                <m:t>j</m:t>
              </m:r>
            </m:sub>
          </m:sSub>
          <m:r>
            <w:rPr>
              <w:rFonts w:ascii="Cambria Math" w:hAnsi="Cambria Math"/>
            </w:rPr>
            <m:t>×</m:t>
          </m:r>
          <m:sSub>
            <m:sSubPr>
              <m:ctrlPr>
                <w:rPr>
                  <w:rFonts w:ascii="Cambria Math" w:hAnsi="Cambria Math"/>
                </w:rPr>
              </m:ctrlPr>
            </m:sSubPr>
            <m:e>
              <m:r>
                <m:rPr>
                  <m:nor/>
                </m:rPr>
                <m:t>Biden</m:t>
              </m:r>
            </m:e>
            <m:sub>
              <m:r>
                <w:rPr>
                  <w:rFonts w:ascii="Cambria Math" w:hAnsi="Cambria Math"/>
                </w:rPr>
                <m:t>t</m:t>
              </m:r>
            </m:sub>
          </m:sSub>
          <m:r>
            <w:rPr>
              <w:rFonts w:ascii="Cambria Math" w:hAnsi="Cambria Math"/>
            </w:rPr>
            <m:t>)+</m:t>
          </m:r>
          <m:sSubSup>
            <m:sSubSupPr>
              <m:ctrlPr>
                <w:rPr>
                  <w:rFonts w:ascii="Cambria Math" w:hAnsi="Cambria Math"/>
                </w:rPr>
              </m:ctrlPr>
            </m:sSubSupPr>
            <m:e>
              <m:r>
                <w:rPr>
                  <w:rFonts w:ascii="Cambria Math" w:hAnsi="Cambria Math"/>
                </w:rPr>
                <m:t>X</m:t>
              </m:r>
            </m:e>
            <m:sub>
              <m:r>
                <w:rPr>
                  <w:rFonts w:ascii="Cambria Math" w:hAnsi="Cambria Math"/>
                </w:rPr>
                <m:t>i</m:t>
              </m:r>
            </m:sub>
            <m:sup>
              <m:r>
                <m:rPr>
                  <m:sty m:val="p"/>
                </m:rPr>
                <w:rPr>
                  <w:rFonts w:ascii="Cambria Math" w:hAnsi="Cambria Math"/>
                </w:rPr>
                <m:t>'</m:t>
              </m:r>
            </m:sup>
          </m:sSubSup>
          <m:r>
            <w:rPr>
              <w:rFonts w:ascii="Cambria Math" w:hAnsi="Cambria Math"/>
            </w:rPr>
            <m:t>δ+</m:t>
          </m:r>
          <m:sSub>
            <m:sSubPr>
              <m:ctrlPr>
                <w:rPr>
                  <w:rFonts w:ascii="Cambria Math" w:hAnsi="Cambria Math"/>
                </w:rPr>
              </m:ctrlPr>
            </m:sSubPr>
            <m:e>
              <m:r>
                <w:rPr>
                  <w:rFonts w:ascii="Cambria Math" w:hAnsi="Cambria Math"/>
                </w:rPr>
                <m:t>ε</m:t>
              </m:r>
            </m:e>
            <m:sub>
              <m:r>
                <w:rPr>
                  <w:rFonts w:ascii="Cambria Math" w:hAnsi="Cambria Math"/>
                </w:rPr>
                <m:t>ijct</m:t>
              </m:r>
            </m:sub>
          </m:sSub>
        </m:oMath>
      </m:oMathPara>
    </w:p>
    <w:p w14:paraId="192045E1" w14:textId="77777777" w:rsidR="00842166" w:rsidRDefault="00842166" w:rsidP="007F638E">
      <w:pPr>
        <w:pStyle w:val="NormalWeb"/>
        <w:spacing w:before="0" w:beforeAutospacing="0" w:after="0" w:afterAutospacing="0" w:line="480" w:lineRule="auto"/>
        <w:rPr>
          <w:color w:val="000000"/>
        </w:rPr>
      </w:pPr>
      <w:r>
        <w:rPr>
          <w:color w:val="000000"/>
        </w:rPr>
        <w:t>where</w:t>
      </w:r>
      <w:r>
        <w:rPr>
          <w:rStyle w:val="apple-converted-space"/>
          <w:color w:val="000000"/>
        </w:rPr>
        <w:t> </w:t>
      </w:r>
      <m:oMath>
        <m:sSub>
          <m:sSubPr>
            <m:ctrlPr>
              <w:rPr>
                <w:rFonts w:ascii="Cambria Math" w:hAnsi="Cambria Math"/>
              </w:rPr>
            </m:ctrlPr>
          </m:sSubPr>
          <m:e>
            <m:r>
              <w:rPr>
                <w:rFonts w:ascii="Cambria Math" w:hAnsi="Cambria Math"/>
              </w:rPr>
              <m:t>Y</m:t>
            </m:r>
          </m:e>
          <m:sub>
            <m:r>
              <w:rPr>
                <w:rFonts w:ascii="Cambria Math" w:hAnsi="Cambria Math"/>
              </w:rPr>
              <m:t>ijct</m:t>
            </m:r>
          </m:sub>
        </m:sSub>
      </m:oMath>
      <w:r>
        <w:rPr>
          <w:rStyle w:val="apple-converted-space"/>
          <w:color w:val="000000"/>
        </w:rPr>
        <w:t> </w:t>
      </w:r>
      <w:r>
        <w:rPr>
          <w:color w:val="000000"/>
        </w:rPr>
        <w:t>is an indicator for whether case</w:t>
      </w:r>
      <w:r>
        <w:rPr>
          <w:rStyle w:val="apple-converted-space"/>
          <w:color w:val="000000"/>
        </w:rPr>
        <w:t> </w:t>
      </w:r>
      <m:oMath>
        <m:r>
          <w:rPr>
            <w:rFonts w:ascii="Cambria Math" w:hAnsi="Cambria Math"/>
          </w:rPr>
          <m:t>i</m:t>
        </m:r>
      </m:oMath>
      <w:r>
        <w:rPr>
          <w:color w:val="000000"/>
        </w:rPr>
        <w:t>, decided by judge</w:t>
      </w:r>
      <w:r>
        <w:rPr>
          <w:rStyle w:val="apple-converted-space"/>
          <w:color w:val="000000"/>
        </w:rPr>
        <w:t> </w:t>
      </w:r>
      <m:oMath>
        <m:r>
          <w:rPr>
            <w:rFonts w:ascii="Cambria Math" w:hAnsi="Cambria Math"/>
          </w:rPr>
          <m:t>j</m:t>
        </m:r>
      </m:oMath>
      <w:r>
        <w:rPr>
          <w:rStyle w:val="apple-converted-space"/>
          <w:color w:val="000000"/>
        </w:rPr>
        <w:t> </w:t>
      </w:r>
      <w:r>
        <w:rPr>
          <w:color w:val="000000"/>
        </w:rPr>
        <w:t>in court</w:t>
      </w:r>
      <w:r>
        <w:rPr>
          <w:rStyle w:val="apple-converted-space"/>
          <w:color w:val="000000"/>
        </w:rPr>
        <w:t> </w:t>
      </w:r>
      <m:oMath>
        <m:r>
          <w:rPr>
            <w:rFonts w:ascii="Cambria Math" w:hAnsi="Cambria Math"/>
          </w:rPr>
          <m:t>c</m:t>
        </m:r>
      </m:oMath>
      <w:r>
        <w:rPr>
          <w:rStyle w:val="apple-converted-space"/>
          <w:color w:val="000000"/>
        </w:rPr>
        <w:t> </w:t>
      </w:r>
      <w:r>
        <w:rPr>
          <w:color w:val="000000"/>
        </w:rPr>
        <w:t>at time</w:t>
      </w:r>
      <w:r>
        <w:rPr>
          <w:rStyle w:val="apple-converted-space"/>
          <w:color w:val="000000"/>
        </w:rPr>
        <w:t> </w:t>
      </w:r>
      <m:oMath>
        <m:r>
          <w:rPr>
            <w:rFonts w:ascii="Cambria Math" w:hAnsi="Cambria Math"/>
          </w:rPr>
          <m:t>t</m:t>
        </m:r>
      </m:oMath>
      <w:r>
        <w:rPr>
          <w:color w:val="000000"/>
        </w:rPr>
        <w:t>, results in a removal order;</w:t>
      </w:r>
      <w:r>
        <w:rPr>
          <w:rStyle w:val="apple-converted-space"/>
          <w:color w:val="000000"/>
        </w:rPr>
        <w:t> </w:t>
      </w:r>
      <m:oMath>
        <m:sSub>
          <m:sSubPr>
            <m:ctrlPr>
              <w:rPr>
                <w:rFonts w:ascii="Cambria Math" w:hAnsi="Cambria Math"/>
              </w:rPr>
            </m:ctrlPr>
          </m:sSubPr>
          <m:e>
            <m:r>
              <w:rPr>
                <w:rFonts w:ascii="Cambria Math" w:hAnsi="Cambria Math"/>
              </w:rPr>
              <m:t>α</m:t>
            </m:r>
          </m:e>
          <m:sub>
            <m:r>
              <w:rPr>
                <w:rFonts w:ascii="Cambria Math" w:hAnsi="Cambria Math"/>
              </w:rPr>
              <m:t>j</m:t>
            </m:r>
          </m:sub>
        </m:sSub>
      </m:oMath>
      <w:r>
        <w:rPr>
          <w:rStyle w:val="apple-converted-space"/>
          <w:color w:val="000000"/>
        </w:rPr>
        <w:t> </w:t>
      </w:r>
      <w:r>
        <w:rPr>
          <w:color w:val="000000"/>
        </w:rPr>
        <w:t>are judge fixed effects that absorb all time-invariant characteristics of each judge; and</w:t>
      </w:r>
      <w:r>
        <w:rPr>
          <w:rStyle w:val="apple-converted-space"/>
          <w:color w:val="000000"/>
        </w:rPr>
        <w:t> </w:t>
      </w:r>
      <m:oMath>
        <m:sSub>
          <m:sSubPr>
            <m:ctrlPr>
              <w:rPr>
                <w:rFonts w:ascii="Cambria Math" w:hAnsi="Cambria Math"/>
              </w:rPr>
            </m:ctrlPr>
          </m:sSubPr>
          <m:e>
            <m:r>
              <w:rPr>
                <w:rFonts w:ascii="Cambria Math" w:hAnsi="Cambria Math"/>
              </w:rPr>
              <m:t>γ</m:t>
            </m:r>
          </m:e>
          <m:sub>
            <m:r>
              <w:rPr>
                <w:rFonts w:ascii="Cambria Math" w:hAnsi="Cambria Math"/>
              </w:rPr>
              <m:t>c×t</m:t>
            </m:r>
          </m:sub>
        </m:sSub>
      </m:oMath>
      <w:r>
        <w:rPr>
          <w:rStyle w:val="apple-converted-space"/>
          <w:color w:val="000000"/>
        </w:rPr>
        <w:t> </w:t>
      </w:r>
      <w:r>
        <w:rPr>
          <w:color w:val="000000"/>
        </w:rPr>
        <w:t>are court-by-month fixed effects that capture time-varying conditions within each court, including changes in case mix, enforcement priorities, and local institutional factors. The vector</w:t>
      </w:r>
      <w:r>
        <w:rPr>
          <w:rStyle w:val="apple-converted-space"/>
          <w:color w:val="000000"/>
        </w:rPr>
        <w:t> </w:t>
      </w:r>
      <m:oMath>
        <m:sSub>
          <m:sSubPr>
            <m:ctrlPr>
              <w:rPr>
                <w:rFonts w:ascii="Cambria Math" w:hAnsi="Cambria Math"/>
              </w:rPr>
            </m:ctrlPr>
          </m:sSubPr>
          <m:e>
            <m:r>
              <w:rPr>
                <w:rFonts w:ascii="Cambria Math" w:hAnsi="Cambria Math"/>
              </w:rPr>
              <m:t>X</m:t>
            </m:r>
          </m:e>
          <m:sub>
            <m:r>
              <w:rPr>
                <w:rFonts w:ascii="Cambria Math" w:hAnsi="Cambria Math"/>
              </w:rPr>
              <m:t>i</m:t>
            </m:r>
          </m:sub>
        </m:sSub>
      </m:oMath>
      <w:r>
        <w:rPr>
          <w:rStyle w:val="apple-converted-space"/>
          <w:color w:val="000000"/>
        </w:rPr>
        <w:t> </w:t>
      </w:r>
      <w:r>
        <w:rPr>
          <w:color w:val="000000"/>
        </w:rPr>
        <w:t>includes the full set of case-level and judge-level controls, and</w:t>
      </w:r>
      <w:r>
        <w:rPr>
          <w:rStyle w:val="apple-converted-space"/>
          <w:color w:val="000000"/>
        </w:rPr>
        <w:t> </w:t>
      </w:r>
      <m:oMath>
        <m:sSub>
          <m:sSubPr>
            <m:ctrlPr>
              <w:rPr>
                <w:rFonts w:ascii="Cambria Math" w:hAnsi="Cambria Math"/>
              </w:rPr>
            </m:ctrlPr>
          </m:sSubPr>
          <m:e>
            <m:r>
              <w:rPr>
                <w:rFonts w:ascii="Cambria Math" w:hAnsi="Cambria Math"/>
              </w:rPr>
              <m:t>ε</m:t>
            </m:r>
          </m:e>
          <m:sub>
            <m:r>
              <w:rPr>
                <w:rFonts w:ascii="Cambria Math" w:hAnsi="Cambria Math"/>
              </w:rPr>
              <m:t>ijct</m:t>
            </m:r>
          </m:sub>
        </m:sSub>
      </m:oMath>
      <w:r>
        <w:rPr>
          <w:rStyle w:val="apple-converted-space"/>
          <w:color w:val="000000"/>
        </w:rPr>
        <w:t> </w:t>
      </w:r>
      <w:r>
        <w:rPr>
          <w:color w:val="000000"/>
        </w:rPr>
        <w:t>is an idiosyncratic error term. Standard errors are clustered at the judge level to account for within-judge correlation in outcomes.</w:t>
      </w:r>
    </w:p>
    <w:p w14:paraId="0D7BD401" w14:textId="77777777" w:rsidR="0098727F" w:rsidRDefault="00842166" w:rsidP="007F638E">
      <w:pPr>
        <w:pStyle w:val="NormalWeb"/>
        <w:spacing w:before="0" w:beforeAutospacing="0" w:after="0" w:afterAutospacing="0" w:line="480" w:lineRule="auto"/>
        <w:ind w:firstLine="720"/>
        <w:rPr>
          <w:color w:val="000000"/>
        </w:rPr>
      </w:pPr>
      <w:r>
        <w:rPr>
          <w:color w:val="000000"/>
        </w:rPr>
        <w:t>In this specification,</w:t>
      </w:r>
      <w:r>
        <w:rPr>
          <w:rStyle w:val="apple-converted-space"/>
          <w:color w:val="000000"/>
        </w:rPr>
        <w:t> </w:t>
      </w:r>
      <m:oMath>
        <m:sSub>
          <m:sSubPr>
            <m:ctrlPr>
              <w:rPr>
                <w:rFonts w:ascii="Cambria Math" w:hAnsi="Cambria Math"/>
              </w:rPr>
            </m:ctrlPr>
          </m:sSubPr>
          <m:e>
            <m:r>
              <w:rPr>
                <w:rFonts w:ascii="Cambria Math" w:hAnsi="Cambria Math"/>
              </w:rPr>
              <m:t>β</m:t>
            </m:r>
          </m:e>
          <m:sub>
            <m:r>
              <w:rPr>
                <w:rFonts w:ascii="Cambria Math" w:hAnsi="Cambria Math"/>
              </w:rPr>
              <m:t>1</m:t>
            </m:r>
          </m:sub>
        </m:sSub>
      </m:oMath>
      <w:r>
        <w:rPr>
          <w:rStyle w:val="apple-converted-space"/>
          <w:color w:val="000000"/>
        </w:rPr>
        <w:t> </w:t>
      </w:r>
      <w:r>
        <w:rPr>
          <w:color w:val="000000"/>
        </w:rPr>
        <w:t>captures the common change in removal rates for all judges during the Biden administration relative to the omitted baseline period, while</w:t>
      </w:r>
      <w:r>
        <w:rPr>
          <w:rStyle w:val="apple-converted-space"/>
          <w:color w:val="000000"/>
        </w:rPr>
        <w:t> </w:t>
      </w:r>
      <m:oMath>
        <m:sSub>
          <m:sSubPr>
            <m:ctrlPr>
              <w:rPr>
                <w:rFonts w:ascii="Cambria Math" w:hAnsi="Cambria Math"/>
              </w:rPr>
            </m:ctrlPr>
          </m:sSubPr>
          <m:e>
            <m:r>
              <w:rPr>
                <w:rFonts w:ascii="Cambria Math" w:hAnsi="Cambria Math"/>
              </w:rPr>
              <m:t>β</m:t>
            </m:r>
          </m:e>
          <m:sub>
            <m:r>
              <w:rPr>
                <w:rFonts w:ascii="Cambria Math" w:hAnsi="Cambria Math"/>
              </w:rPr>
              <m:t>2</m:t>
            </m:r>
          </m:sub>
        </m:sSub>
      </m:oMath>
      <w:r>
        <w:rPr>
          <w:rStyle w:val="apple-converted-space"/>
          <w:color w:val="000000"/>
        </w:rPr>
        <w:t> </w:t>
      </w:r>
      <w:r>
        <w:rPr>
          <w:color w:val="000000"/>
        </w:rPr>
        <w:t>is the coefficient of interest. The interaction term isolates the differential change in behavior for Trump-appointed judges during the Biden period, net of both the overall shift in outcomes and any time-invariant differences across judges</w:t>
      </w:r>
    </w:p>
    <w:p w14:paraId="6685A260" w14:textId="20CDAD3D" w:rsidR="00842166" w:rsidRDefault="00842166" w:rsidP="0098727F">
      <w:pPr>
        <w:pStyle w:val="NormalWeb"/>
        <w:spacing w:before="0" w:beforeAutospacing="0" w:after="0" w:afterAutospacing="0" w:line="480" w:lineRule="auto"/>
        <w:ind w:firstLine="720"/>
        <w:rPr>
          <w:color w:val="000000"/>
        </w:rPr>
      </w:pPr>
      <w:r>
        <w:rPr>
          <w:color w:val="000000"/>
        </w:rPr>
        <w:t>Substantively,</w:t>
      </w:r>
      <w:r>
        <w:rPr>
          <w:rStyle w:val="apple-converted-space"/>
          <w:color w:val="000000"/>
        </w:rPr>
        <w:t> </w:t>
      </w:r>
      <m:oMath>
        <m:sSub>
          <m:sSubPr>
            <m:ctrlPr>
              <w:rPr>
                <w:rFonts w:ascii="Cambria Math" w:hAnsi="Cambria Math"/>
              </w:rPr>
            </m:ctrlPr>
          </m:sSubPr>
          <m:e>
            <m:r>
              <w:rPr>
                <w:rFonts w:ascii="Cambria Math" w:hAnsi="Cambria Math"/>
              </w:rPr>
              <m:t>β</m:t>
            </m:r>
          </m:e>
          <m:sub>
            <m:r>
              <w:rPr>
                <w:rFonts w:ascii="Cambria Math" w:hAnsi="Cambria Math"/>
              </w:rPr>
              <m:t>2</m:t>
            </m:r>
          </m:sub>
        </m:sSub>
      </m:oMath>
      <w:r>
        <w:rPr>
          <w:rStyle w:val="apple-converted-space"/>
          <w:color w:val="000000"/>
        </w:rPr>
        <w:t> </w:t>
      </w:r>
      <w:r>
        <w:rPr>
          <w:color w:val="000000"/>
        </w:rPr>
        <w:t>answers the question: whether Trump-appointed judges altered their decision-making differently from other judges following the transition to the Biden administration. A negative and statistically significant coefficient would indicate that Trump-</w:t>
      </w:r>
      <w:r>
        <w:rPr>
          <w:color w:val="000000"/>
        </w:rPr>
        <w:lastRenderedPageBreak/>
        <w:t>appointed judges reduced removal rates more than other judges, consistent with a differential response to the change in presidential administration. By contrast, a coefficient close to zero suggests that, once comparing the same judge over time within the same court and controlling for case characteristics, Trump-appointed judges do not respond differently than their peers.</w:t>
      </w:r>
    </w:p>
    <w:p w14:paraId="37F31F3E" w14:textId="0BF8E012" w:rsidR="00842166" w:rsidRDefault="00842166" w:rsidP="0098727F">
      <w:pPr>
        <w:pStyle w:val="NormalWeb"/>
        <w:spacing w:before="0" w:beforeAutospacing="0" w:after="0" w:afterAutospacing="0" w:line="480" w:lineRule="auto"/>
        <w:ind w:firstLine="720"/>
        <w:rPr>
          <w:color w:val="000000"/>
        </w:rPr>
      </w:pPr>
      <w:r>
        <w:rPr>
          <w:color w:val="000000"/>
        </w:rPr>
        <w:t>This specification provides a stringent test of differential responsiveness. By absorbing all time-invariant judge characteristics and common court-level shocks, identification relies entirely on within-judge variation over time. As a result, it rules out alternative explanations based on differences in judge assignment, baseline ideology, or cross-court composition, and isolates whether individual judges change their behavior in response to shifts in the broader policy environment.</w:t>
      </w:r>
    </w:p>
    <w:p w14:paraId="78A1C7D1" w14:textId="5E60177F" w:rsidR="00AE5FDC" w:rsidRPr="00AE5FDC" w:rsidRDefault="00AE5FDC" w:rsidP="00AE5FDC">
      <w:pPr>
        <w:pStyle w:val="NormalWeb"/>
        <w:spacing w:before="0" w:beforeAutospacing="0" w:after="0" w:afterAutospacing="0" w:line="480" w:lineRule="auto"/>
        <w:jc w:val="center"/>
        <w:rPr>
          <w:b/>
          <w:bCs/>
          <w:color w:val="000000"/>
        </w:rPr>
      </w:pPr>
      <w:r w:rsidRPr="00AE5FDC">
        <w:rPr>
          <w:b/>
          <w:bCs/>
          <w:color w:val="000000"/>
        </w:rPr>
        <w:t>TABLE 2: Judge Fixed Effects: Biden Shift</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548"/>
        <w:gridCol w:w="1440"/>
        <w:gridCol w:w="1440"/>
        <w:gridCol w:w="1440"/>
        <w:gridCol w:w="1440"/>
        <w:gridCol w:w="1440"/>
      </w:tblGrid>
      <w:tr w:rsidR="00AE5FDC" w14:paraId="4CE5B0F4" w14:textId="77777777">
        <w:tc>
          <w:tcPr>
            <w:tcW w:w="1548" w:type="dxa"/>
            <w:tcBorders>
              <w:top w:val="single" w:sz="4" w:space="0" w:color="BFBFBF"/>
              <w:left w:val="single" w:sz="8" w:space="0" w:color="BFBFBF"/>
              <w:bottom w:val="single" w:sz="8" w:space="0" w:color="BFBFBF"/>
              <w:right w:val="single" w:sz="8" w:space="0" w:color="BFBFBF"/>
            </w:tcBorders>
            <w:tcMar>
              <w:top w:w="100" w:type="nil"/>
              <w:right w:w="100" w:type="nil"/>
            </w:tcMar>
            <w:vAlign w:val="center"/>
          </w:tcPr>
          <w:p w14:paraId="5642F8C6" w14:textId="77777777" w:rsidR="00AE5FDC" w:rsidRDefault="00AE5FDC">
            <w:pPr>
              <w:autoSpaceDE w:val="0"/>
              <w:autoSpaceDN w:val="0"/>
              <w:adjustRightInd w:val="0"/>
              <w:rPr>
                <w:rFonts w:eastAsiaTheme="minorHAnsi"/>
                <w14:ligatures w14:val="standardContextual"/>
              </w:rPr>
            </w:pPr>
          </w:p>
        </w:tc>
        <w:tc>
          <w:tcPr>
            <w:tcW w:w="1440" w:type="dxa"/>
            <w:tcBorders>
              <w:top w:val="single" w:sz="4" w:space="0" w:color="BFBFBF"/>
              <w:left w:val="single" w:sz="8" w:space="0" w:color="BFBFBF"/>
              <w:bottom w:val="single" w:sz="8" w:space="0" w:color="BFBFBF"/>
              <w:right w:val="single" w:sz="8" w:space="0" w:color="BFBFBF"/>
            </w:tcBorders>
            <w:tcMar>
              <w:top w:w="100" w:type="nil"/>
              <w:right w:w="100" w:type="nil"/>
            </w:tcMar>
            <w:vAlign w:val="center"/>
          </w:tcPr>
          <w:p w14:paraId="624EB3DF" w14:textId="11A326E9"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(1)</w:t>
            </w:r>
            <w:r w:rsidR="007F638E" w:rsidRPr="007F638E">
              <w:rPr>
                <w:rFonts w:eastAsiaTheme="minorHAnsi"/>
                <w:sz w:val="20"/>
                <w:szCs w:val="20"/>
                <w14:ligatures w14:val="standardContextual"/>
              </w:rPr>
              <w:t xml:space="preserve"> No Controls</w:t>
            </w:r>
          </w:p>
        </w:tc>
        <w:tc>
          <w:tcPr>
            <w:tcW w:w="1440" w:type="dxa"/>
            <w:tcBorders>
              <w:top w:val="single" w:sz="4" w:space="0" w:color="BFBFBF"/>
              <w:left w:val="single" w:sz="8" w:space="0" w:color="BFBFBF"/>
              <w:bottom w:val="single" w:sz="8" w:space="0" w:color="BFBFBF"/>
              <w:right w:val="single" w:sz="8" w:space="0" w:color="BFBFBF"/>
            </w:tcBorders>
            <w:tcMar>
              <w:top w:w="100" w:type="nil"/>
              <w:right w:w="100" w:type="nil"/>
            </w:tcMar>
            <w:vAlign w:val="center"/>
          </w:tcPr>
          <w:p w14:paraId="00575A17" w14:textId="321CF48A"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(2)</w:t>
            </w:r>
            <w:r w:rsidR="007F638E" w:rsidRPr="007F638E">
              <w:rPr>
                <w:rFonts w:eastAsiaTheme="minorHAnsi"/>
                <w:sz w:val="20"/>
                <w:szCs w:val="20"/>
                <w14:ligatures w14:val="standardContextual"/>
              </w:rPr>
              <w:t xml:space="preserve"> Case Controls</w:t>
            </w:r>
          </w:p>
        </w:tc>
        <w:tc>
          <w:tcPr>
            <w:tcW w:w="1440" w:type="dxa"/>
            <w:tcBorders>
              <w:top w:val="single" w:sz="4" w:space="0" w:color="BFBFBF"/>
              <w:left w:val="single" w:sz="8" w:space="0" w:color="BFBFBF"/>
              <w:bottom w:val="single" w:sz="8" w:space="0" w:color="BFBFBF"/>
              <w:right w:val="single" w:sz="8" w:space="0" w:color="BFBFBF"/>
            </w:tcBorders>
            <w:tcMar>
              <w:top w:w="100" w:type="nil"/>
              <w:right w:w="100" w:type="nil"/>
            </w:tcMar>
            <w:vAlign w:val="center"/>
          </w:tcPr>
          <w:p w14:paraId="3227E34C" w14:textId="746E16BA"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(3)</w:t>
            </w:r>
            <w:r w:rsidR="007F638E" w:rsidRPr="007F638E">
              <w:rPr>
                <w:rFonts w:eastAsiaTheme="minorHAnsi"/>
                <w:sz w:val="20"/>
                <w:szCs w:val="20"/>
                <w14:ligatures w14:val="standardContextual"/>
              </w:rPr>
              <w:t xml:space="preserve"> </w:t>
            </w:r>
            <w:proofErr w:type="spellStart"/>
            <w:r w:rsidR="007F638E" w:rsidRPr="007F638E">
              <w:rPr>
                <w:rFonts w:eastAsiaTheme="minorHAnsi"/>
                <w:sz w:val="20"/>
                <w:szCs w:val="20"/>
                <w14:ligatures w14:val="standardContextual"/>
              </w:rPr>
              <w:t>Case+Judge</w:t>
            </w:r>
            <w:proofErr w:type="spellEnd"/>
            <w:r w:rsidR="007F638E" w:rsidRPr="007F638E">
              <w:rPr>
                <w:rFonts w:eastAsiaTheme="minorHAnsi"/>
                <w:sz w:val="20"/>
                <w:szCs w:val="20"/>
                <w14:ligatures w14:val="standardContextual"/>
              </w:rPr>
              <w:t xml:space="preserve"> Controls</w:t>
            </w:r>
          </w:p>
        </w:tc>
        <w:tc>
          <w:tcPr>
            <w:tcW w:w="1440" w:type="dxa"/>
            <w:tcBorders>
              <w:top w:val="single" w:sz="4" w:space="0" w:color="BFBFBF"/>
              <w:left w:val="single" w:sz="8" w:space="0" w:color="BFBFBF"/>
              <w:bottom w:val="single" w:sz="8" w:space="0" w:color="BFBFBF"/>
              <w:right w:val="single" w:sz="8" w:space="0" w:color="BFBFBF"/>
            </w:tcBorders>
            <w:tcMar>
              <w:top w:w="100" w:type="nil"/>
              <w:right w:w="100" w:type="nil"/>
            </w:tcMar>
            <w:vAlign w:val="center"/>
          </w:tcPr>
          <w:p w14:paraId="3F47A444" w14:textId="6B7D52ED"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w:t>
            </w:r>
            <w:proofErr w:type="gramStart"/>
            <w:r w:rsidRPr="007F638E">
              <w:rPr>
                <w:rFonts w:eastAsiaTheme="minorHAnsi"/>
                <w:sz w:val="20"/>
                <w:szCs w:val="20"/>
                <w14:ligatures w14:val="standardContextual"/>
              </w:rPr>
              <w:t>4)</w:t>
            </w:r>
            <w:r w:rsidR="007F638E" w:rsidRPr="007F638E">
              <w:rPr>
                <w:rFonts w:eastAsiaTheme="minorHAnsi"/>
                <w:sz w:val="20"/>
                <w:szCs w:val="20"/>
                <w14:ligatures w14:val="standardContextual"/>
              </w:rPr>
              <w:t>Case</w:t>
            </w:r>
            <w:proofErr w:type="gramEnd"/>
            <w:r w:rsidR="007F638E" w:rsidRPr="007F638E">
              <w:rPr>
                <w:rFonts w:eastAsiaTheme="minorHAnsi"/>
                <w:sz w:val="20"/>
                <w:szCs w:val="20"/>
                <w14:ligatures w14:val="standardContextual"/>
              </w:rPr>
              <w:t xml:space="preserve"> + Judge </w:t>
            </w:r>
            <w:proofErr w:type="spellStart"/>
            <w:r w:rsidR="007F638E" w:rsidRPr="007F638E">
              <w:rPr>
                <w:rFonts w:eastAsiaTheme="minorHAnsi"/>
                <w:sz w:val="20"/>
                <w:szCs w:val="20"/>
                <w14:ligatures w14:val="standardContextual"/>
              </w:rPr>
              <w:t>Controls+Judge</w:t>
            </w:r>
            <w:proofErr w:type="spellEnd"/>
            <w:r w:rsidR="007F638E" w:rsidRPr="007F638E">
              <w:rPr>
                <w:rFonts w:eastAsiaTheme="minorHAnsi"/>
                <w:sz w:val="20"/>
                <w:szCs w:val="20"/>
                <w14:ligatures w14:val="standardContextual"/>
              </w:rPr>
              <w:t xml:space="preserve"> Fixed</w:t>
            </w:r>
          </w:p>
        </w:tc>
        <w:tc>
          <w:tcPr>
            <w:tcW w:w="1440" w:type="dxa"/>
            <w:tcBorders>
              <w:top w:val="single" w:sz="4" w:space="0" w:color="BFBFBF"/>
              <w:left w:val="single" w:sz="8" w:space="0" w:color="BFBFBF"/>
              <w:bottom w:val="single" w:sz="8" w:space="0" w:color="BFBFBF"/>
              <w:right w:val="single" w:sz="8" w:space="0" w:color="BFBFBF"/>
            </w:tcBorders>
            <w:tcMar>
              <w:top w:w="100" w:type="nil"/>
              <w:right w:w="100" w:type="nil"/>
            </w:tcMar>
            <w:vAlign w:val="center"/>
          </w:tcPr>
          <w:p w14:paraId="3A759BC5" w14:textId="61262DC4"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w:t>
            </w:r>
            <w:proofErr w:type="gramStart"/>
            <w:r w:rsidRPr="007F638E">
              <w:rPr>
                <w:rFonts w:eastAsiaTheme="minorHAnsi"/>
                <w:sz w:val="20"/>
                <w:szCs w:val="20"/>
                <w14:ligatures w14:val="standardContextual"/>
              </w:rPr>
              <w:t>5)</w:t>
            </w:r>
            <w:r w:rsidR="007F638E" w:rsidRPr="007F638E">
              <w:rPr>
                <w:rFonts w:eastAsiaTheme="minorHAnsi"/>
                <w:sz w:val="20"/>
                <w:szCs w:val="20"/>
                <w14:ligatures w14:val="standardContextual"/>
              </w:rPr>
              <w:t>Court</w:t>
            </w:r>
            <w:proofErr w:type="gramEnd"/>
            <w:r w:rsidR="007F638E" w:rsidRPr="007F638E">
              <w:rPr>
                <w:rFonts w:eastAsiaTheme="minorHAnsi"/>
                <w:sz w:val="20"/>
                <w:szCs w:val="20"/>
                <w14:ligatures w14:val="standardContextual"/>
              </w:rPr>
              <w:t xml:space="preserve"> by Month Fixed</w:t>
            </w:r>
          </w:p>
        </w:tc>
      </w:tr>
      <w:tr w:rsidR="00AE5FDC" w14:paraId="5F3D67FF" w14:textId="77777777">
        <w:tblPrEx>
          <w:tblBorders>
            <w:top w:val="none" w:sz="0" w:space="0" w:color="auto"/>
          </w:tblBorders>
        </w:tblPrEx>
        <w:tc>
          <w:tcPr>
            <w:tcW w:w="1548" w:type="dxa"/>
            <w:tcBorders>
              <w:top w:val="single" w:sz="4" w:space="0" w:color="BFBFBF"/>
              <w:left w:val="single" w:sz="8" w:space="0" w:color="BFBFBF"/>
              <w:bottom w:val="single" w:sz="8" w:space="0" w:color="BFBFBF"/>
              <w:right w:val="single" w:sz="8" w:space="0" w:color="BFBFBF"/>
            </w:tcBorders>
            <w:tcMar>
              <w:top w:w="100" w:type="nil"/>
              <w:right w:w="100" w:type="nil"/>
            </w:tcMar>
            <w:vAlign w:val="center"/>
          </w:tcPr>
          <w:p w14:paraId="0C23B8F6" w14:textId="77777777" w:rsidR="00AE5FDC" w:rsidRPr="007F638E" w:rsidRDefault="00AE5FDC">
            <w:pPr>
              <w:autoSpaceDE w:val="0"/>
              <w:autoSpaceDN w:val="0"/>
              <w:adjustRightInd w:val="0"/>
              <w:rPr>
                <w:rFonts w:eastAsiaTheme="minorHAnsi"/>
                <w:sz w:val="20"/>
                <w:szCs w:val="20"/>
                <w14:ligatures w14:val="standardContextual"/>
              </w:rPr>
            </w:pPr>
            <w:r w:rsidRPr="007F638E">
              <w:rPr>
                <w:rFonts w:eastAsiaTheme="minorHAnsi"/>
                <w:sz w:val="20"/>
                <w:szCs w:val="20"/>
                <w14:ligatures w14:val="standardContextual"/>
              </w:rPr>
              <w:t>trump1_cohort=1</w:t>
            </w:r>
          </w:p>
        </w:tc>
        <w:tc>
          <w:tcPr>
            <w:tcW w:w="1440" w:type="dxa"/>
            <w:tcBorders>
              <w:top w:val="single" w:sz="4" w:space="0" w:color="BFBFBF"/>
              <w:left w:val="single" w:sz="8" w:space="0" w:color="BFBFBF"/>
              <w:bottom w:val="single" w:sz="8" w:space="0" w:color="BFBFBF"/>
              <w:right w:val="single" w:sz="8" w:space="0" w:color="BFBFBF"/>
            </w:tcBorders>
            <w:tcMar>
              <w:top w:w="100" w:type="nil"/>
              <w:right w:w="100" w:type="nil"/>
            </w:tcMar>
            <w:vAlign w:val="center"/>
          </w:tcPr>
          <w:p w14:paraId="517B659F"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0.203</w:t>
            </w:r>
            <w:r w:rsidRPr="007F638E">
              <w:rPr>
                <w:rFonts w:eastAsiaTheme="minorHAnsi"/>
                <w:sz w:val="20"/>
                <w:szCs w:val="20"/>
                <w:vertAlign w:val="superscript"/>
                <w14:ligatures w14:val="standardContextual"/>
              </w:rPr>
              <w:t>***</w:t>
            </w:r>
          </w:p>
        </w:tc>
        <w:tc>
          <w:tcPr>
            <w:tcW w:w="1440" w:type="dxa"/>
            <w:tcBorders>
              <w:top w:val="single" w:sz="4" w:space="0" w:color="BFBFBF"/>
              <w:left w:val="single" w:sz="8" w:space="0" w:color="BFBFBF"/>
              <w:bottom w:val="single" w:sz="8" w:space="0" w:color="BFBFBF"/>
              <w:right w:val="single" w:sz="8" w:space="0" w:color="BFBFBF"/>
            </w:tcBorders>
            <w:tcMar>
              <w:top w:w="100" w:type="nil"/>
              <w:right w:w="100" w:type="nil"/>
            </w:tcMar>
            <w:vAlign w:val="center"/>
          </w:tcPr>
          <w:p w14:paraId="05F65DB5"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0.099</w:t>
            </w:r>
            <w:r w:rsidRPr="007F638E">
              <w:rPr>
                <w:rFonts w:eastAsiaTheme="minorHAnsi"/>
                <w:sz w:val="20"/>
                <w:szCs w:val="20"/>
                <w:vertAlign w:val="superscript"/>
                <w14:ligatures w14:val="standardContextual"/>
              </w:rPr>
              <w:t>***</w:t>
            </w:r>
          </w:p>
        </w:tc>
        <w:tc>
          <w:tcPr>
            <w:tcW w:w="1440" w:type="dxa"/>
            <w:tcBorders>
              <w:top w:val="single" w:sz="4" w:space="0" w:color="BFBFBF"/>
              <w:left w:val="single" w:sz="8" w:space="0" w:color="BFBFBF"/>
              <w:bottom w:val="single" w:sz="8" w:space="0" w:color="BFBFBF"/>
              <w:right w:val="single" w:sz="8" w:space="0" w:color="BFBFBF"/>
            </w:tcBorders>
            <w:tcMar>
              <w:top w:w="100" w:type="nil"/>
              <w:right w:w="100" w:type="nil"/>
            </w:tcMar>
            <w:vAlign w:val="center"/>
          </w:tcPr>
          <w:p w14:paraId="57758D2B"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0.064</w:t>
            </w:r>
            <w:r w:rsidRPr="007F638E">
              <w:rPr>
                <w:rFonts w:eastAsiaTheme="minorHAnsi"/>
                <w:sz w:val="20"/>
                <w:szCs w:val="20"/>
                <w:vertAlign w:val="superscript"/>
                <w14:ligatures w14:val="standardContextual"/>
              </w:rPr>
              <w:t>***</w:t>
            </w:r>
          </w:p>
        </w:tc>
        <w:tc>
          <w:tcPr>
            <w:tcW w:w="1440" w:type="dxa"/>
            <w:tcBorders>
              <w:top w:val="single" w:sz="4" w:space="0" w:color="BFBFBF"/>
              <w:left w:val="single" w:sz="8" w:space="0" w:color="BFBFBF"/>
              <w:bottom w:val="single" w:sz="8" w:space="0" w:color="BFBFBF"/>
              <w:right w:val="single" w:sz="8" w:space="0" w:color="BFBFBF"/>
            </w:tcBorders>
            <w:tcMar>
              <w:top w:w="100" w:type="nil"/>
              <w:right w:w="100" w:type="nil"/>
            </w:tcMar>
            <w:vAlign w:val="center"/>
          </w:tcPr>
          <w:p w14:paraId="53B58F19"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0.000</w:t>
            </w:r>
          </w:p>
        </w:tc>
        <w:tc>
          <w:tcPr>
            <w:tcW w:w="1440" w:type="dxa"/>
            <w:tcBorders>
              <w:top w:val="single" w:sz="4" w:space="0" w:color="BFBFBF"/>
              <w:left w:val="single" w:sz="8" w:space="0" w:color="BFBFBF"/>
              <w:bottom w:val="single" w:sz="8" w:space="0" w:color="BFBFBF"/>
              <w:right w:val="single" w:sz="8" w:space="0" w:color="BFBFBF"/>
            </w:tcBorders>
            <w:tcMar>
              <w:top w:w="100" w:type="nil"/>
              <w:right w:w="100" w:type="nil"/>
            </w:tcMar>
            <w:vAlign w:val="center"/>
          </w:tcPr>
          <w:p w14:paraId="773FA22C"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0.000</w:t>
            </w:r>
          </w:p>
        </w:tc>
      </w:tr>
      <w:tr w:rsidR="00AE5FDC" w14:paraId="02FB1DD5"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1CB7EC6" w14:textId="77777777" w:rsidR="00AE5FDC" w:rsidRPr="007F638E" w:rsidRDefault="00AE5FDC">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6CB434E"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(0.017)</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EE1C4DA"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(0.015)</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649BDE7"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(0.014)</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607378A"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DEA5CE8"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w:t>
            </w:r>
          </w:p>
        </w:tc>
      </w:tr>
      <w:tr w:rsidR="00AE5FDC" w14:paraId="23CFF8EB"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6B416EB" w14:textId="77777777" w:rsidR="00AE5FDC" w:rsidRPr="007F638E" w:rsidRDefault="00AE5FDC">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5E02B75" w14:textId="77777777" w:rsidR="00AE5FDC" w:rsidRPr="007F638E" w:rsidRDefault="00AE5FDC">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3F02276" w14:textId="77777777" w:rsidR="00AE5FDC" w:rsidRPr="007F638E" w:rsidRDefault="00AE5FDC">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E66E58E" w14:textId="77777777" w:rsidR="00AE5FDC" w:rsidRPr="007F638E" w:rsidRDefault="00AE5FDC">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C814682" w14:textId="77777777" w:rsidR="00AE5FDC" w:rsidRPr="007F638E" w:rsidRDefault="00AE5FDC">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67AE5D5" w14:textId="77777777" w:rsidR="00AE5FDC" w:rsidRPr="007F638E" w:rsidRDefault="00AE5FDC">
            <w:pPr>
              <w:autoSpaceDE w:val="0"/>
              <w:autoSpaceDN w:val="0"/>
              <w:adjustRightInd w:val="0"/>
              <w:rPr>
                <w:rFonts w:eastAsiaTheme="minorHAnsi"/>
                <w:sz w:val="20"/>
                <w:szCs w:val="20"/>
                <w14:ligatures w14:val="standardContextual"/>
              </w:rPr>
            </w:pPr>
          </w:p>
        </w:tc>
      </w:tr>
      <w:tr w:rsidR="00AE5FDC" w14:paraId="1FCFD09A"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C8D0F5B" w14:textId="77777777" w:rsidR="00AE5FDC" w:rsidRPr="007F638E" w:rsidRDefault="00AE5FDC">
            <w:pPr>
              <w:autoSpaceDE w:val="0"/>
              <w:autoSpaceDN w:val="0"/>
              <w:adjustRightInd w:val="0"/>
              <w:rPr>
                <w:rFonts w:eastAsiaTheme="minorHAnsi"/>
                <w:sz w:val="20"/>
                <w:szCs w:val="20"/>
                <w14:ligatures w14:val="standardContextual"/>
              </w:rPr>
            </w:pPr>
            <w:proofErr w:type="spellStart"/>
            <w:r w:rsidRPr="007F638E">
              <w:rPr>
                <w:rFonts w:eastAsiaTheme="minorHAnsi"/>
                <w:sz w:val="20"/>
                <w:szCs w:val="20"/>
                <w14:ligatures w14:val="standardContextual"/>
              </w:rPr>
              <w:t>biden_period</w:t>
            </w:r>
            <w:proofErr w:type="spellEnd"/>
            <w:r w:rsidRPr="007F638E">
              <w:rPr>
                <w:rFonts w:eastAsiaTheme="minorHAnsi"/>
                <w:sz w:val="20"/>
                <w:szCs w:val="20"/>
                <w14:ligatures w14:val="standardContextual"/>
              </w:rPr>
              <w:t>=1</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A931AE8"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-0.221</w:t>
            </w:r>
            <w:r w:rsidRPr="007F638E">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87C1212"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-0.288</w:t>
            </w:r>
            <w:r w:rsidRPr="007F638E">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ACE0393"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-0.289</w:t>
            </w:r>
            <w:r w:rsidRPr="007F638E">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C6BD95E"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-0.300</w:t>
            </w:r>
            <w:r w:rsidRPr="007F638E">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07EE97B"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-0.147</w:t>
            </w:r>
            <w:r w:rsidRPr="007F638E">
              <w:rPr>
                <w:rFonts w:eastAsiaTheme="minorHAnsi"/>
                <w:sz w:val="20"/>
                <w:szCs w:val="20"/>
                <w:vertAlign w:val="superscript"/>
                <w14:ligatures w14:val="standardContextual"/>
              </w:rPr>
              <w:t>***</w:t>
            </w:r>
          </w:p>
        </w:tc>
      </w:tr>
      <w:tr w:rsidR="00AE5FDC" w14:paraId="361DD542"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2827147" w14:textId="77777777" w:rsidR="00AE5FDC" w:rsidRPr="007F638E" w:rsidRDefault="00AE5FDC">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1405ACA"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(0.014)</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CE7DD19"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(0.013)</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619FBD8"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(0.012)</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DDF7FBD"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(0.011)</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2342936"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(0.014)</w:t>
            </w:r>
          </w:p>
        </w:tc>
      </w:tr>
      <w:tr w:rsidR="00AE5FDC" w14:paraId="4616113C"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18B1A3F" w14:textId="77777777" w:rsidR="00AE5FDC" w:rsidRPr="007F638E" w:rsidRDefault="00AE5FDC">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07AB17D" w14:textId="77777777" w:rsidR="00AE5FDC" w:rsidRPr="007F638E" w:rsidRDefault="00AE5FDC">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DF7D0A4" w14:textId="77777777" w:rsidR="00AE5FDC" w:rsidRPr="007F638E" w:rsidRDefault="00AE5FDC">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70C0150" w14:textId="77777777" w:rsidR="00AE5FDC" w:rsidRPr="007F638E" w:rsidRDefault="00AE5FDC">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29B3CD1" w14:textId="77777777" w:rsidR="00AE5FDC" w:rsidRPr="007F638E" w:rsidRDefault="00AE5FDC">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8790734" w14:textId="77777777" w:rsidR="00AE5FDC" w:rsidRPr="007F638E" w:rsidRDefault="00AE5FDC">
            <w:pPr>
              <w:autoSpaceDE w:val="0"/>
              <w:autoSpaceDN w:val="0"/>
              <w:adjustRightInd w:val="0"/>
              <w:rPr>
                <w:rFonts w:eastAsiaTheme="minorHAnsi"/>
                <w:sz w:val="20"/>
                <w:szCs w:val="20"/>
                <w14:ligatures w14:val="standardContextual"/>
              </w:rPr>
            </w:pPr>
          </w:p>
        </w:tc>
      </w:tr>
      <w:tr w:rsidR="00AE5FDC" w14:paraId="6D10E10A" w14:textId="77777777">
        <w:tblPrEx>
          <w:tblBorders>
            <w:top w:val="none" w:sz="0" w:space="0" w:color="auto"/>
          </w:tblBorders>
        </w:tblPrEx>
        <w:tc>
          <w:tcPr>
            <w:tcW w:w="15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79FFF3D" w14:textId="77777777" w:rsidR="00AE5FDC" w:rsidRPr="007F638E" w:rsidRDefault="00AE5FDC">
            <w:pPr>
              <w:autoSpaceDE w:val="0"/>
              <w:autoSpaceDN w:val="0"/>
              <w:adjustRightInd w:val="0"/>
              <w:rPr>
                <w:rFonts w:eastAsiaTheme="minorHAnsi"/>
                <w:sz w:val="20"/>
                <w:szCs w:val="20"/>
                <w14:ligatures w14:val="standardContextual"/>
              </w:rPr>
            </w:pPr>
            <w:r w:rsidRPr="007F638E">
              <w:rPr>
                <w:rFonts w:eastAsiaTheme="minorHAnsi"/>
                <w:sz w:val="20"/>
                <w:szCs w:val="20"/>
                <w14:ligatures w14:val="standardContextual"/>
              </w:rPr>
              <w:t xml:space="preserve">trump1_cohort=1 # </w:t>
            </w:r>
            <w:proofErr w:type="spellStart"/>
            <w:r w:rsidRPr="007F638E">
              <w:rPr>
                <w:rFonts w:eastAsiaTheme="minorHAnsi"/>
                <w:sz w:val="20"/>
                <w:szCs w:val="20"/>
                <w14:ligatures w14:val="standardContextual"/>
              </w:rPr>
              <w:t>biden_period</w:t>
            </w:r>
            <w:proofErr w:type="spellEnd"/>
            <w:r w:rsidRPr="007F638E">
              <w:rPr>
                <w:rFonts w:eastAsiaTheme="minorHAnsi"/>
                <w:sz w:val="20"/>
                <w:szCs w:val="20"/>
                <w14:ligatures w14:val="standardContextual"/>
              </w:rPr>
              <w:t>=1</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00FBC33"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-0.141</w:t>
            </w:r>
            <w:r w:rsidRPr="007F638E">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6B3BFB9"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-0.045</w:t>
            </w:r>
            <w:r w:rsidRPr="007F638E">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8CF1C30"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-0.039</w:t>
            </w:r>
            <w:r w:rsidRPr="007F638E">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C791A34"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-0.040</w:t>
            </w:r>
            <w:r w:rsidRPr="007F638E">
              <w:rPr>
                <w:rFonts w:eastAsiaTheme="minorHAnsi"/>
                <w:sz w:val="20"/>
                <w:szCs w:val="20"/>
                <w:vertAlign w:val="superscript"/>
                <w14:ligatures w14:val="standardContextual"/>
              </w:rPr>
              <w:t>**</w:t>
            </w:r>
          </w:p>
        </w:tc>
        <w:tc>
          <w:tcPr>
            <w:tcW w:w="144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CEF22A5"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-0.003</w:t>
            </w:r>
          </w:p>
        </w:tc>
      </w:tr>
      <w:tr w:rsidR="00AE5FDC" w14:paraId="194B91E3" w14:textId="77777777">
        <w:tblPrEx>
          <w:tblBorders>
            <w:top w:val="none" w:sz="0" w:space="0" w:color="auto"/>
          </w:tblBorders>
        </w:tblPrEx>
        <w:tc>
          <w:tcPr>
            <w:tcW w:w="1548" w:type="dxa"/>
            <w:tcBorders>
              <w:top w:val="single" w:sz="8" w:space="0" w:color="BFBFBF"/>
              <w:left w:val="single" w:sz="8" w:space="0" w:color="BFBFBF"/>
              <w:bottom w:val="single" w:sz="4" w:space="0" w:color="BFBFBF"/>
              <w:right w:val="single" w:sz="8" w:space="0" w:color="BFBFBF"/>
            </w:tcBorders>
            <w:tcMar>
              <w:top w:w="100" w:type="nil"/>
              <w:right w:w="100" w:type="nil"/>
            </w:tcMar>
            <w:vAlign w:val="center"/>
          </w:tcPr>
          <w:p w14:paraId="3B963950" w14:textId="77777777" w:rsidR="00AE5FDC" w:rsidRPr="007F638E" w:rsidRDefault="00AE5FDC">
            <w:pPr>
              <w:autoSpaceDE w:val="0"/>
              <w:autoSpaceDN w:val="0"/>
              <w:adjustRightInd w:val="0"/>
              <w:rPr>
                <w:rFonts w:eastAsiaTheme="minorHAnsi"/>
                <w:sz w:val="20"/>
                <w:szCs w:val="20"/>
                <w14:ligatures w14:val="standardContextual"/>
              </w:rPr>
            </w:pPr>
          </w:p>
        </w:tc>
        <w:tc>
          <w:tcPr>
            <w:tcW w:w="1440" w:type="dxa"/>
            <w:tcBorders>
              <w:top w:val="single" w:sz="8" w:space="0" w:color="BFBFBF"/>
              <w:left w:val="single" w:sz="8" w:space="0" w:color="BFBFBF"/>
              <w:bottom w:val="single" w:sz="4" w:space="0" w:color="BFBFBF"/>
              <w:right w:val="single" w:sz="8" w:space="0" w:color="BFBFBF"/>
            </w:tcBorders>
            <w:tcMar>
              <w:top w:w="100" w:type="nil"/>
              <w:right w:w="100" w:type="nil"/>
            </w:tcMar>
            <w:vAlign w:val="center"/>
          </w:tcPr>
          <w:p w14:paraId="0D21957F"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(0.019)</w:t>
            </w:r>
          </w:p>
        </w:tc>
        <w:tc>
          <w:tcPr>
            <w:tcW w:w="1440" w:type="dxa"/>
            <w:tcBorders>
              <w:top w:val="single" w:sz="8" w:space="0" w:color="BFBFBF"/>
              <w:left w:val="single" w:sz="8" w:space="0" w:color="BFBFBF"/>
              <w:bottom w:val="single" w:sz="4" w:space="0" w:color="BFBFBF"/>
              <w:right w:val="single" w:sz="8" w:space="0" w:color="BFBFBF"/>
            </w:tcBorders>
            <w:tcMar>
              <w:top w:w="100" w:type="nil"/>
              <w:right w:w="100" w:type="nil"/>
            </w:tcMar>
            <w:vAlign w:val="center"/>
          </w:tcPr>
          <w:p w14:paraId="5C70DE09"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(0.018)</w:t>
            </w:r>
          </w:p>
        </w:tc>
        <w:tc>
          <w:tcPr>
            <w:tcW w:w="1440" w:type="dxa"/>
            <w:tcBorders>
              <w:top w:val="single" w:sz="8" w:space="0" w:color="BFBFBF"/>
              <w:left w:val="single" w:sz="8" w:space="0" w:color="BFBFBF"/>
              <w:bottom w:val="single" w:sz="4" w:space="0" w:color="BFBFBF"/>
              <w:right w:val="single" w:sz="8" w:space="0" w:color="BFBFBF"/>
            </w:tcBorders>
            <w:tcMar>
              <w:top w:w="100" w:type="nil"/>
              <w:right w:w="100" w:type="nil"/>
            </w:tcMar>
            <w:vAlign w:val="center"/>
          </w:tcPr>
          <w:p w14:paraId="7102E23F"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(0.017)</w:t>
            </w:r>
          </w:p>
        </w:tc>
        <w:tc>
          <w:tcPr>
            <w:tcW w:w="1440" w:type="dxa"/>
            <w:tcBorders>
              <w:top w:val="single" w:sz="8" w:space="0" w:color="BFBFBF"/>
              <w:left w:val="single" w:sz="8" w:space="0" w:color="BFBFBF"/>
              <w:bottom w:val="single" w:sz="4" w:space="0" w:color="BFBFBF"/>
              <w:right w:val="single" w:sz="8" w:space="0" w:color="BFBFBF"/>
            </w:tcBorders>
            <w:tcMar>
              <w:top w:w="100" w:type="nil"/>
              <w:right w:w="100" w:type="nil"/>
            </w:tcMar>
            <w:vAlign w:val="center"/>
          </w:tcPr>
          <w:p w14:paraId="16AE8912"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(0.016)</w:t>
            </w:r>
          </w:p>
        </w:tc>
        <w:tc>
          <w:tcPr>
            <w:tcW w:w="1440" w:type="dxa"/>
            <w:tcBorders>
              <w:top w:val="single" w:sz="8" w:space="0" w:color="BFBFBF"/>
              <w:left w:val="single" w:sz="8" w:space="0" w:color="BFBFBF"/>
              <w:bottom w:val="single" w:sz="4" w:space="0" w:color="BFBFBF"/>
              <w:right w:val="single" w:sz="8" w:space="0" w:color="BFBFBF"/>
            </w:tcBorders>
            <w:tcMar>
              <w:top w:w="100" w:type="nil"/>
              <w:right w:w="100" w:type="nil"/>
            </w:tcMar>
            <w:vAlign w:val="center"/>
          </w:tcPr>
          <w:p w14:paraId="40CD2685"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(0.015)</w:t>
            </w:r>
          </w:p>
        </w:tc>
      </w:tr>
      <w:tr w:rsidR="00AE5FDC" w14:paraId="27A1D8E3" w14:textId="77777777">
        <w:tc>
          <w:tcPr>
            <w:tcW w:w="1548" w:type="dxa"/>
            <w:tcBorders>
              <w:top w:val="single" w:sz="8" w:space="0" w:color="BFBFBF"/>
              <w:left w:val="single" w:sz="8" w:space="0" w:color="BFBFBF"/>
              <w:bottom w:val="single" w:sz="4" w:space="0" w:color="BFBFBF"/>
              <w:right w:val="single" w:sz="8" w:space="0" w:color="BFBFBF"/>
            </w:tcBorders>
            <w:tcMar>
              <w:top w:w="100" w:type="nil"/>
              <w:right w:w="100" w:type="nil"/>
            </w:tcMar>
            <w:vAlign w:val="center"/>
          </w:tcPr>
          <w:p w14:paraId="2F610F63" w14:textId="77777777" w:rsidR="00AE5FDC" w:rsidRPr="007F638E" w:rsidRDefault="00AE5FDC">
            <w:pPr>
              <w:autoSpaceDE w:val="0"/>
              <w:autoSpaceDN w:val="0"/>
              <w:adjustRightInd w:val="0"/>
              <w:rPr>
                <w:rFonts w:eastAsiaTheme="minorHAnsi"/>
                <w:sz w:val="20"/>
                <w:szCs w:val="20"/>
                <w14:ligatures w14:val="standardContextual"/>
              </w:rPr>
            </w:pPr>
            <w:r w:rsidRPr="007F638E">
              <w:rPr>
                <w:rFonts w:eastAsiaTheme="minorHAnsi"/>
                <w:sz w:val="20"/>
                <w:szCs w:val="20"/>
                <w14:ligatures w14:val="standardContextual"/>
              </w:rPr>
              <w:t>Adj. R-squared</w:t>
            </w:r>
          </w:p>
        </w:tc>
        <w:tc>
          <w:tcPr>
            <w:tcW w:w="1440" w:type="dxa"/>
            <w:tcBorders>
              <w:top w:val="single" w:sz="8" w:space="0" w:color="BFBFBF"/>
              <w:left w:val="single" w:sz="8" w:space="0" w:color="BFBFBF"/>
              <w:bottom w:val="single" w:sz="4" w:space="0" w:color="BFBFBF"/>
              <w:right w:val="single" w:sz="8" w:space="0" w:color="BFBFBF"/>
            </w:tcBorders>
            <w:tcMar>
              <w:top w:w="100" w:type="nil"/>
              <w:right w:w="100" w:type="nil"/>
            </w:tcMar>
            <w:vAlign w:val="center"/>
          </w:tcPr>
          <w:p w14:paraId="39981B76"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0.050</w:t>
            </w:r>
          </w:p>
        </w:tc>
        <w:tc>
          <w:tcPr>
            <w:tcW w:w="1440" w:type="dxa"/>
            <w:tcBorders>
              <w:top w:val="single" w:sz="8" w:space="0" w:color="BFBFBF"/>
              <w:left w:val="single" w:sz="8" w:space="0" w:color="BFBFBF"/>
              <w:bottom w:val="single" w:sz="4" w:space="0" w:color="BFBFBF"/>
              <w:right w:val="single" w:sz="8" w:space="0" w:color="BFBFBF"/>
            </w:tcBorders>
            <w:tcMar>
              <w:top w:w="100" w:type="nil"/>
              <w:right w:w="100" w:type="nil"/>
            </w:tcMar>
            <w:vAlign w:val="center"/>
          </w:tcPr>
          <w:p w14:paraId="1B62572F"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0.170</w:t>
            </w:r>
          </w:p>
        </w:tc>
        <w:tc>
          <w:tcPr>
            <w:tcW w:w="1440" w:type="dxa"/>
            <w:tcBorders>
              <w:top w:val="single" w:sz="8" w:space="0" w:color="BFBFBF"/>
              <w:left w:val="single" w:sz="8" w:space="0" w:color="BFBFBF"/>
              <w:bottom w:val="single" w:sz="4" w:space="0" w:color="BFBFBF"/>
              <w:right w:val="single" w:sz="8" w:space="0" w:color="BFBFBF"/>
            </w:tcBorders>
            <w:tcMar>
              <w:top w:w="100" w:type="nil"/>
              <w:right w:w="100" w:type="nil"/>
            </w:tcMar>
            <w:vAlign w:val="center"/>
          </w:tcPr>
          <w:p w14:paraId="26B76D55"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0.182</w:t>
            </w:r>
          </w:p>
        </w:tc>
        <w:tc>
          <w:tcPr>
            <w:tcW w:w="1440" w:type="dxa"/>
            <w:tcBorders>
              <w:top w:val="single" w:sz="8" w:space="0" w:color="BFBFBF"/>
              <w:left w:val="single" w:sz="8" w:space="0" w:color="BFBFBF"/>
              <w:bottom w:val="single" w:sz="4" w:space="0" w:color="BFBFBF"/>
              <w:right w:val="single" w:sz="8" w:space="0" w:color="BFBFBF"/>
            </w:tcBorders>
            <w:tcMar>
              <w:top w:w="100" w:type="nil"/>
              <w:right w:w="100" w:type="nil"/>
            </w:tcMar>
            <w:vAlign w:val="center"/>
          </w:tcPr>
          <w:p w14:paraId="65EA25C0"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0.278</w:t>
            </w:r>
          </w:p>
        </w:tc>
        <w:tc>
          <w:tcPr>
            <w:tcW w:w="1440" w:type="dxa"/>
            <w:tcBorders>
              <w:top w:val="single" w:sz="8" w:space="0" w:color="BFBFBF"/>
              <w:left w:val="single" w:sz="8" w:space="0" w:color="BFBFBF"/>
              <w:bottom w:val="single" w:sz="4" w:space="0" w:color="BFBFBF"/>
              <w:right w:val="single" w:sz="8" w:space="0" w:color="BFBFBF"/>
            </w:tcBorders>
            <w:tcMar>
              <w:top w:w="100" w:type="nil"/>
              <w:right w:w="100" w:type="nil"/>
            </w:tcMar>
            <w:vAlign w:val="center"/>
          </w:tcPr>
          <w:p w14:paraId="62B728B7" w14:textId="77777777" w:rsidR="00AE5FDC" w:rsidRPr="007F638E" w:rsidRDefault="00AE5FDC">
            <w:pPr>
              <w:autoSpaceDE w:val="0"/>
              <w:autoSpaceDN w:val="0"/>
              <w:adjustRightInd w:val="0"/>
              <w:jc w:val="center"/>
              <w:rPr>
                <w:rFonts w:eastAsiaTheme="minorHAnsi"/>
                <w:sz w:val="20"/>
                <w:szCs w:val="20"/>
                <w14:ligatures w14:val="standardContextual"/>
              </w:rPr>
            </w:pPr>
            <w:r w:rsidRPr="007F638E">
              <w:rPr>
                <w:rFonts w:eastAsiaTheme="minorHAnsi"/>
                <w:sz w:val="20"/>
                <w:szCs w:val="20"/>
                <w14:ligatures w14:val="standardContextual"/>
              </w:rPr>
              <w:t>0.306</w:t>
            </w:r>
          </w:p>
        </w:tc>
      </w:tr>
    </w:tbl>
    <w:p w14:paraId="2F2867D7" w14:textId="32F5F1C2" w:rsidR="00AE5FDC" w:rsidRDefault="00AE5FDC" w:rsidP="00AE5FDC">
      <w:pPr>
        <w:autoSpaceDE w:val="0"/>
        <w:autoSpaceDN w:val="0"/>
        <w:adjustRightInd w:val="0"/>
        <w:rPr>
          <w:rFonts w:eastAsiaTheme="minorHAnsi"/>
          <w:sz w:val="20"/>
          <w:szCs w:val="20"/>
          <w14:ligatures w14:val="standardContextual"/>
        </w:rPr>
      </w:pPr>
      <w:r>
        <w:rPr>
          <w:rFonts w:eastAsiaTheme="minorHAnsi"/>
          <w:sz w:val="20"/>
          <w:szCs w:val="20"/>
          <w14:ligatures w14:val="standardContextual"/>
        </w:rPr>
        <w:t xml:space="preserve">Standard errors in </w:t>
      </w:r>
      <w:proofErr w:type="gramStart"/>
      <w:r>
        <w:rPr>
          <w:rFonts w:eastAsiaTheme="minorHAnsi"/>
          <w:sz w:val="20"/>
          <w:szCs w:val="20"/>
          <w14:ligatures w14:val="standardContextual"/>
        </w:rPr>
        <w:t>parentheses</w:t>
      </w:r>
      <w:r w:rsidR="007F638E">
        <w:rPr>
          <w:rFonts w:eastAsiaTheme="minorHAnsi"/>
          <w:sz w:val="20"/>
          <w:szCs w:val="20"/>
          <w14:ligatures w14:val="standardContextual"/>
        </w:rPr>
        <w:t>.</w:t>
      </w:r>
      <w:r>
        <w:rPr>
          <w:rFonts w:eastAsiaTheme="minorHAnsi"/>
          <w:sz w:val="20"/>
          <w:szCs w:val="20"/>
          <w:vertAlign w:val="superscript"/>
          <w14:ligatures w14:val="standardContextual"/>
        </w:rPr>
        <w:t>*</w:t>
      </w:r>
      <w:proofErr w:type="gramEnd"/>
      <w:r>
        <w:rPr>
          <w:rFonts w:eastAsiaTheme="minorHAnsi"/>
          <w:sz w:val="20"/>
          <w:szCs w:val="20"/>
          <w14:ligatures w14:val="standardContextual"/>
        </w:rPr>
        <w:t xml:space="preserve"> </w:t>
      </w:r>
      <w:r>
        <w:rPr>
          <w:rFonts w:eastAsiaTheme="minorHAnsi"/>
          <w:i/>
          <w:iCs/>
          <w:sz w:val="20"/>
          <w:szCs w:val="20"/>
          <w14:ligatures w14:val="standardContextual"/>
        </w:rPr>
        <w:t>p</w:t>
      </w:r>
      <w:r>
        <w:rPr>
          <w:rFonts w:eastAsiaTheme="minorHAnsi"/>
          <w:sz w:val="20"/>
          <w:szCs w:val="20"/>
          <w14:ligatures w14:val="standardContextual"/>
        </w:rPr>
        <w:t xml:space="preserve"> &lt; 0.10, </w:t>
      </w:r>
      <w:r>
        <w:rPr>
          <w:rFonts w:eastAsiaTheme="minorHAnsi"/>
          <w:sz w:val="20"/>
          <w:szCs w:val="20"/>
          <w:vertAlign w:val="superscript"/>
          <w14:ligatures w14:val="standardContextual"/>
        </w:rPr>
        <w:t>**</w:t>
      </w:r>
      <w:r>
        <w:rPr>
          <w:rFonts w:eastAsiaTheme="minorHAnsi"/>
          <w:sz w:val="20"/>
          <w:szCs w:val="20"/>
          <w14:ligatures w14:val="standardContextual"/>
        </w:rPr>
        <w:t xml:space="preserve"> </w:t>
      </w:r>
      <w:r>
        <w:rPr>
          <w:rFonts w:eastAsiaTheme="minorHAnsi"/>
          <w:i/>
          <w:iCs/>
          <w:sz w:val="20"/>
          <w:szCs w:val="20"/>
          <w14:ligatures w14:val="standardContextual"/>
        </w:rPr>
        <w:t>p</w:t>
      </w:r>
      <w:r>
        <w:rPr>
          <w:rFonts w:eastAsiaTheme="minorHAnsi"/>
          <w:sz w:val="20"/>
          <w:szCs w:val="20"/>
          <w14:ligatures w14:val="standardContextual"/>
        </w:rPr>
        <w:t xml:space="preserve"> &lt; 0.05, </w:t>
      </w:r>
      <w:r>
        <w:rPr>
          <w:rFonts w:eastAsiaTheme="minorHAnsi"/>
          <w:sz w:val="20"/>
          <w:szCs w:val="20"/>
          <w:vertAlign w:val="superscript"/>
          <w14:ligatures w14:val="standardContextual"/>
        </w:rPr>
        <w:t>***</w:t>
      </w:r>
      <w:r>
        <w:rPr>
          <w:rFonts w:eastAsiaTheme="minorHAnsi"/>
          <w:sz w:val="20"/>
          <w:szCs w:val="20"/>
          <w14:ligatures w14:val="standardContextual"/>
        </w:rPr>
        <w:t xml:space="preserve"> </w:t>
      </w:r>
      <w:r>
        <w:rPr>
          <w:rFonts w:eastAsiaTheme="minorHAnsi"/>
          <w:i/>
          <w:iCs/>
          <w:sz w:val="20"/>
          <w:szCs w:val="20"/>
          <w14:ligatures w14:val="standardContextual"/>
        </w:rPr>
        <w:t>p</w:t>
      </w:r>
      <w:r>
        <w:rPr>
          <w:rFonts w:eastAsiaTheme="minorHAnsi"/>
          <w:sz w:val="20"/>
          <w:szCs w:val="20"/>
          <w14:ligatures w14:val="standardContextual"/>
        </w:rPr>
        <w:t xml:space="preserve"> &lt; 0.01</w:t>
      </w:r>
    </w:p>
    <w:p w14:paraId="4938266A" w14:textId="77777777" w:rsidR="00AE5FDC" w:rsidRDefault="00AE5FDC" w:rsidP="00AE5FDC">
      <w:pPr>
        <w:autoSpaceDE w:val="0"/>
        <w:autoSpaceDN w:val="0"/>
        <w:adjustRightInd w:val="0"/>
        <w:rPr>
          <w:rFonts w:eastAsiaTheme="minorHAnsi"/>
          <w:sz w:val="20"/>
          <w:szCs w:val="20"/>
          <w14:ligatures w14:val="standardContextual"/>
        </w:rPr>
      </w:pPr>
    </w:p>
    <w:p w14:paraId="308CB28D" w14:textId="77777777" w:rsidR="00AE5FDC" w:rsidRDefault="00AE5FDC" w:rsidP="00AE5FDC">
      <w:pPr>
        <w:pStyle w:val="NormalWeb"/>
        <w:spacing w:before="0" w:beforeAutospacing="0" w:after="0" w:afterAutospacing="0" w:line="480" w:lineRule="auto"/>
        <w:ind w:firstLine="720"/>
        <w:rPr>
          <w:color w:val="000000"/>
        </w:rPr>
      </w:pPr>
      <w:r>
        <w:rPr>
          <w:color w:val="000000"/>
        </w:rPr>
        <w:t>This table estimates the effect of the transition to the Biden administration on removal outcomes using a specification that incorporates judge fixed effects. By comparing each judge to themselves over time, the model isolates within-judge changes in behavior and provides a more demanding test of whether Trump-appointed judges responded differently to the change in presidential administration.</w:t>
      </w:r>
    </w:p>
    <w:p w14:paraId="20AAA42A" w14:textId="77777777" w:rsidR="00AE5FDC" w:rsidRDefault="00AE5FDC" w:rsidP="00AE5FDC">
      <w:pPr>
        <w:pStyle w:val="NormalWeb"/>
        <w:spacing w:before="0" w:beforeAutospacing="0" w:after="0" w:afterAutospacing="0" w:line="480" w:lineRule="auto"/>
        <w:ind w:firstLine="720"/>
        <w:rPr>
          <w:color w:val="000000"/>
        </w:rPr>
      </w:pPr>
      <w:r>
        <w:rPr>
          <w:color w:val="000000"/>
        </w:rPr>
        <w:lastRenderedPageBreak/>
        <w:t>Column (1) presents the baseline difference-in-differences specification without controls. In this model, Trump-appointed judges appear substantially more likely to order removal, and the interaction between Trump appointment and the Biden period is large and negative, suggesting that Trump-appointed judges reduced removal rates more than other judges following the transition to the Biden administration. However, this estimate reflects both behavioral changes and differences in case composition and assignment.</w:t>
      </w:r>
    </w:p>
    <w:p w14:paraId="4D68AA09" w14:textId="77777777" w:rsidR="00AE5FDC" w:rsidRDefault="00AE5FDC" w:rsidP="00AE5FDC">
      <w:pPr>
        <w:pStyle w:val="NormalWeb"/>
        <w:spacing w:before="0" w:beforeAutospacing="0" w:after="0" w:afterAutospacing="0" w:line="480" w:lineRule="auto"/>
        <w:ind w:firstLine="720"/>
        <w:rPr>
          <w:color w:val="000000"/>
        </w:rPr>
      </w:pPr>
      <w:r>
        <w:rPr>
          <w:color w:val="000000"/>
        </w:rPr>
        <w:t>Column (2) adds case-level controls, including representation, asylum claims, nationality, language ability, detention status, criminal history, and hearing modality. The interaction coefficient declines sharply in magnitude, from approximately −14 percentage points to −4.5 percentage points, though it remains statistically significant. This reduction indicates that a significant portion of the apparent differential response is driven by changes in the types of cases adjudicated by different judges over time.</w:t>
      </w:r>
    </w:p>
    <w:p w14:paraId="434FFFC0" w14:textId="77777777" w:rsidR="00AE5FDC" w:rsidRDefault="00AE5FDC" w:rsidP="00AE5FDC">
      <w:pPr>
        <w:pStyle w:val="NormalWeb"/>
        <w:spacing w:before="0" w:beforeAutospacing="0" w:after="0" w:afterAutospacing="0" w:line="480" w:lineRule="auto"/>
        <w:ind w:firstLine="720"/>
        <w:rPr>
          <w:color w:val="000000"/>
        </w:rPr>
      </w:pPr>
      <w:r>
        <w:rPr>
          <w:color w:val="000000"/>
        </w:rPr>
        <w:t>Column (3) adds judge-level characteristics, including gender, prior government experience, military background, immigration experience, and judicial tenure. The interaction term remains negative and statistically significant, though slightly attenuated, suggesting that observable differences in judicial background explain some, but not all, of the earlier effect.</w:t>
      </w:r>
    </w:p>
    <w:p w14:paraId="6F13327A" w14:textId="77777777" w:rsidR="00AE5FDC" w:rsidRDefault="00AE5FDC" w:rsidP="00AE5FDC">
      <w:pPr>
        <w:pStyle w:val="NormalWeb"/>
        <w:spacing w:before="0" w:beforeAutospacing="0" w:after="0" w:afterAutospacing="0" w:line="480" w:lineRule="auto"/>
        <w:rPr>
          <w:color w:val="000000"/>
        </w:rPr>
      </w:pPr>
      <w:r>
        <w:rPr>
          <w:color w:val="000000"/>
        </w:rPr>
        <w:t>Column (4) introduces judge fixed effects, which absorb all time-invariant differences across judges, including baseline ideology, experience, and selection into the judiciary. In this specification, the interaction coefficient remains negative and statistically significant at approximately −4 percentage points. This suggests that, within the same judge, removal rates decline more for Trump-appointed judges during the Biden administration relative to other judges.</w:t>
      </w:r>
    </w:p>
    <w:p w14:paraId="4E846855" w14:textId="77777777" w:rsidR="00AE5FDC" w:rsidRDefault="00AE5FDC" w:rsidP="00AE5FDC">
      <w:pPr>
        <w:pStyle w:val="NormalWeb"/>
        <w:spacing w:before="0" w:beforeAutospacing="0" w:after="0" w:afterAutospacing="0" w:line="480" w:lineRule="auto"/>
        <w:ind w:firstLine="720"/>
        <w:rPr>
          <w:color w:val="000000"/>
        </w:rPr>
      </w:pPr>
      <w:r>
        <w:rPr>
          <w:color w:val="000000"/>
        </w:rPr>
        <w:lastRenderedPageBreak/>
        <w:t xml:space="preserve">Column (5) adds court-by-month fixed effects, providing the most demanding specification. These fixed effects absorb all time-varying conditions within each court, including changes in enforcement priorities, docket composition, and local institutional factors. In this specification, the interaction term becomes small and statistically indistinguishable from zero. This indicates that, once comparing the same judge within the same court and </w:t>
      </w:r>
      <w:proofErr w:type="gramStart"/>
      <w:r>
        <w:rPr>
          <w:color w:val="000000"/>
        </w:rPr>
        <w:t>time period</w:t>
      </w:r>
      <w:proofErr w:type="gramEnd"/>
      <w:r>
        <w:rPr>
          <w:color w:val="000000"/>
        </w:rPr>
        <w:t>, Trump-appointed judges do not exhibit a differential response to the Biden administration.</w:t>
      </w:r>
    </w:p>
    <w:p w14:paraId="48A36204" w14:textId="77777777" w:rsidR="00AE5FDC" w:rsidRDefault="00AE5FDC" w:rsidP="00AE5FDC">
      <w:pPr>
        <w:pStyle w:val="NormalWeb"/>
        <w:spacing w:before="0" w:beforeAutospacing="0" w:after="0" w:afterAutospacing="0" w:line="480" w:lineRule="auto"/>
        <w:rPr>
          <w:color w:val="000000"/>
        </w:rPr>
      </w:pPr>
      <w:r>
        <w:rPr>
          <w:color w:val="000000"/>
        </w:rPr>
        <w:t>Across all specifications, the coefficient on the Biden period indicator remains large and negative, indicating a substantial decline in removal rates during the Biden administration for all judges. In the preferred specification, removal rates fall by approximately 15 percentage points relative to the baseline period, underscoring the importance of administrative context.</w:t>
      </w:r>
    </w:p>
    <w:p w14:paraId="27852567" w14:textId="4FCF99C3" w:rsidR="00AE5FDC" w:rsidRPr="00842166" w:rsidRDefault="00AE5FDC" w:rsidP="005E372C">
      <w:pPr>
        <w:pStyle w:val="NormalWeb"/>
        <w:spacing w:before="0" w:beforeAutospacing="0" w:after="0" w:afterAutospacing="0" w:line="480" w:lineRule="auto"/>
        <w:ind w:firstLine="720"/>
        <w:rPr>
          <w:color w:val="000000"/>
        </w:rPr>
      </w:pPr>
      <w:r>
        <w:rPr>
          <w:color w:val="000000"/>
        </w:rPr>
        <w:t>Taken together, the results indicate that while earlier specifications suggest that Trump-appointed judges responded differently to the transition to the Biden administration, this apparent difference is driven by changes in case composition and court-level conditions. Once these factors are fully accounted for, there is no evidence of a differential within-judge response. This finding suggests that the shift in removal outcomes under the Biden administration reflects a broad, system-wide change rather than cohort-specific behavioral adjustments.</w:t>
      </w:r>
    </w:p>
    <w:p w14:paraId="65046034" w14:textId="77777777" w:rsidR="00D76C6E" w:rsidRDefault="00D76C6E" w:rsidP="00D76C6E">
      <w:pPr>
        <w:spacing w:before="360" w:after="120" w:line="480" w:lineRule="auto"/>
        <w:rPr>
          <w:b/>
          <w:bCs/>
          <w:i/>
          <w:iCs/>
        </w:rPr>
      </w:pPr>
      <w:r>
        <w:rPr>
          <w:b/>
          <w:bCs/>
          <w:i/>
          <w:iCs/>
        </w:rPr>
        <w:t>F. Model 3: The Full Triple Difference</w:t>
      </w:r>
    </w:p>
    <w:p w14:paraId="26F7E572" w14:textId="77777777" w:rsidR="00F21A28" w:rsidRDefault="00F21A28" w:rsidP="00F21A28">
      <w:pPr>
        <w:pStyle w:val="NormalWeb"/>
        <w:spacing w:before="0" w:beforeAutospacing="0" w:after="0" w:afterAutospacing="0" w:line="480" w:lineRule="auto"/>
        <w:ind w:firstLine="720"/>
        <w:rPr>
          <w:color w:val="000000"/>
        </w:rPr>
      </w:pPr>
      <w:r>
        <w:rPr>
          <w:color w:val="000000"/>
        </w:rPr>
        <w:t>The analysis next extends the difference-in-differences framework to a full triple-difference specification that allows the effect of presidential administration to vary flexibly across appointment cohorts. Rather than focusing only on the Biden-period interaction, this model estimates a complete set of cohort-by-period interactions within a unified framework.</w:t>
      </w:r>
    </w:p>
    <w:p w14:paraId="0F2A18C3" w14:textId="77777777" w:rsidR="00F21A28" w:rsidRDefault="00F21A28" w:rsidP="00F21A28">
      <w:pPr>
        <w:pStyle w:val="NormalWeb"/>
        <w:spacing w:before="0" w:beforeAutospacing="0" w:after="0" w:afterAutospacing="0" w:line="480" w:lineRule="auto"/>
        <w:rPr>
          <w:color w:val="000000"/>
        </w:rPr>
      </w:pPr>
      <w:r>
        <w:rPr>
          <w:color w:val="000000"/>
        </w:rPr>
        <w:t>The full specification is:</w:t>
      </w:r>
    </w:p>
    <w:p w14:paraId="5D04BC37" w14:textId="1E174D39" w:rsidR="00F21A28" w:rsidRDefault="00000000" w:rsidP="00F21A28">
      <w:pPr>
        <w:spacing w:line="480" w:lineRule="auto"/>
      </w:pPr>
      <m:oMathPara>
        <m:oMath>
          <m:sSub>
            <m:sSubPr>
              <m:ctrlPr>
                <w:rPr>
                  <w:rFonts w:ascii="Cambria Math" w:hAnsi="Cambria Math"/>
                </w:rPr>
              </m:ctrlPr>
            </m:sSubPr>
            <m:e>
              <m:r>
                <w:rPr>
                  <w:rFonts w:ascii="Cambria Math" w:hAnsi="Cambria Math"/>
                </w:rPr>
                <m:t>Y</m:t>
              </m:r>
            </m:e>
            <m:sub>
              <m:r>
                <w:rPr>
                  <w:rFonts w:ascii="Cambria Math" w:hAnsi="Cambria Math"/>
                </w:rPr>
                <m:t>ijct</m:t>
              </m:r>
            </m:sub>
          </m:sSub>
          <m: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c×t</m:t>
              </m:r>
            </m:sub>
          </m:sSub>
          <m:r>
            <w:rPr>
              <w:rFonts w:ascii="Cambria Math" w:hAnsi="Cambria Math"/>
            </w:rPr>
            <m:t>+</m:t>
          </m:r>
          <m:nary>
            <m:naryPr>
              <m:chr m:val="∑"/>
              <m:limLoc m:val="undOvr"/>
              <m:grow m:val="1"/>
              <m:supHide m:val="1"/>
              <m:ctrlPr>
                <w:rPr>
                  <w:rFonts w:ascii="Cambria Math" w:hAnsi="Cambria Math"/>
                </w:rPr>
              </m:ctrlPr>
            </m:naryPr>
            <m:sub>
              <m:r>
                <w:rPr>
                  <w:rFonts w:ascii="Cambria Math" w:hAnsi="Cambria Math"/>
                </w:rPr>
                <m:t>k</m:t>
              </m:r>
            </m:sub>
            <m:sup/>
            <m:e/>
          </m:nary>
          <m:nary>
            <m:naryPr>
              <m:chr m:val="∑"/>
              <m:limLoc m:val="undOvr"/>
              <m:grow m:val="1"/>
              <m:supHide m:val="1"/>
              <m:ctrlPr>
                <w:rPr>
                  <w:rFonts w:ascii="Cambria Math" w:hAnsi="Cambria Math"/>
                </w:rPr>
              </m:ctrlPr>
            </m:naryPr>
            <m:sub>
              <m:r>
                <w:rPr>
                  <w:rFonts w:ascii="Cambria Math" w:hAnsi="Cambria Math"/>
                </w:rPr>
                <m:t>p</m:t>
              </m:r>
            </m:sub>
            <m:sup/>
            <m:e/>
          </m:nary>
          <m:sSub>
            <m:sSubPr>
              <m:ctrlPr>
                <w:rPr>
                  <w:rFonts w:ascii="Cambria Math" w:hAnsi="Cambria Math"/>
                </w:rPr>
              </m:ctrlPr>
            </m:sSubPr>
            <m:e>
              <m:r>
                <w:rPr>
                  <w:rFonts w:ascii="Cambria Math" w:hAnsi="Cambria Math"/>
                </w:rPr>
                <m:t>β</m:t>
              </m:r>
            </m:e>
            <m:sub>
              <m:r>
                <w:rPr>
                  <w:rFonts w:ascii="Cambria Math" w:hAnsi="Cambria Math"/>
                </w:rPr>
                <m:t>kp</m:t>
              </m:r>
            </m:sub>
          </m:sSub>
          <m:r>
            <w:rPr>
              <w:rFonts w:ascii="Cambria Math" w:hAnsi="Cambria Math"/>
            </w:rPr>
            <m:t>(</m:t>
          </m:r>
          <m:sSub>
            <m:sSubPr>
              <m:ctrlPr>
                <w:rPr>
                  <w:rFonts w:ascii="Cambria Math" w:hAnsi="Cambria Math"/>
                </w:rPr>
              </m:ctrlPr>
            </m:sSubPr>
            <m:e>
              <m:r>
                <m:rPr>
                  <m:nor/>
                </m:rPr>
                <m:t>Cohort</m:t>
              </m:r>
            </m:e>
            <m:sub>
              <m:r>
                <w:rPr>
                  <w:rFonts w:ascii="Cambria Math" w:hAnsi="Cambria Math"/>
                </w:rPr>
                <m:t>k</m:t>
              </m:r>
            </m:sub>
          </m:sSub>
          <m:r>
            <w:rPr>
              <w:rFonts w:ascii="Cambria Math" w:hAnsi="Cambria Math"/>
            </w:rPr>
            <m:t>×</m:t>
          </m:r>
          <m:sSub>
            <m:sSubPr>
              <m:ctrlPr>
                <w:rPr>
                  <w:rFonts w:ascii="Cambria Math" w:hAnsi="Cambria Math"/>
                </w:rPr>
              </m:ctrlPr>
            </m:sSubPr>
            <m:e>
              <m:r>
                <m:rPr>
                  <m:nor/>
                </m:rPr>
                <m:t>Period</m:t>
              </m:r>
            </m:e>
            <m:sub>
              <m:r>
                <w:rPr>
                  <w:rFonts w:ascii="Cambria Math" w:hAnsi="Cambria Math"/>
                </w:rPr>
                <m:t>p</m:t>
              </m:r>
            </m:sub>
          </m:sSub>
          <m:r>
            <w:rPr>
              <w:rFonts w:ascii="Cambria Math" w:hAnsi="Cambria Math"/>
            </w:rPr>
            <m:t>)+</m:t>
          </m:r>
          <m:sSubSup>
            <m:sSubSupPr>
              <m:ctrlPr>
                <w:rPr>
                  <w:rFonts w:ascii="Cambria Math" w:hAnsi="Cambria Math"/>
                </w:rPr>
              </m:ctrlPr>
            </m:sSubSupPr>
            <m:e>
              <m:r>
                <w:rPr>
                  <w:rFonts w:ascii="Cambria Math" w:hAnsi="Cambria Math"/>
                </w:rPr>
                <m:t>X</m:t>
              </m:r>
            </m:e>
            <m:sub>
              <m:r>
                <w:rPr>
                  <w:rFonts w:ascii="Cambria Math" w:hAnsi="Cambria Math"/>
                </w:rPr>
                <m:t>i</m:t>
              </m:r>
            </m:sub>
            <m:sup>
              <m:r>
                <m:rPr>
                  <m:sty m:val="p"/>
                </m:rPr>
                <w:rPr>
                  <w:rFonts w:ascii="Cambria Math" w:hAnsi="Cambria Math"/>
                </w:rPr>
                <m:t>'</m:t>
              </m:r>
            </m:sup>
          </m:sSubSup>
          <m:r>
            <w:rPr>
              <w:rFonts w:ascii="Cambria Math" w:hAnsi="Cambria Math"/>
            </w:rPr>
            <m:t>δ+</m:t>
          </m:r>
          <m:sSub>
            <m:sSubPr>
              <m:ctrlPr>
                <w:rPr>
                  <w:rFonts w:ascii="Cambria Math" w:hAnsi="Cambria Math"/>
                </w:rPr>
              </m:ctrlPr>
            </m:sSubPr>
            <m:e>
              <m:r>
                <w:rPr>
                  <w:rFonts w:ascii="Cambria Math" w:hAnsi="Cambria Math"/>
                </w:rPr>
                <m:t>ε</m:t>
              </m:r>
            </m:e>
            <m:sub>
              <m:r>
                <w:rPr>
                  <w:rFonts w:ascii="Cambria Math" w:hAnsi="Cambria Math"/>
                </w:rPr>
                <m:t>ijct</m:t>
              </m:r>
            </m:sub>
          </m:sSub>
        </m:oMath>
      </m:oMathPara>
    </w:p>
    <w:p w14:paraId="19B57FD8" w14:textId="77777777" w:rsidR="00F21A28" w:rsidRDefault="00F21A28" w:rsidP="00F21A28">
      <w:pPr>
        <w:pStyle w:val="NormalWeb"/>
        <w:spacing w:before="0" w:beforeAutospacing="0" w:after="0" w:afterAutospacing="0" w:line="480" w:lineRule="auto"/>
        <w:rPr>
          <w:color w:val="000000"/>
        </w:rPr>
      </w:pPr>
      <w:r>
        <w:rPr>
          <w:color w:val="000000"/>
        </w:rPr>
        <w:t>where</w:t>
      </w:r>
      <w:r>
        <w:rPr>
          <w:rStyle w:val="apple-converted-space"/>
          <w:color w:val="000000"/>
        </w:rPr>
        <w:t> </w:t>
      </w:r>
      <m:oMath>
        <m:sSub>
          <m:sSubPr>
            <m:ctrlPr>
              <w:rPr>
                <w:rFonts w:ascii="Cambria Math" w:hAnsi="Cambria Math"/>
              </w:rPr>
            </m:ctrlPr>
          </m:sSubPr>
          <m:e>
            <m:r>
              <w:rPr>
                <w:rFonts w:ascii="Cambria Math" w:hAnsi="Cambria Math"/>
              </w:rPr>
              <m:t>Y</m:t>
            </m:r>
          </m:e>
          <m:sub>
            <m:r>
              <w:rPr>
                <w:rFonts w:ascii="Cambria Math" w:hAnsi="Cambria Math"/>
              </w:rPr>
              <m:t>ijct</m:t>
            </m:r>
          </m:sub>
        </m:sSub>
      </m:oMath>
      <w:r>
        <w:rPr>
          <w:rStyle w:val="apple-converted-space"/>
          <w:color w:val="000000"/>
        </w:rPr>
        <w:t> </w:t>
      </w:r>
      <w:r>
        <w:rPr>
          <w:color w:val="000000"/>
        </w:rPr>
        <w:t>is an indicator for whether case</w:t>
      </w:r>
      <w:r>
        <w:rPr>
          <w:rStyle w:val="apple-converted-space"/>
          <w:color w:val="000000"/>
        </w:rPr>
        <w:t> </w:t>
      </w:r>
      <m:oMath>
        <m:r>
          <w:rPr>
            <w:rFonts w:ascii="Cambria Math" w:hAnsi="Cambria Math"/>
          </w:rPr>
          <m:t>i</m:t>
        </m:r>
      </m:oMath>
      <w:r>
        <w:rPr>
          <w:color w:val="000000"/>
        </w:rPr>
        <w:t>, decided by judge</w:t>
      </w:r>
      <w:r>
        <w:rPr>
          <w:rStyle w:val="apple-converted-space"/>
          <w:color w:val="000000"/>
        </w:rPr>
        <w:t> </w:t>
      </w:r>
      <m:oMath>
        <m:r>
          <w:rPr>
            <w:rFonts w:ascii="Cambria Math" w:hAnsi="Cambria Math"/>
          </w:rPr>
          <m:t>j</m:t>
        </m:r>
      </m:oMath>
      <w:r>
        <w:rPr>
          <w:rStyle w:val="apple-converted-space"/>
          <w:color w:val="000000"/>
        </w:rPr>
        <w:t> </w:t>
      </w:r>
      <w:r>
        <w:rPr>
          <w:color w:val="000000"/>
        </w:rPr>
        <w:t>in court</w:t>
      </w:r>
      <w:r>
        <w:rPr>
          <w:rStyle w:val="apple-converted-space"/>
          <w:color w:val="000000"/>
        </w:rPr>
        <w:t> </w:t>
      </w:r>
      <m:oMath>
        <m:r>
          <w:rPr>
            <w:rFonts w:ascii="Cambria Math" w:hAnsi="Cambria Math"/>
          </w:rPr>
          <m:t>c</m:t>
        </m:r>
      </m:oMath>
      <w:r>
        <w:rPr>
          <w:rStyle w:val="apple-converted-space"/>
          <w:color w:val="000000"/>
        </w:rPr>
        <w:t> </w:t>
      </w:r>
      <w:r>
        <w:rPr>
          <w:color w:val="000000"/>
        </w:rPr>
        <w:t>at time</w:t>
      </w:r>
      <w:r>
        <w:rPr>
          <w:rStyle w:val="apple-converted-space"/>
          <w:color w:val="000000"/>
        </w:rPr>
        <w:t> </w:t>
      </w:r>
      <m:oMath>
        <m:r>
          <w:rPr>
            <w:rFonts w:ascii="Cambria Math" w:hAnsi="Cambria Math"/>
          </w:rPr>
          <m:t>t</m:t>
        </m:r>
      </m:oMath>
      <w:r>
        <w:rPr>
          <w:color w:val="000000"/>
        </w:rPr>
        <w:t>, results in a removal order;</w:t>
      </w:r>
      <w:r>
        <w:rPr>
          <w:rStyle w:val="apple-converted-space"/>
          <w:color w:val="000000"/>
        </w:rPr>
        <w:t> </w:t>
      </w:r>
      <m:oMath>
        <m:sSub>
          <m:sSubPr>
            <m:ctrlPr>
              <w:rPr>
                <w:rFonts w:ascii="Cambria Math" w:hAnsi="Cambria Math"/>
              </w:rPr>
            </m:ctrlPr>
          </m:sSubPr>
          <m:e>
            <m:r>
              <w:rPr>
                <w:rFonts w:ascii="Cambria Math" w:hAnsi="Cambria Math"/>
              </w:rPr>
              <m:t>α</m:t>
            </m:r>
          </m:e>
          <m:sub>
            <m:r>
              <w:rPr>
                <w:rFonts w:ascii="Cambria Math" w:hAnsi="Cambria Math"/>
              </w:rPr>
              <m:t>j</m:t>
            </m:r>
          </m:sub>
        </m:sSub>
      </m:oMath>
      <w:r>
        <w:rPr>
          <w:rStyle w:val="apple-converted-space"/>
          <w:color w:val="000000"/>
        </w:rPr>
        <w:t> </w:t>
      </w:r>
      <w:r>
        <w:rPr>
          <w:color w:val="000000"/>
        </w:rPr>
        <w:t>are judge fixed effects that absorb all time-invariant judge characteristics; and</w:t>
      </w:r>
      <w:r>
        <w:rPr>
          <w:rStyle w:val="apple-converted-space"/>
          <w:color w:val="000000"/>
        </w:rPr>
        <w:t> </w:t>
      </w:r>
      <m:oMath>
        <m:sSub>
          <m:sSubPr>
            <m:ctrlPr>
              <w:rPr>
                <w:rFonts w:ascii="Cambria Math" w:hAnsi="Cambria Math"/>
              </w:rPr>
            </m:ctrlPr>
          </m:sSubPr>
          <m:e>
            <m:r>
              <w:rPr>
                <w:rFonts w:ascii="Cambria Math" w:hAnsi="Cambria Math"/>
              </w:rPr>
              <m:t>γ</m:t>
            </m:r>
          </m:e>
          <m:sub>
            <m:r>
              <w:rPr>
                <w:rFonts w:ascii="Cambria Math" w:hAnsi="Cambria Math"/>
              </w:rPr>
              <m:t>c×t</m:t>
            </m:r>
          </m:sub>
        </m:sSub>
      </m:oMath>
      <w:r>
        <w:rPr>
          <w:rStyle w:val="apple-converted-space"/>
          <w:color w:val="000000"/>
        </w:rPr>
        <w:t> </w:t>
      </w:r>
      <w:r>
        <w:rPr>
          <w:color w:val="000000"/>
        </w:rPr>
        <w:t>are court-by-month fixed effects that capture time-varying conditions within each court. The vector</w:t>
      </w:r>
      <w:r>
        <w:rPr>
          <w:rStyle w:val="apple-converted-space"/>
          <w:color w:val="000000"/>
        </w:rPr>
        <w:t> </w:t>
      </w:r>
      <m:oMath>
        <m:sSub>
          <m:sSubPr>
            <m:ctrlPr>
              <w:rPr>
                <w:rFonts w:ascii="Cambria Math" w:hAnsi="Cambria Math"/>
              </w:rPr>
            </m:ctrlPr>
          </m:sSubPr>
          <m:e>
            <m:r>
              <w:rPr>
                <w:rFonts w:ascii="Cambria Math" w:hAnsi="Cambria Math"/>
              </w:rPr>
              <m:t>X</m:t>
            </m:r>
          </m:e>
          <m:sub>
            <m:r>
              <w:rPr>
                <w:rFonts w:ascii="Cambria Math" w:hAnsi="Cambria Math"/>
              </w:rPr>
              <m:t>i</m:t>
            </m:r>
          </m:sub>
        </m:sSub>
      </m:oMath>
      <w:r>
        <w:rPr>
          <w:rStyle w:val="apple-converted-space"/>
          <w:color w:val="000000"/>
        </w:rPr>
        <w:t> </w:t>
      </w:r>
      <w:r>
        <w:rPr>
          <w:color w:val="000000"/>
        </w:rPr>
        <w:t>includes the full set of case-level and judge-level controls. Standard errors are clustered at the judge level.</w:t>
      </w:r>
    </w:p>
    <w:p w14:paraId="62F65097" w14:textId="77777777" w:rsidR="00F21A28" w:rsidRDefault="00F21A28" w:rsidP="00F21A28">
      <w:pPr>
        <w:pStyle w:val="NormalWeb"/>
        <w:spacing w:before="0" w:beforeAutospacing="0" w:after="0" w:afterAutospacing="0" w:line="480" w:lineRule="auto"/>
        <w:ind w:firstLine="720"/>
        <w:rPr>
          <w:color w:val="000000"/>
        </w:rPr>
      </w:pPr>
      <w:r>
        <w:rPr>
          <w:color w:val="000000"/>
        </w:rPr>
        <w:t>In this specification, the interaction coefficients</w:t>
      </w:r>
      <w:r>
        <w:rPr>
          <w:rStyle w:val="apple-converted-space"/>
          <w:color w:val="000000"/>
        </w:rPr>
        <w:t> </w:t>
      </w:r>
      <m:oMath>
        <m:sSub>
          <m:sSubPr>
            <m:ctrlPr>
              <w:rPr>
                <w:rFonts w:ascii="Cambria Math" w:hAnsi="Cambria Math"/>
              </w:rPr>
            </m:ctrlPr>
          </m:sSubPr>
          <m:e>
            <m:r>
              <w:rPr>
                <w:rFonts w:ascii="Cambria Math" w:hAnsi="Cambria Math"/>
              </w:rPr>
              <m:t>β</m:t>
            </m:r>
          </m:e>
          <m:sub>
            <m:r>
              <w:rPr>
                <w:rFonts w:ascii="Cambria Math" w:hAnsi="Cambria Math"/>
              </w:rPr>
              <m:t>kp</m:t>
            </m:r>
          </m:sub>
        </m:sSub>
      </m:oMath>
      <w:r>
        <w:rPr>
          <w:rStyle w:val="apple-converted-space"/>
          <w:color w:val="000000"/>
        </w:rPr>
        <w:t> </w:t>
      </w:r>
      <w:r>
        <w:rPr>
          <w:color w:val="000000"/>
        </w:rPr>
        <w:t>capture the within-judge change in removal rates for judges in cohort</w:t>
      </w:r>
      <w:r>
        <w:rPr>
          <w:rStyle w:val="apple-converted-space"/>
          <w:color w:val="000000"/>
        </w:rPr>
        <w:t> </w:t>
      </w:r>
      <m:oMath>
        <m:r>
          <w:rPr>
            <w:rFonts w:ascii="Cambria Math" w:hAnsi="Cambria Math"/>
          </w:rPr>
          <m:t>k</m:t>
        </m:r>
      </m:oMath>
      <w:r>
        <w:rPr>
          <w:rStyle w:val="apple-converted-space"/>
          <w:color w:val="000000"/>
        </w:rPr>
        <w:t> </w:t>
      </w:r>
      <w:r>
        <w:rPr>
          <w:color w:val="000000"/>
        </w:rPr>
        <w:t>during presidential period</w:t>
      </w:r>
      <w:r>
        <w:rPr>
          <w:rStyle w:val="apple-converted-space"/>
          <w:color w:val="000000"/>
        </w:rPr>
        <w:t> </w:t>
      </w:r>
      <m:oMath>
        <m:r>
          <w:rPr>
            <w:rFonts w:ascii="Cambria Math" w:hAnsi="Cambria Math"/>
          </w:rPr>
          <m:t>p</m:t>
        </m:r>
      </m:oMath>
      <w:r>
        <w:rPr>
          <w:color w:val="000000"/>
        </w:rPr>
        <w:t>, relative to an omitted baseline. The baseline is defined as Trump I appointees during the Trump I administration, so all coefficients are interpreted relative to that reference category.</w:t>
      </w:r>
    </w:p>
    <w:p w14:paraId="1E7EA9DE" w14:textId="77777777" w:rsidR="00F21A28" w:rsidRDefault="00F21A28" w:rsidP="00F21A28">
      <w:pPr>
        <w:pStyle w:val="NormalWeb"/>
        <w:spacing w:before="0" w:beforeAutospacing="0" w:after="0" w:afterAutospacing="0" w:line="480" w:lineRule="auto"/>
        <w:ind w:firstLine="720"/>
        <w:rPr>
          <w:color w:val="000000"/>
        </w:rPr>
      </w:pPr>
      <w:r>
        <w:rPr>
          <w:color w:val="000000"/>
        </w:rPr>
        <w:t>This framework allows for a direct comparison of how different cohorts respond to changes in presidential administration. The triple-difference estimate of interest compares the change in removal rates for one cohort relative to another across periods. For example, the differential response of Trump-appointed judges during the Biden administration can be expressed as:</w:t>
      </w:r>
    </w:p>
    <w:p w14:paraId="7C476A88" w14:textId="7EFA53CD" w:rsidR="00F21A28" w:rsidRDefault="00F21A28" w:rsidP="00F21A28">
      <w:pPr>
        <w:spacing w:line="480" w:lineRule="auto"/>
      </w:pPr>
      <m:oMathPara>
        <m:oMath>
          <m:r>
            <m:rPr>
              <m:nor/>
            </m:rPr>
            <m:t>DDD</m:t>
          </m:r>
          <m:r>
            <w:rPr>
              <w:rFonts w:ascii="Cambria Math" w:hAnsi="Cambria Math"/>
            </w:rPr>
            <m:t>=</m:t>
          </m:r>
          <m:sSub>
            <m:sSubPr>
              <m:ctrlPr>
                <w:rPr>
                  <w:rFonts w:ascii="Cambria Math" w:hAnsi="Cambria Math"/>
                </w:rPr>
              </m:ctrlPr>
            </m:sSubPr>
            <m:e>
              <m:r>
                <w:rPr>
                  <w:rFonts w:ascii="Cambria Math" w:hAnsi="Cambria Math"/>
                </w:rPr>
                <m:t>β</m:t>
              </m:r>
            </m:e>
            <m:sub>
              <m:r>
                <m:rPr>
                  <m:nor/>
                </m:rPr>
                <m:t>Trump I</m:t>
              </m:r>
              <m:r>
                <w:rPr>
                  <w:rFonts w:ascii="Cambria Math" w:hAnsi="Cambria Math"/>
                </w:rPr>
                <m:t>,</m:t>
              </m:r>
              <m:r>
                <m:rPr>
                  <m:nor/>
                </m:rPr>
                <m:t>Biden</m:t>
              </m:r>
            </m:sub>
          </m:sSub>
          <m:r>
            <w:rPr>
              <w:rFonts w:ascii="Cambria Math" w:hAnsi="Cambria Math"/>
            </w:rPr>
            <m:t>-</m:t>
          </m:r>
          <m:sSub>
            <m:sSubPr>
              <m:ctrlPr>
                <w:rPr>
                  <w:rFonts w:ascii="Cambria Math" w:hAnsi="Cambria Math"/>
                </w:rPr>
              </m:ctrlPr>
            </m:sSubPr>
            <m:e>
              <m:r>
                <w:rPr>
                  <w:rFonts w:ascii="Cambria Math" w:hAnsi="Cambria Math"/>
                </w:rPr>
                <m:t>β</m:t>
              </m:r>
            </m:e>
            <m:sub>
              <m:r>
                <m:rPr>
                  <m:nor/>
                </m:rPr>
                <m:t>Obama</m:t>
              </m:r>
              <m:r>
                <w:rPr>
                  <w:rFonts w:ascii="Cambria Math" w:hAnsi="Cambria Math"/>
                </w:rPr>
                <m:t>,</m:t>
              </m:r>
              <m:r>
                <m:rPr>
                  <m:nor/>
                </m:rPr>
                <m:t>Biden</m:t>
              </m:r>
            </m:sub>
          </m:sSub>
        </m:oMath>
      </m:oMathPara>
    </w:p>
    <w:p w14:paraId="5ACEEF25" w14:textId="77777777" w:rsidR="00F21A28" w:rsidRDefault="00F21A28" w:rsidP="00F21A28">
      <w:pPr>
        <w:pStyle w:val="NormalWeb"/>
        <w:spacing w:before="0" w:beforeAutospacing="0" w:after="0" w:afterAutospacing="0" w:line="480" w:lineRule="auto"/>
        <w:rPr>
          <w:color w:val="000000"/>
        </w:rPr>
      </w:pPr>
      <w:r>
        <w:rPr>
          <w:color w:val="000000"/>
        </w:rPr>
        <w:t>which measures whether Trump-appointed judges changed their behavior differently than Obama-appointed judges during the Biden administration, net of overall time effects and judge fixed effects.</w:t>
      </w:r>
    </w:p>
    <w:p w14:paraId="22296136" w14:textId="65E16C2D" w:rsidR="00F21A28" w:rsidRPr="005D409C" w:rsidRDefault="00F21A28" w:rsidP="005D409C">
      <w:pPr>
        <w:pStyle w:val="NormalWeb"/>
        <w:spacing w:before="0" w:beforeAutospacing="0" w:after="0" w:afterAutospacing="0" w:line="480" w:lineRule="auto"/>
        <w:ind w:firstLine="720"/>
        <w:rPr>
          <w:color w:val="000000"/>
        </w:rPr>
      </w:pPr>
      <w:r>
        <w:rPr>
          <w:color w:val="000000"/>
        </w:rPr>
        <w:t xml:space="preserve">Substantively, the triple-difference specification provides a flexible test of whether cohort differences in adjudication are stable across administrations or instead vary with the broader policy environment. Because the model includes both judge fixed effects and court-by-month </w:t>
      </w:r>
      <w:r>
        <w:rPr>
          <w:color w:val="000000"/>
        </w:rPr>
        <w:lastRenderedPageBreak/>
        <w:t>fixed effects, identification is based entirely on within-judge variation over time within the same court context. This eliminates confounding from persistent differences across judges or courts and isolates whether judges from different appointment cohorts respond differently to changes in presidential administration.</w:t>
      </w:r>
    </w:p>
    <w:p w14:paraId="434379ED" w14:textId="7B15228D" w:rsidR="00D76C6E" w:rsidRDefault="00D76C6E" w:rsidP="00D76C6E">
      <w:pPr>
        <w:spacing w:line="480" w:lineRule="auto"/>
        <w:ind w:firstLine="720"/>
        <w:rPr>
          <w:b/>
          <w:bCs/>
        </w:rPr>
      </w:pPr>
      <w:r w:rsidRPr="005D409C">
        <w:rPr>
          <w:b/>
          <w:bCs/>
        </w:rPr>
        <w:t xml:space="preserve">Table 3: Triple-Difference Estimates — Cohort-by-Period Interaction Effects </w:t>
      </w:r>
    </w:p>
    <w:p w14:paraId="32AD8DB8" w14:textId="77777777" w:rsidR="00AD1CB7" w:rsidRPr="005E372C" w:rsidRDefault="00AD1CB7" w:rsidP="00AD1CB7">
      <w:pPr>
        <w:autoSpaceDE w:val="0"/>
        <w:autoSpaceDN w:val="0"/>
        <w:adjustRightInd w:val="0"/>
        <w:rPr>
          <w:rFonts w:eastAsiaTheme="minorHAnsi"/>
          <w:sz w:val="20"/>
          <w:szCs w:val="20"/>
          <w14:ligatures w14:val="standardContextual"/>
        </w:rPr>
      </w:pPr>
    </w:p>
    <w:p w14:paraId="47229619" w14:textId="7F047249" w:rsidR="00AD1CB7" w:rsidRPr="005E372C" w:rsidRDefault="0052757B" w:rsidP="00AD1CB7">
      <w:pPr>
        <w:autoSpaceDE w:val="0"/>
        <w:autoSpaceDN w:val="0"/>
        <w:adjustRightInd w:val="0"/>
        <w:jc w:val="center"/>
        <w:rPr>
          <w:rFonts w:eastAsiaTheme="minorHAnsi"/>
          <w:sz w:val="20"/>
          <w:szCs w:val="20"/>
          <w14:ligatures w14:val="standardContextual"/>
        </w:rPr>
      </w:pPr>
      <w:r w:rsidRPr="005E372C">
        <w:rPr>
          <w:rFonts w:eastAsiaTheme="minorHAnsi"/>
          <w:sz w:val="20"/>
          <w:szCs w:val="20"/>
          <w14:ligatures w14:val="standardContextual"/>
        </w:rPr>
        <w:t>Remove</w:t>
      </w:r>
    </w:p>
    <w:p w14:paraId="14E51726" w14:textId="4FD71ECC" w:rsidR="00AD1CB7" w:rsidRPr="005E372C" w:rsidRDefault="00AD1CB7" w:rsidP="00AD1CB7">
      <w:pPr>
        <w:autoSpaceDE w:val="0"/>
        <w:autoSpaceDN w:val="0"/>
        <w:adjustRightInd w:val="0"/>
        <w:rPr>
          <w:rFonts w:eastAsiaTheme="minorHAnsi"/>
          <w:sz w:val="20"/>
          <w:szCs w:val="20"/>
          <w14:ligatures w14:val="standardContextual"/>
        </w:rPr>
      </w:pPr>
      <w:r w:rsidRPr="005E372C">
        <w:rPr>
          <w:rFonts w:eastAsiaTheme="minorHAnsi"/>
          <w:sz w:val="20"/>
          <w:szCs w:val="20"/>
          <w14:ligatures w14:val="standardContextual"/>
        </w:rPr>
        <w:t>Bush I # Biden</w:t>
      </w:r>
      <w:r w:rsidR="005E372C">
        <w:rPr>
          <w:rFonts w:eastAsiaTheme="minorHAnsi"/>
          <w:sz w:val="20"/>
          <w:szCs w:val="20"/>
          <w14:ligatures w14:val="standardContextual"/>
        </w:rPr>
        <w:t xml:space="preserve"> Era</w:t>
      </w:r>
    </w:p>
    <w:p w14:paraId="33B5CD05" w14:textId="77777777" w:rsidR="00AD1CB7" w:rsidRPr="005E372C" w:rsidRDefault="00AD1CB7" w:rsidP="00AD1CB7">
      <w:pPr>
        <w:autoSpaceDE w:val="0"/>
        <w:autoSpaceDN w:val="0"/>
        <w:adjustRightInd w:val="0"/>
        <w:jc w:val="center"/>
        <w:rPr>
          <w:rFonts w:eastAsiaTheme="minorHAnsi"/>
          <w:sz w:val="20"/>
          <w:szCs w:val="20"/>
          <w14:ligatures w14:val="standardContextual"/>
        </w:rPr>
      </w:pPr>
      <w:r w:rsidRPr="005E372C">
        <w:rPr>
          <w:rFonts w:eastAsiaTheme="minorHAnsi"/>
          <w:sz w:val="20"/>
          <w:szCs w:val="20"/>
          <w14:ligatures w14:val="standardContextual"/>
        </w:rPr>
        <w:t>-0.049</w:t>
      </w:r>
      <w:r w:rsidRPr="005E372C">
        <w:rPr>
          <w:rFonts w:eastAsiaTheme="minorHAnsi"/>
          <w:sz w:val="20"/>
          <w:szCs w:val="20"/>
          <w:vertAlign w:val="superscript"/>
          <w14:ligatures w14:val="standardContextual"/>
        </w:rPr>
        <w:t>*</w:t>
      </w:r>
    </w:p>
    <w:p w14:paraId="608705D7" w14:textId="77777777" w:rsidR="00AD1CB7" w:rsidRPr="005E372C" w:rsidRDefault="00AD1CB7" w:rsidP="00AD1CB7">
      <w:pPr>
        <w:autoSpaceDE w:val="0"/>
        <w:autoSpaceDN w:val="0"/>
        <w:adjustRightInd w:val="0"/>
        <w:rPr>
          <w:rFonts w:eastAsiaTheme="minorHAnsi"/>
          <w:sz w:val="20"/>
          <w:szCs w:val="20"/>
          <w14:ligatures w14:val="standardContextual"/>
        </w:rPr>
      </w:pPr>
    </w:p>
    <w:p w14:paraId="36F7FED2" w14:textId="77777777" w:rsidR="00AD1CB7" w:rsidRPr="005E372C" w:rsidRDefault="00AD1CB7" w:rsidP="00AD1CB7">
      <w:pPr>
        <w:autoSpaceDE w:val="0"/>
        <w:autoSpaceDN w:val="0"/>
        <w:adjustRightInd w:val="0"/>
        <w:jc w:val="center"/>
        <w:rPr>
          <w:rFonts w:eastAsiaTheme="minorHAnsi"/>
          <w:sz w:val="20"/>
          <w:szCs w:val="20"/>
          <w14:ligatures w14:val="standardContextual"/>
        </w:rPr>
      </w:pPr>
      <w:r w:rsidRPr="005E372C">
        <w:rPr>
          <w:rFonts w:eastAsiaTheme="minorHAnsi"/>
          <w:sz w:val="20"/>
          <w:szCs w:val="20"/>
          <w14:ligatures w14:val="standardContextual"/>
        </w:rPr>
        <w:t>(0.027)</w:t>
      </w:r>
    </w:p>
    <w:p w14:paraId="62F77F7A" w14:textId="77777777" w:rsidR="00AD1CB7" w:rsidRPr="005E372C" w:rsidRDefault="00AD1CB7" w:rsidP="00AD1CB7">
      <w:pPr>
        <w:autoSpaceDE w:val="0"/>
        <w:autoSpaceDN w:val="0"/>
        <w:adjustRightInd w:val="0"/>
        <w:rPr>
          <w:rFonts w:eastAsiaTheme="minorHAnsi"/>
          <w:sz w:val="20"/>
          <w:szCs w:val="20"/>
          <w14:ligatures w14:val="standardContextual"/>
        </w:rPr>
      </w:pPr>
    </w:p>
    <w:p w14:paraId="4BE24635" w14:textId="77777777" w:rsidR="00AD1CB7" w:rsidRPr="005E372C" w:rsidRDefault="00AD1CB7" w:rsidP="00AD1CB7">
      <w:pPr>
        <w:autoSpaceDE w:val="0"/>
        <w:autoSpaceDN w:val="0"/>
        <w:adjustRightInd w:val="0"/>
        <w:rPr>
          <w:rFonts w:eastAsiaTheme="minorHAnsi"/>
          <w:sz w:val="20"/>
          <w:szCs w:val="20"/>
          <w14:ligatures w14:val="standardContextual"/>
        </w:rPr>
      </w:pPr>
    </w:p>
    <w:p w14:paraId="42AC45C2" w14:textId="6BE591CE" w:rsidR="00AD1CB7" w:rsidRPr="005E372C" w:rsidRDefault="00AD1CB7" w:rsidP="00AD1CB7">
      <w:pPr>
        <w:autoSpaceDE w:val="0"/>
        <w:autoSpaceDN w:val="0"/>
        <w:adjustRightInd w:val="0"/>
        <w:rPr>
          <w:rFonts w:eastAsiaTheme="minorHAnsi"/>
          <w:sz w:val="20"/>
          <w:szCs w:val="20"/>
          <w14:ligatures w14:val="standardContextual"/>
        </w:rPr>
      </w:pPr>
      <w:r w:rsidRPr="005E372C">
        <w:rPr>
          <w:rFonts w:eastAsiaTheme="minorHAnsi"/>
          <w:sz w:val="20"/>
          <w:szCs w:val="20"/>
          <w14:ligatures w14:val="standardContextual"/>
        </w:rPr>
        <w:t>Bush I # Trump II</w:t>
      </w:r>
      <w:r w:rsidR="005E372C">
        <w:rPr>
          <w:rFonts w:eastAsiaTheme="minorHAnsi"/>
          <w:sz w:val="20"/>
          <w:szCs w:val="20"/>
          <w14:ligatures w14:val="standardContextual"/>
        </w:rPr>
        <w:t xml:space="preserve"> Era</w:t>
      </w:r>
    </w:p>
    <w:p w14:paraId="65FCE988" w14:textId="77777777" w:rsidR="00AD1CB7" w:rsidRPr="005E372C" w:rsidRDefault="00AD1CB7" w:rsidP="00AD1CB7">
      <w:pPr>
        <w:autoSpaceDE w:val="0"/>
        <w:autoSpaceDN w:val="0"/>
        <w:adjustRightInd w:val="0"/>
        <w:jc w:val="center"/>
        <w:rPr>
          <w:rFonts w:eastAsiaTheme="minorHAnsi"/>
          <w:sz w:val="20"/>
          <w:szCs w:val="20"/>
          <w14:ligatures w14:val="standardContextual"/>
        </w:rPr>
      </w:pPr>
      <w:r w:rsidRPr="005E372C">
        <w:rPr>
          <w:rFonts w:eastAsiaTheme="minorHAnsi"/>
          <w:sz w:val="20"/>
          <w:szCs w:val="20"/>
          <w14:ligatures w14:val="standardContextual"/>
        </w:rPr>
        <w:t>0.019</w:t>
      </w:r>
    </w:p>
    <w:p w14:paraId="3298003E" w14:textId="77777777" w:rsidR="00AD1CB7" w:rsidRPr="005E372C" w:rsidRDefault="00AD1CB7" w:rsidP="00AD1CB7">
      <w:pPr>
        <w:autoSpaceDE w:val="0"/>
        <w:autoSpaceDN w:val="0"/>
        <w:adjustRightInd w:val="0"/>
        <w:rPr>
          <w:rFonts w:eastAsiaTheme="minorHAnsi"/>
          <w:sz w:val="20"/>
          <w:szCs w:val="20"/>
          <w14:ligatures w14:val="standardContextual"/>
        </w:rPr>
      </w:pPr>
    </w:p>
    <w:p w14:paraId="0C4E0B57" w14:textId="77777777" w:rsidR="00AD1CB7" w:rsidRPr="005E372C" w:rsidRDefault="00AD1CB7" w:rsidP="00AD1CB7">
      <w:pPr>
        <w:autoSpaceDE w:val="0"/>
        <w:autoSpaceDN w:val="0"/>
        <w:adjustRightInd w:val="0"/>
        <w:jc w:val="center"/>
        <w:rPr>
          <w:rFonts w:eastAsiaTheme="minorHAnsi"/>
          <w:sz w:val="20"/>
          <w:szCs w:val="20"/>
          <w14:ligatures w14:val="standardContextual"/>
        </w:rPr>
      </w:pPr>
      <w:r w:rsidRPr="005E372C">
        <w:rPr>
          <w:rFonts w:eastAsiaTheme="minorHAnsi"/>
          <w:sz w:val="20"/>
          <w:szCs w:val="20"/>
          <w14:ligatures w14:val="standardContextual"/>
        </w:rPr>
        <w:t>(0.034)</w:t>
      </w:r>
    </w:p>
    <w:p w14:paraId="2915C0A7" w14:textId="77777777" w:rsidR="00AD1CB7" w:rsidRPr="005E372C" w:rsidRDefault="00AD1CB7" w:rsidP="00AD1CB7">
      <w:pPr>
        <w:autoSpaceDE w:val="0"/>
        <w:autoSpaceDN w:val="0"/>
        <w:adjustRightInd w:val="0"/>
        <w:rPr>
          <w:rFonts w:eastAsiaTheme="minorHAnsi"/>
          <w:sz w:val="20"/>
          <w:szCs w:val="20"/>
          <w14:ligatures w14:val="standardContextual"/>
        </w:rPr>
      </w:pPr>
    </w:p>
    <w:p w14:paraId="428C9B69" w14:textId="77777777" w:rsidR="00AD1CB7" w:rsidRPr="005E372C" w:rsidRDefault="00AD1CB7" w:rsidP="00AD1CB7">
      <w:pPr>
        <w:autoSpaceDE w:val="0"/>
        <w:autoSpaceDN w:val="0"/>
        <w:adjustRightInd w:val="0"/>
        <w:rPr>
          <w:rFonts w:eastAsiaTheme="minorHAnsi"/>
          <w:sz w:val="20"/>
          <w:szCs w:val="20"/>
          <w14:ligatures w14:val="standardContextual"/>
        </w:rPr>
      </w:pPr>
    </w:p>
    <w:p w14:paraId="2732F5B2" w14:textId="66892989" w:rsidR="00AD1CB7" w:rsidRPr="005E372C" w:rsidRDefault="00AD1CB7" w:rsidP="00AD1CB7">
      <w:pPr>
        <w:autoSpaceDE w:val="0"/>
        <w:autoSpaceDN w:val="0"/>
        <w:adjustRightInd w:val="0"/>
        <w:rPr>
          <w:rFonts w:eastAsiaTheme="minorHAnsi"/>
          <w:sz w:val="20"/>
          <w:szCs w:val="20"/>
          <w14:ligatures w14:val="standardContextual"/>
        </w:rPr>
      </w:pPr>
      <w:r w:rsidRPr="005E372C">
        <w:rPr>
          <w:rFonts w:eastAsiaTheme="minorHAnsi"/>
          <w:sz w:val="20"/>
          <w:szCs w:val="20"/>
          <w14:ligatures w14:val="standardContextual"/>
        </w:rPr>
        <w:t>Clinton # Biden</w:t>
      </w:r>
      <w:r w:rsidR="005E372C">
        <w:rPr>
          <w:rFonts w:eastAsiaTheme="minorHAnsi"/>
          <w:sz w:val="20"/>
          <w:szCs w:val="20"/>
          <w14:ligatures w14:val="standardContextual"/>
        </w:rPr>
        <w:t xml:space="preserve"> Era</w:t>
      </w:r>
    </w:p>
    <w:p w14:paraId="69086C60" w14:textId="77777777" w:rsidR="00AD1CB7" w:rsidRPr="005E372C" w:rsidRDefault="00AD1CB7" w:rsidP="00AD1CB7">
      <w:pPr>
        <w:autoSpaceDE w:val="0"/>
        <w:autoSpaceDN w:val="0"/>
        <w:adjustRightInd w:val="0"/>
        <w:jc w:val="center"/>
        <w:rPr>
          <w:rFonts w:eastAsiaTheme="minorHAnsi"/>
          <w:sz w:val="20"/>
          <w:szCs w:val="20"/>
          <w14:ligatures w14:val="standardContextual"/>
        </w:rPr>
      </w:pPr>
      <w:r w:rsidRPr="005E372C">
        <w:rPr>
          <w:rFonts w:eastAsiaTheme="minorHAnsi"/>
          <w:sz w:val="20"/>
          <w:szCs w:val="20"/>
          <w14:ligatures w14:val="standardContextual"/>
        </w:rPr>
        <w:t>-0.042</w:t>
      </w:r>
    </w:p>
    <w:p w14:paraId="0332A05B" w14:textId="77777777" w:rsidR="00AD1CB7" w:rsidRPr="005E372C" w:rsidRDefault="00AD1CB7" w:rsidP="00AD1CB7">
      <w:pPr>
        <w:autoSpaceDE w:val="0"/>
        <w:autoSpaceDN w:val="0"/>
        <w:adjustRightInd w:val="0"/>
        <w:rPr>
          <w:rFonts w:eastAsiaTheme="minorHAnsi"/>
          <w:sz w:val="20"/>
          <w:szCs w:val="20"/>
          <w14:ligatures w14:val="standardContextual"/>
        </w:rPr>
      </w:pPr>
    </w:p>
    <w:p w14:paraId="483E71BD" w14:textId="77777777" w:rsidR="00AD1CB7" w:rsidRPr="005E372C" w:rsidRDefault="00AD1CB7" w:rsidP="00AD1CB7">
      <w:pPr>
        <w:autoSpaceDE w:val="0"/>
        <w:autoSpaceDN w:val="0"/>
        <w:adjustRightInd w:val="0"/>
        <w:jc w:val="center"/>
        <w:rPr>
          <w:rFonts w:eastAsiaTheme="minorHAnsi"/>
          <w:sz w:val="20"/>
          <w:szCs w:val="20"/>
          <w14:ligatures w14:val="standardContextual"/>
        </w:rPr>
      </w:pPr>
      <w:r w:rsidRPr="005E372C">
        <w:rPr>
          <w:rFonts w:eastAsiaTheme="minorHAnsi"/>
          <w:sz w:val="20"/>
          <w:szCs w:val="20"/>
          <w14:ligatures w14:val="standardContextual"/>
        </w:rPr>
        <w:t>(0.035)</w:t>
      </w:r>
    </w:p>
    <w:p w14:paraId="1E9E3FB9" w14:textId="77777777" w:rsidR="00AD1CB7" w:rsidRPr="005E372C" w:rsidRDefault="00AD1CB7" w:rsidP="00AD1CB7">
      <w:pPr>
        <w:autoSpaceDE w:val="0"/>
        <w:autoSpaceDN w:val="0"/>
        <w:adjustRightInd w:val="0"/>
        <w:rPr>
          <w:rFonts w:eastAsiaTheme="minorHAnsi"/>
          <w:sz w:val="20"/>
          <w:szCs w:val="20"/>
          <w14:ligatures w14:val="standardContextual"/>
        </w:rPr>
      </w:pPr>
    </w:p>
    <w:p w14:paraId="37FF6171" w14:textId="77777777" w:rsidR="00AD1CB7" w:rsidRPr="005E372C" w:rsidRDefault="00AD1CB7" w:rsidP="00AD1CB7">
      <w:pPr>
        <w:autoSpaceDE w:val="0"/>
        <w:autoSpaceDN w:val="0"/>
        <w:adjustRightInd w:val="0"/>
        <w:rPr>
          <w:rFonts w:eastAsiaTheme="minorHAnsi"/>
          <w:sz w:val="20"/>
          <w:szCs w:val="20"/>
          <w14:ligatures w14:val="standardContextual"/>
        </w:rPr>
      </w:pPr>
    </w:p>
    <w:p w14:paraId="5B49FF98" w14:textId="7D4F22FB" w:rsidR="00AD1CB7" w:rsidRPr="005E372C" w:rsidRDefault="00AD1CB7" w:rsidP="00AD1CB7">
      <w:pPr>
        <w:autoSpaceDE w:val="0"/>
        <w:autoSpaceDN w:val="0"/>
        <w:adjustRightInd w:val="0"/>
        <w:rPr>
          <w:rFonts w:eastAsiaTheme="minorHAnsi"/>
          <w:sz w:val="20"/>
          <w:szCs w:val="20"/>
          <w14:ligatures w14:val="standardContextual"/>
        </w:rPr>
      </w:pPr>
      <w:r w:rsidRPr="005E372C">
        <w:rPr>
          <w:rFonts w:eastAsiaTheme="minorHAnsi"/>
          <w:sz w:val="20"/>
          <w:szCs w:val="20"/>
          <w14:ligatures w14:val="standardContextual"/>
        </w:rPr>
        <w:t>Clinton # Trump II</w:t>
      </w:r>
      <w:r w:rsidR="005E372C">
        <w:rPr>
          <w:rFonts w:eastAsiaTheme="minorHAnsi"/>
          <w:sz w:val="20"/>
          <w:szCs w:val="20"/>
          <w14:ligatures w14:val="standardContextual"/>
        </w:rPr>
        <w:t xml:space="preserve"> Era</w:t>
      </w:r>
    </w:p>
    <w:p w14:paraId="40DF585D" w14:textId="77777777" w:rsidR="00AD1CB7" w:rsidRPr="005E372C" w:rsidRDefault="00AD1CB7" w:rsidP="00AD1CB7">
      <w:pPr>
        <w:autoSpaceDE w:val="0"/>
        <w:autoSpaceDN w:val="0"/>
        <w:adjustRightInd w:val="0"/>
        <w:jc w:val="center"/>
        <w:rPr>
          <w:rFonts w:eastAsiaTheme="minorHAnsi"/>
          <w:sz w:val="20"/>
          <w:szCs w:val="20"/>
          <w14:ligatures w14:val="standardContextual"/>
        </w:rPr>
      </w:pPr>
      <w:r w:rsidRPr="005E372C">
        <w:rPr>
          <w:rFonts w:eastAsiaTheme="minorHAnsi"/>
          <w:sz w:val="20"/>
          <w:szCs w:val="20"/>
          <w14:ligatures w14:val="standardContextual"/>
        </w:rPr>
        <w:t>-0.071</w:t>
      </w:r>
      <w:r w:rsidRPr="005E372C">
        <w:rPr>
          <w:rFonts w:eastAsiaTheme="minorHAnsi"/>
          <w:sz w:val="20"/>
          <w:szCs w:val="20"/>
          <w:vertAlign w:val="superscript"/>
          <w14:ligatures w14:val="standardContextual"/>
        </w:rPr>
        <w:t>**</w:t>
      </w:r>
    </w:p>
    <w:p w14:paraId="534DC213" w14:textId="77777777" w:rsidR="00AD1CB7" w:rsidRPr="005E372C" w:rsidRDefault="00AD1CB7" w:rsidP="00AD1CB7">
      <w:pPr>
        <w:autoSpaceDE w:val="0"/>
        <w:autoSpaceDN w:val="0"/>
        <w:adjustRightInd w:val="0"/>
        <w:rPr>
          <w:rFonts w:eastAsiaTheme="minorHAnsi"/>
          <w:sz w:val="20"/>
          <w:szCs w:val="20"/>
          <w14:ligatures w14:val="standardContextual"/>
        </w:rPr>
      </w:pPr>
    </w:p>
    <w:p w14:paraId="691B2805" w14:textId="77777777" w:rsidR="00AD1CB7" w:rsidRPr="005E372C" w:rsidRDefault="00AD1CB7" w:rsidP="00AD1CB7">
      <w:pPr>
        <w:autoSpaceDE w:val="0"/>
        <w:autoSpaceDN w:val="0"/>
        <w:adjustRightInd w:val="0"/>
        <w:jc w:val="center"/>
        <w:rPr>
          <w:rFonts w:eastAsiaTheme="minorHAnsi"/>
          <w:sz w:val="20"/>
          <w:szCs w:val="20"/>
          <w14:ligatures w14:val="standardContextual"/>
        </w:rPr>
      </w:pPr>
      <w:r w:rsidRPr="005E372C">
        <w:rPr>
          <w:rFonts w:eastAsiaTheme="minorHAnsi"/>
          <w:sz w:val="20"/>
          <w:szCs w:val="20"/>
          <w14:ligatures w14:val="standardContextual"/>
        </w:rPr>
        <w:t>(0.033)</w:t>
      </w:r>
    </w:p>
    <w:p w14:paraId="51DB2ED8" w14:textId="77777777" w:rsidR="00AD1CB7" w:rsidRPr="005E372C" w:rsidRDefault="00AD1CB7" w:rsidP="00AD1CB7">
      <w:pPr>
        <w:autoSpaceDE w:val="0"/>
        <w:autoSpaceDN w:val="0"/>
        <w:adjustRightInd w:val="0"/>
        <w:rPr>
          <w:rFonts w:eastAsiaTheme="minorHAnsi"/>
          <w:sz w:val="20"/>
          <w:szCs w:val="20"/>
          <w14:ligatures w14:val="standardContextual"/>
        </w:rPr>
      </w:pPr>
    </w:p>
    <w:p w14:paraId="60A0E4F1" w14:textId="77777777" w:rsidR="00AD1CB7" w:rsidRPr="005E372C" w:rsidRDefault="00AD1CB7" w:rsidP="00AD1CB7">
      <w:pPr>
        <w:autoSpaceDE w:val="0"/>
        <w:autoSpaceDN w:val="0"/>
        <w:adjustRightInd w:val="0"/>
        <w:rPr>
          <w:rFonts w:eastAsiaTheme="minorHAnsi"/>
          <w:sz w:val="20"/>
          <w:szCs w:val="20"/>
          <w14:ligatures w14:val="standardContextual"/>
        </w:rPr>
      </w:pPr>
    </w:p>
    <w:p w14:paraId="177BCE8A" w14:textId="1387C273" w:rsidR="00AD1CB7" w:rsidRPr="005E372C" w:rsidRDefault="00AD1CB7" w:rsidP="00AD1CB7">
      <w:pPr>
        <w:autoSpaceDE w:val="0"/>
        <w:autoSpaceDN w:val="0"/>
        <w:adjustRightInd w:val="0"/>
        <w:rPr>
          <w:rFonts w:eastAsiaTheme="minorHAnsi"/>
          <w:sz w:val="20"/>
          <w:szCs w:val="20"/>
          <w14:ligatures w14:val="standardContextual"/>
        </w:rPr>
      </w:pPr>
      <w:r w:rsidRPr="005E372C">
        <w:rPr>
          <w:rFonts w:eastAsiaTheme="minorHAnsi"/>
          <w:sz w:val="20"/>
          <w:szCs w:val="20"/>
          <w14:ligatures w14:val="standardContextual"/>
        </w:rPr>
        <w:t>Bush II # Biden</w:t>
      </w:r>
      <w:r w:rsidR="005E372C">
        <w:rPr>
          <w:rFonts w:eastAsiaTheme="minorHAnsi"/>
          <w:sz w:val="20"/>
          <w:szCs w:val="20"/>
          <w14:ligatures w14:val="standardContextual"/>
        </w:rPr>
        <w:t xml:space="preserve"> Era</w:t>
      </w:r>
    </w:p>
    <w:p w14:paraId="03AF4793" w14:textId="77777777" w:rsidR="00AD1CB7" w:rsidRPr="005E372C" w:rsidRDefault="00AD1CB7" w:rsidP="00AD1CB7">
      <w:pPr>
        <w:autoSpaceDE w:val="0"/>
        <w:autoSpaceDN w:val="0"/>
        <w:adjustRightInd w:val="0"/>
        <w:jc w:val="center"/>
        <w:rPr>
          <w:rFonts w:eastAsiaTheme="minorHAnsi"/>
          <w:sz w:val="20"/>
          <w:szCs w:val="20"/>
          <w14:ligatures w14:val="standardContextual"/>
        </w:rPr>
      </w:pPr>
      <w:r w:rsidRPr="005E372C">
        <w:rPr>
          <w:rFonts w:eastAsiaTheme="minorHAnsi"/>
          <w:sz w:val="20"/>
          <w:szCs w:val="20"/>
          <w14:ligatures w14:val="standardContextual"/>
        </w:rPr>
        <w:t>-0.056</w:t>
      </w:r>
      <w:r w:rsidRPr="005E372C">
        <w:rPr>
          <w:rFonts w:eastAsiaTheme="minorHAnsi"/>
          <w:sz w:val="20"/>
          <w:szCs w:val="20"/>
          <w:vertAlign w:val="superscript"/>
          <w14:ligatures w14:val="standardContextual"/>
        </w:rPr>
        <w:t>*</w:t>
      </w:r>
    </w:p>
    <w:p w14:paraId="765971CB" w14:textId="77777777" w:rsidR="00AD1CB7" w:rsidRPr="005E372C" w:rsidRDefault="00AD1CB7" w:rsidP="00AD1CB7">
      <w:pPr>
        <w:autoSpaceDE w:val="0"/>
        <w:autoSpaceDN w:val="0"/>
        <w:adjustRightInd w:val="0"/>
        <w:rPr>
          <w:rFonts w:eastAsiaTheme="minorHAnsi"/>
          <w:sz w:val="20"/>
          <w:szCs w:val="20"/>
          <w14:ligatures w14:val="standardContextual"/>
        </w:rPr>
      </w:pPr>
    </w:p>
    <w:p w14:paraId="606F7D11" w14:textId="77777777" w:rsidR="00AD1CB7" w:rsidRPr="005E372C" w:rsidRDefault="00AD1CB7" w:rsidP="00AD1CB7">
      <w:pPr>
        <w:autoSpaceDE w:val="0"/>
        <w:autoSpaceDN w:val="0"/>
        <w:adjustRightInd w:val="0"/>
        <w:jc w:val="center"/>
        <w:rPr>
          <w:rFonts w:eastAsiaTheme="minorHAnsi"/>
          <w:sz w:val="20"/>
          <w:szCs w:val="20"/>
          <w14:ligatures w14:val="standardContextual"/>
        </w:rPr>
      </w:pPr>
      <w:r w:rsidRPr="005E372C">
        <w:rPr>
          <w:rFonts w:eastAsiaTheme="minorHAnsi"/>
          <w:sz w:val="20"/>
          <w:szCs w:val="20"/>
          <w14:ligatures w14:val="standardContextual"/>
        </w:rPr>
        <w:t>(0.033)</w:t>
      </w:r>
    </w:p>
    <w:p w14:paraId="301DECD6" w14:textId="77777777" w:rsidR="00AD1CB7" w:rsidRPr="005E372C" w:rsidRDefault="00AD1CB7" w:rsidP="00AD1CB7">
      <w:pPr>
        <w:autoSpaceDE w:val="0"/>
        <w:autoSpaceDN w:val="0"/>
        <w:adjustRightInd w:val="0"/>
        <w:rPr>
          <w:rFonts w:eastAsiaTheme="minorHAnsi"/>
          <w:sz w:val="20"/>
          <w:szCs w:val="20"/>
          <w14:ligatures w14:val="standardContextual"/>
        </w:rPr>
      </w:pPr>
    </w:p>
    <w:p w14:paraId="0713AAA8" w14:textId="77777777" w:rsidR="00AD1CB7" w:rsidRPr="005E372C" w:rsidRDefault="00AD1CB7" w:rsidP="00AD1CB7">
      <w:pPr>
        <w:autoSpaceDE w:val="0"/>
        <w:autoSpaceDN w:val="0"/>
        <w:adjustRightInd w:val="0"/>
        <w:rPr>
          <w:rFonts w:eastAsiaTheme="minorHAnsi"/>
          <w:sz w:val="20"/>
          <w:szCs w:val="20"/>
          <w14:ligatures w14:val="standardContextual"/>
        </w:rPr>
      </w:pPr>
    </w:p>
    <w:p w14:paraId="1886AB80" w14:textId="2543FF3C" w:rsidR="00AD1CB7" w:rsidRPr="005E372C" w:rsidRDefault="00AD1CB7" w:rsidP="00AD1CB7">
      <w:pPr>
        <w:autoSpaceDE w:val="0"/>
        <w:autoSpaceDN w:val="0"/>
        <w:adjustRightInd w:val="0"/>
        <w:rPr>
          <w:rFonts w:eastAsiaTheme="minorHAnsi"/>
          <w:sz w:val="20"/>
          <w:szCs w:val="20"/>
          <w14:ligatures w14:val="standardContextual"/>
        </w:rPr>
      </w:pPr>
      <w:r w:rsidRPr="005E372C">
        <w:rPr>
          <w:rFonts w:eastAsiaTheme="minorHAnsi"/>
          <w:sz w:val="20"/>
          <w:szCs w:val="20"/>
          <w14:ligatures w14:val="standardContextual"/>
        </w:rPr>
        <w:t>Bush II # Trump II</w:t>
      </w:r>
      <w:r w:rsidR="005E372C">
        <w:rPr>
          <w:rFonts w:eastAsiaTheme="minorHAnsi"/>
          <w:sz w:val="20"/>
          <w:szCs w:val="20"/>
          <w14:ligatures w14:val="standardContextual"/>
        </w:rPr>
        <w:t xml:space="preserve"> Era</w:t>
      </w:r>
    </w:p>
    <w:p w14:paraId="016E1762" w14:textId="77777777" w:rsidR="00AD1CB7" w:rsidRPr="005E372C" w:rsidRDefault="00AD1CB7" w:rsidP="00AD1CB7">
      <w:pPr>
        <w:autoSpaceDE w:val="0"/>
        <w:autoSpaceDN w:val="0"/>
        <w:adjustRightInd w:val="0"/>
        <w:jc w:val="center"/>
        <w:rPr>
          <w:rFonts w:eastAsiaTheme="minorHAnsi"/>
          <w:sz w:val="20"/>
          <w:szCs w:val="20"/>
          <w14:ligatures w14:val="standardContextual"/>
        </w:rPr>
      </w:pPr>
      <w:r w:rsidRPr="005E372C">
        <w:rPr>
          <w:rFonts w:eastAsiaTheme="minorHAnsi"/>
          <w:sz w:val="20"/>
          <w:szCs w:val="20"/>
          <w14:ligatures w14:val="standardContextual"/>
        </w:rPr>
        <w:t>-0.104</w:t>
      </w:r>
      <w:r w:rsidRPr="005E372C">
        <w:rPr>
          <w:rFonts w:eastAsiaTheme="minorHAnsi"/>
          <w:sz w:val="20"/>
          <w:szCs w:val="20"/>
          <w:vertAlign w:val="superscript"/>
          <w14:ligatures w14:val="standardContextual"/>
        </w:rPr>
        <w:t>***</w:t>
      </w:r>
    </w:p>
    <w:p w14:paraId="7783C1D2" w14:textId="77777777" w:rsidR="00AD1CB7" w:rsidRPr="005E372C" w:rsidRDefault="00AD1CB7" w:rsidP="00AD1CB7">
      <w:pPr>
        <w:autoSpaceDE w:val="0"/>
        <w:autoSpaceDN w:val="0"/>
        <w:adjustRightInd w:val="0"/>
        <w:rPr>
          <w:rFonts w:eastAsiaTheme="minorHAnsi"/>
          <w:sz w:val="20"/>
          <w:szCs w:val="20"/>
          <w14:ligatures w14:val="standardContextual"/>
        </w:rPr>
      </w:pPr>
    </w:p>
    <w:p w14:paraId="14AF907A" w14:textId="77777777" w:rsidR="00AD1CB7" w:rsidRPr="005E372C" w:rsidRDefault="00AD1CB7" w:rsidP="00AD1CB7">
      <w:pPr>
        <w:autoSpaceDE w:val="0"/>
        <w:autoSpaceDN w:val="0"/>
        <w:adjustRightInd w:val="0"/>
        <w:jc w:val="center"/>
        <w:rPr>
          <w:rFonts w:eastAsiaTheme="minorHAnsi"/>
          <w:sz w:val="20"/>
          <w:szCs w:val="20"/>
          <w14:ligatures w14:val="standardContextual"/>
        </w:rPr>
      </w:pPr>
      <w:r w:rsidRPr="005E372C">
        <w:rPr>
          <w:rFonts w:eastAsiaTheme="minorHAnsi"/>
          <w:sz w:val="20"/>
          <w:szCs w:val="20"/>
          <w14:ligatures w14:val="standardContextual"/>
        </w:rPr>
        <w:t>(0.037)</w:t>
      </w:r>
    </w:p>
    <w:p w14:paraId="2E4648A7" w14:textId="77777777" w:rsidR="00AD1CB7" w:rsidRPr="005E372C" w:rsidRDefault="00AD1CB7" w:rsidP="00AD1CB7">
      <w:pPr>
        <w:autoSpaceDE w:val="0"/>
        <w:autoSpaceDN w:val="0"/>
        <w:adjustRightInd w:val="0"/>
        <w:rPr>
          <w:rFonts w:eastAsiaTheme="minorHAnsi"/>
          <w:sz w:val="20"/>
          <w:szCs w:val="20"/>
          <w14:ligatures w14:val="standardContextual"/>
        </w:rPr>
      </w:pPr>
    </w:p>
    <w:p w14:paraId="595DE836" w14:textId="77777777" w:rsidR="00AD1CB7" w:rsidRPr="005E372C" w:rsidRDefault="00AD1CB7" w:rsidP="00AD1CB7">
      <w:pPr>
        <w:autoSpaceDE w:val="0"/>
        <w:autoSpaceDN w:val="0"/>
        <w:adjustRightInd w:val="0"/>
        <w:rPr>
          <w:rFonts w:eastAsiaTheme="minorHAnsi"/>
          <w:sz w:val="20"/>
          <w:szCs w:val="20"/>
          <w14:ligatures w14:val="standardContextual"/>
        </w:rPr>
      </w:pPr>
    </w:p>
    <w:p w14:paraId="02A24CA4" w14:textId="4FFF16BD" w:rsidR="00AD1CB7" w:rsidRPr="005E372C" w:rsidRDefault="00AD1CB7" w:rsidP="00AD1CB7">
      <w:pPr>
        <w:autoSpaceDE w:val="0"/>
        <w:autoSpaceDN w:val="0"/>
        <w:adjustRightInd w:val="0"/>
        <w:rPr>
          <w:rFonts w:eastAsiaTheme="minorHAnsi"/>
          <w:sz w:val="20"/>
          <w:szCs w:val="20"/>
          <w14:ligatures w14:val="standardContextual"/>
        </w:rPr>
      </w:pPr>
      <w:r w:rsidRPr="005E372C">
        <w:rPr>
          <w:rFonts w:eastAsiaTheme="minorHAnsi"/>
          <w:sz w:val="20"/>
          <w:szCs w:val="20"/>
          <w14:ligatures w14:val="standardContextual"/>
        </w:rPr>
        <w:t>Obama # Biden</w:t>
      </w:r>
      <w:r w:rsidR="005E372C">
        <w:rPr>
          <w:rFonts w:eastAsiaTheme="minorHAnsi"/>
          <w:sz w:val="20"/>
          <w:szCs w:val="20"/>
          <w14:ligatures w14:val="standardContextual"/>
        </w:rPr>
        <w:t xml:space="preserve"> Era</w:t>
      </w:r>
    </w:p>
    <w:p w14:paraId="2762EE12" w14:textId="77777777" w:rsidR="00AD1CB7" w:rsidRPr="005E372C" w:rsidRDefault="00AD1CB7" w:rsidP="00AD1CB7">
      <w:pPr>
        <w:autoSpaceDE w:val="0"/>
        <w:autoSpaceDN w:val="0"/>
        <w:adjustRightInd w:val="0"/>
        <w:jc w:val="center"/>
        <w:rPr>
          <w:rFonts w:eastAsiaTheme="minorHAnsi"/>
          <w:sz w:val="20"/>
          <w:szCs w:val="20"/>
          <w14:ligatures w14:val="standardContextual"/>
        </w:rPr>
      </w:pPr>
      <w:r w:rsidRPr="005E372C">
        <w:rPr>
          <w:rFonts w:eastAsiaTheme="minorHAnsi"/>
          <w:sz w:val="20"/>
          <w:szCs w:val="20"/>
          <w14:ligatures w14:val="standardContextual"/>
        </w:rPr>
        <w:t>-0.002</w:t>
      </w:r>
    </w:p>
    <w:p w14:paraId="1953EEC0" w14:textId="77777777" w:rsidR="00AD1CB7" w:rsidRPr="005E372C" w:rsidRDefault="00AD1CB7" w:rsidP="00AD1CB7">
      <w:pPr>
        <w:autoSpaceDE w:val="0"/>
        <w:autoSpaceDN w:val="0"/>
        <w:adjustRightInd w:val="0"/>
        <w:rPr>
          <w:rFonts w:eastAsiaTheme="minorHAnsi"/>
          <w:sz w:val="20"/>
          <w:szCs w:val="20"/>
          <w14:ligatures w14:val="standardContextual"/>
        </w:rPr>
      </w:pPr>
    </w:p>
    <w:p w14:paraId="43FB0DCC" w14:textId="77777777" w:rsidR="00AD1CB7" w:rsidRPr="005E372C" w:rsidRDefault="00AD1CB7" w:rsidP="00AD1CB7">
      <w:pPr>
        <w:autoSpaceDE w:val="0"/>
        <w:autoSpaceDN w:val="0"/>
        <w:adjustRightInd w:val="0"/>
        <w:jc w:val="center"/>
        <w:rPr>
          <w:rFonts w:eastAsiaTheme="minorHAnsi"/>
          <w:sz w:val="20"/>
          <w:szCs w:val="20"/>
          <w14:ligatures w14:val="standardContextual"/>
        </w:rPr>
      </w:pPr>
      <w:r w:rsidRPr="005E372C">
        <w:rPr>
          <w:rFonts w:eastAsiaTheme="minorHAnsi"/>
          <w:sz w:val="20"/>
          <w:szCs w:val="20"/>
          <w14:ligatures w14:val="standardContextual"/>
        </w:rPr>
        <w:t>(0.023)</w:t>
      </w:r>
    </w:p>
    <w:p w14:paraId="114D20FB" w14:textId="77777777" w:rsidR="00AD1CB7" w:rsidRPr="005E372C" w:rsidRDefault="00AD1CB7" w:rsidP="00AD1CB7">
      <w:pPr>
        <w:autoSpaceDE w:val="0"/>
        <w:autoSpaceDN w:val="0"/>
        <w:adjustRightInd w:val="0"/>
        <w:rPr>
          <w:rFonts w:eastAsiaTheme="minorHAnsi"/>
          <w:sz w:val="20"/>
          <w:szCs w:val="20"/>
          <w14:ligatures w14:val="standardContextual"/>
        </w:rPr>
      </w:pPr>
    </w:p>
    <w:p w14:paraId="56F6F6CD" w14:textId="77777777" w:rsidR="00AD1CB7" w:rsidRPr="005E372C" w:rsidRDefault="00AD1CB7" w:rsidP="00AD1CB7">
      <w:pPr>
        <w:autoSpaceDE w:val="0"/>
        <w:autoSpaceDN w:val="0"/>
        <w:adjustRightInd w:val="0"/>
        <w:rPr>
          <w:rFonts w:eastAsiaTheme="minorHAnsi"/>
          <w:sz w:val="20"/>
          <w:szCs w:val="20"/>
          <w14:ligatures w14:val="standardContextual"/>
        </w:rPr>
      </w:pPr>
    </w:p>
    <w:p w14:paraId="5B670A76" w14:textId="1D8ABBD3" w:rsidR="00AD1CB7" w:rsidRPr="005E372C" w:rsidRDefault="00AD1CB7" w:rsidP="00AD1CB7">
      <w:pPr>
        <w:autoSpaceDE w:val="0"/>
        <w:autoSpaceDN w:val="0"/>
        <w:adjustRightInd w:val="0"/>
        <w:rPr>
          <w:rFonts w:eastAsiaTheme="minorHAnsi"/>
          <w:sz w:val="20"/>
          <w:szCs w:val="20"/>
          <w14:ligatures w14:val="standardContextual"/>
        </w:rPr>
      </w:pPr>
      <w:r w:rsidRPr="005E372C">
        <w:rPr>
          <w:rFonts w:eastAsiaTheme="minorHAnsi"/>
          <w:sz w:val="20"/>
          <w:szCs w:val="20"/>
          <w14:ligatures w14:val="standardContextual"/>
        </w:rPr>
        <w:lastRenderedPageBreak/>
        <w:t>Obama # Trump II</w:t>
      </w:r>
      <w:r w:rsidR="005E372C">
        <w:rPr>
          <w:rFonts w:eastAsiaTheme="minorHAnsi"/>
          <w:sz w:val="20"/>
          <w:szCs w:val="20"/>
          <w14:ligatures w14:val="standardContextual"/>
        </w:rPr>
        <w:t xml:space="preserve"> Era</w:t>
      </w:r>
    </w:p>
    <w:p w14:paraId="1B09319A" w14:textId="77777777" w:rsidR="00AD1CB7" w:rsidRPr="005E372C" w:rsidRDefault="00AD1CB7" w:rsidP="00AD1CB7">
      <w:pPr>
        <w:autoSpaceDE w:val="0"/>
        <w:autoSpaceDN w:val="0"/>
        <w:adjustRightInd w:val="0"/>
        <w:jc w:val="center"/>
        <w:rPr>
          <w:rFonts w:eastAsiaTheme="minorHAnsi"/>
          <w:sz w:val="20"/>
          <w:szCs w:val="20"/>
          <w14:ligatures w14:val="standardContextual"/>
        </w:rPr>
      </w:pPr>
      <w:r w:rsidRPr="005E372C">
        <w:rPr>
          <w:rFonts w:eastAsiaTheme="minorHAnsi"/>
          <w:sz w:val="20"/>
          <w:szCs w:val="20"/>
          <w14:ligatures w14:val="standardContextual"/>
        </w:rPr>
        <w:t>-0.041</w:t>
      </w:r>
      <w:r w:rsidRPr="005E372C">
        <w:rPr>
          <w:rFonts w:eastAsiaTheme="minorHAnsi"/>
          <w:sz w:val="20"/>
          <w:szCs w:val="20"/>
          <w:vertAlign w:val="superscript"/>
          <w14:ligatures w14:val="standardContextual"/>
        </w:rPr>
        <w:t>**</w:t>
      </w:r>
    </w:p>
    <w:p w14:paraId="4AC0A787" w14:textId="77777777" w:rsidR="00AD1CB7" w:rsidRPr="005E372C" w:rsidRDefault="00AD1CB7" w:rsidP="00AD1CB7">
      <w:pPr>
        <w:autoSpaceDE w:val="0"/>
        <w:autoSpaceDN w:val="0"/>
        <w:adjustRightInd w:val="0"/>
        <w:rPr>
          <w:rFonts w:eastAsiaTheme="minorHAnsi"/>
          <w:sz w:val="20"/>
          <w:szCs w:val="20"/>
          <w14:ligatures w14:val="standardContextual"/>
        </w:rPr>
      </w:pPr>
    </w:p>
    <w:p w14:paraId="5BE7C3ED" w14:textId="77777777" w:rsidR="00AD1CB7" w:rsidRPr="005E372C" w:rsidRDefault="00AD1CB7" w:rsidP="00AD1CB7">
      <w:pPr>
        <w:autoSpaceDE w:val="0"/>
        <w:autoSpaceDN w:val="0"/>
        <w:adjustRightInd w:val="0"/>
        <w:jc w:val="center"/>
        <w:rPr>
          <w:rFonts w:eastAsiaTheme="minorHAnsi"/>
          <w:sz w:val="20"/>
          <w:szCs w:val="20"/>
          <w14:ligatures w14:val="standardContextual"/>
        </w:rPr>
      </w:pPr>
      <w:r w:rsidRPr="005E372C">
        <w:rPr>
          <w:rFonts w:eastAsiaTheme="minorHAnsi"/>
          <w:sz w:val="20"/>
          <w:szCs w:val="20"/>
          <w14:ligatures w14:val="standardContextual"/>
        </w:rPr>
        <w:t>(0.018)</w:t>
      </w:r>
    </w:p>
    <w:p w14:paraId="65544BCA" w14:textId="77777777" w:rsidR="00AD1CB7" w:rsidRPr="005E372C" w:rsidRDefault="00AD1CB7" w:rsidP="00AD1CB7">
      <w:pPr>
        <w:autoSpaceDE w:val="0"/>
        <w:autoSpaceDN w:val="0"/>
        <w:adjustRightInd w:val="0"/>
        <w:rPr>
          <w:rFonts w:eastAsiaTheme="minorHAnsi"/>
          <w:sz w:val="20"/>
          <w:szCs w:val="20"/>
          <w14:ligatures w14:val="standardContextual"/>
        </w:rPr>
      </w:pPr>
    </w:p>
    <w:p w14:paraId="6DEC656A" w14:textId="77777777" w:rsidR="00AD1CB7" w:rsidRPr="005E372C" w:rsidRDefault="00AD1CB7" w:rsidP="00AD1CB7">
      <w:pPr>
        <w:autoSpaceDE w:val="0"/>
        <w:autoSpaceDN w:val="0"/>
        <w:adjustRightInd w:val="0"/>
        <w:rPr>
          <w:rFonts w:eastAsiaTheme="minorHAnsi"/>
          <w:sz w:val="20"/>
          <w:szCs w:val="20"/>
          <w14:ligatures w14:val="standardContextual"/>
        </w:rPr>
      </w:pPr>
    </w:p>
    <w:p w14:paraId="20FB75F7" w14:textId="39EBB420" w:rsidR="00AD1CB7" w:rsidRPr="005E372C" w:rsidRDefault="00AD1CB7" w:rsidP="00AD1CB7">
      <w:pPr>
        <w:autoSpaceDE w:val="0"/>
        <w:autoSpaceDN w:val="0"/>
        <w:adjustRightInd w:val="0"/>
        <w:rPr>
          <w:rFonts w:eastAsiaTheme="minorHAnsi"/>
          <w:sz w:val="20"/>
          <w:szCs w:val="20"/>
          <w14:ligatures w14:val="standardContextual"/>
        </w:rPr>
      </w:pPr>
      <w:r w:rsidRPr="005E372C">
        <w:rPr>
          <w:rFonts w:eastAsiaTheme="minorHAnsi"/>
          <w:sz w:val="20"/>
          <w:szCs w:val="20"/>
          <w14:ligatures w14:val="standardContextual"/>
        </w:rPr>
        <w:t>Biden # Biden</w:t>
      </w:r>
      <w:r w:rsidR="005E372C">
        <w:rPr>
          <w:rFonts w:eastAsiaTheme="minorHAnsi"/>
          <w:sz w:val="20"/>
          <w:szCs w:val="20"/>
          <w14:ligatures w14:val="standardContextual"/>
        </w:rPr>
        <w:t xml:space="preserve"> Era</w:t>
      </w:r>
    </w:p>
    <w:p w14:paraId="69E95221" w14:textId="77777777" w:rsidR="00AD1CB7" w:rsidRPr="005E372C" w:rsidRDefault="00AD1CB7" w:rsidP="00AD1CB7">
      <w:pPr>
        <w:autoSpaceDE w:val="0"/>
        <w:autoSpaceDN w:val="0"/>
        <w:adjustRightInd w:val="0"/>
        <w:jc w:val="center"/>
        <w:rPr>
          <w:rFonts w:eastAsiaTheme="minorHAnsi"/>
          <w:sz w:val="20"/>
          <w:szCs w:val="20"/>
          <w14:ligatures w14:val="standardContextual"/>
        </w:rPr>
      </w:pPr>
      <w:r w:rsidRPr="005E372C">
        <w:rPr>
          <w:rFonts w:eastAsiaTheme="minorHAnsi"/>
          <w:sz w:val="20"/>
          <w:szCs w:val="20"/>
          <w14:ligatures w14:val="standardContextual"/>
        </w:rPr>
        <w:t>0.023</w:t>
      </w:r>
    </w:p>
    <w:p w14:paraId="3700AE2E" w14:textId="77777777" w:rsidR="00AD1CB7" w:rsidRPr="005E372C" w:rsidRDefault="00AD1CB7" w:rsidP="00AD1CB7">
      <w:pPr>
        <w:autoSpaceDE w:val="0"/>
        <w:autoSpaceDN w:val="0"/>
        <w:adjustRightInd w:val="0"/>
        <w:rPr>
          <w:rFonts w:eastAsiaTheme="minorHAnsi"/>
          <w:sz w:val="20"/>
          <w:szCs w:val="20"/>
          <w14:ligatures w14:val="standardContextual"/>
        </w:rPr>
      </w:pPr>
    </w:p>
    <w:p w14:paraId="3026EDA8" w14:textId="77777777" w:rsidR="00AD1CB7" w:rsidRPr="005E372C" w:rsidRDefault="00AD1CB7" w:rsidP="00AD1CB7">
      <w:pPr>
        <w:autoSpaceDE w:val="0"/>
        <w:autoSpaceDN w:val="0"/>
        <w:adjustRightInd w:val="0"/>
        <w:jc w:val="center"/>
        <w:rPr>
          <w:rFonts w:eastAsiaTheme="minorHAnsi"/>
          <w:sz w:val="20"/>
          <w:szCs w:val="20"/>
          <w14:ligatures w14:val="standardContextual"/>
        </w:rPr>
      </w:pPr>
      <w:r w:rsidRPr="005E372C">
        <w:rPr>
          <w:rFonts w:eastAsiaTheme="minorHAnsi"/>
          <w:sz w:val="20"/>
          <w:szCs w:val="20"/>
          <w14:ligatures w14:val="standardContextual"/>
        </w:rPr>
        <w:t>(0.017)</w:t>
      </w:r>
    </w:p>
    <w:p w14:paraId="607822CA" w14:textId="77777777" w:rsidR="00AD1CB7" w:rsidRPr="005E372C" w:rsidRDefault="00AD1CB7" w:rsidP="00AD1CB7">
      <w:pPr>
        <w:autoSpaceDE w:val="0"/>
        <w:autoSpaceDN w:val="0"/>
        <w:adjustRightInd w:val="0"/>
        <w:rPr>
          <w:rFonts w:eastAsiaTheme="minorHAnsi"/>
          <w:sz w:val="20"/>
          <w:szCs w:val="20"/>
          <w14:ligatures w14:val="standardContextual"/>
        </w:rPr>
      </w:pPr>
    </w:p>
    <w:p w14:paraId="7BDB9AA3" w14:textId="77777777" w:rsidR="00AD1CB7" w:rsidRPr="005E372C" w:rsidRDefault="00AD1CB7" w:rsidP="00AD1CB7">
      <w:pPr>
        <w:autoSpaceDE w:val="0"/>
        <w:autoSpaceDN w:val="0"/>
        <w:adjustRightInd w:val="0"/>
        <w:rPr>
          <w:rFonts w:eastAsiaTheme="minorHAnsi"/>
          <w:sz w:val="20"/>
          <w:szCs w:val="20"/>
          <w14:ligatures w14:val="standardContextual"/>
        </w:rPr>
      </w:pPr>
    </w:p>
    <w:p w14:paraId="71FFC3FA" w14:textId="77777777" w:rsidR="00AD1CB7" w:rsidRPr="005E372C" w:rsidRDefault="00AD1CB7" w:rsidP="00AD1CB7">
      <w:pPr>
        <w:autoSpaceDE w:val="0"/>
        <w:autoSpaceDN w:val="0"/>
        <w:adjustRightInd w:val="0"/>
        <w:rPr>
          <w:rFonts w:eastAsiaTheme="minorHAnsi"/>
          <w:sz w:val="20"/>
          <w:szCs w:val="20"/>
          <w14:ligatures w14:val="standardContextual"/>
        </w:rPr>
      </w:pPr>
      <w:r w:rsidRPr="005E372C">
        <w:rPr>
          <w:rFonts w:eastAsiaTheme="minorHAnsi"/>
          <w:sz w:val="20"/>
          <w:szCs w:val="20"/>
          <w14:ligatures w14:val="standardContextual"/>
        </w:rPr>
        <w:t>Adj. R-squared</w:t>
      </w:r>
    </w:p>
    <w:p w14:paraId="7C0E3033" w14:textId="77777777" w:rsidR="00AD1CB7" w:rsidRPr="005E372C" w:rsidRDefault="00AD1CB7" w:rsidP="00AD1CB7">
      <w:pPr>
        <w:autoSpaceDE w:val="0"/>
        <w:autoSpaceDN w:val="0"/>
        <w:adjustRightInd w:val="0"/>
        <w:jc w:val="center"/>
        <w:rPr>
          <w:rFonts w:eastAsiaTheme="minorHAnsi"/>
          <w:sz w:val="20"/>
          <w:szCs w:val="20"/>
          <w14:ligatures w14:val="standardContextual"/>
        </w:rPr>
      </w:pPr>
      <w:r w:rsidRPr="005E372C">
        <w:rPr>
          <w:rFonts w:eastAsiaTheme="minorHAnsi"/>
          <w:sz w:val="20"/>
          <w:szCs w:val="20"/>
          <w14:ligatures w14:val="standardContextual"/>
        </w:rPr>
        <w:t>0.306</w:t>
      </w:r>
    </w:p>
    <w:p w14:paraId="475C0166" w14:textId="77777777" w:rsidR="00AD1CB7" w:rsidRDefault="00AD1CB7" w:rsidP="00AD1CB7">
      <w:pPr>
        <w:autoSpaceDE w:val="0"/>
        <w:autoSpaceDN w:val="0"/>
        <w:adjustRightInd w:val="0"/>
        <w:rPr>
          <w:rFonts w:eastAsiaTheme="minorHAnsi"/>
          <w:sz w:val="20"/>
          <w:szCs w:val="20"/>
          <w14:ligatures w14:val="standardContextual"/>
        </w:rPr>
      </w:pPr>
      <w:r>
        <w:rPr>
          <w:rFonts w:eastAsiaTheme="minorHAnsi"/>
          <w:sz w:val="20"/>
          <w:szCs w:val="20"/>
          <w14:ligatures w14:val="standardContextual"/>
        </w:rPr>
        <w:t>Standard errors in parentheses</w:t>
      </w:r>
    </w:p>
    <w:p w14:paraId="2FAE7D0C" w14:textId="2CD48119" w:rsidR="00AD1CB7" w:rsidRDefault="00AD1CB7" w:rsidP="00AD1CB7">
      <w:pPr>
        <w:autoSpaceDE w:val="0"/>
        <w:autoSpaceDN w:val="0"/>
        <w:adjustRightInd w:val="0"/>
        <w:rPr>
          <w:rFonts w:eastAsiaTheme="minorHAnsi"/>
          <w:sz w:val="20"/>
          <w:szCs w:val="20"/>
          <w14:ligatures w14:val="standardContextual"/>
        </w:rPr>
      </w:pPr>
      <w:r>
        <w:rPr>
          <w:rFonts w:eastAsiaTheme="minorHAnsi"/>
          <w:sz w:val="20"/>
          <w:szCs w:val="20"/>
          <w:vertAlign w:val="superscript"/>
          <w14:ligatures w14:val="standardContextual"/>
        </w:rPr>
        <w:t>*</w:t>
      </w:r>
      <w:r>
        <w:rPr>
          <w:rFonts w:eastAsiaTheme="minorHAnsi"/>
          <w:sz w:val="20"/>
          <w:szCs w:val="20"/>
          <w14:ligatures w14:val="standardContextual"/>
        </w:rPr>
        <w:t xml:space="preserve"> </w:t>
      </w:r>
      <w:r>
        <w:rPr>
          <w:rFonts w:eastAsiaTheme="minorHAnsi"/>
          <w:i/>
          <w:iCs/>
          <w:sz w:val="20"/>
          <w:szCs w:val="20"/>
          <w14:ligatures w14:val="standardContextual"/>
        </w:rPr>
        <w:t>p</w:t>
      </w:r>
      <w:r>
        <w:rPr>
          <w:rFonts w:eastAsiaTheme="minorHAnsi"/>
          <w:sz w:val="20"/>
          <w:szCs w:val="20"/>
          <w14:ligatures w14:val="standardContextual"/>
        </w:rPr>
        <w:t xml:space="preserve"> &lt; 0.10, </w:t>
      </w:r>
      <w:r>
        <w:rPr>
          <w:rFonts w:eastAsiaTheme="minorHAnsi"/>
          <w:sz w:val="20"/>
          <w:szCs w:val="20"/>
          <w:vertAlign w:val="superscript"/>
          <w14:ligatures w14:val="standardContextual"/>
        </w:rPr>
        <w:t>**</w:t>
      </w:r>
      <w:r>
        <w:rPr>
          <w:rFonts w:eastAsiaTheme="minorHAnsi"/>
          <w:sz w:val="20"/>
          <w:szCs w:val="20"/>
          <w14:ligatures w14:val="standardContextual"/>
        </w:rPr>
        <w:t xml:space="preserve"> </w:t>
      </w:r>
      <w:r>
        <w:rPr>
          <w:rFonts w:eastAsiaTheme="minorHAnsi"/>
          <w:i/>
          <w:iCs/>
          <w:sz w:val="20"/>
          <w:szCs w:val="20"/>
          <w14:ligatures w14:val="standardContextual"/>
        </w:rPr>
        <w:t>p</w:t>
      </w:r>
      <w:r>
        <w:rPr>
          <w:rFonts w:eastAsiaTheme="minorHAnsi"/>
          <w:sz w:val="20"/>
          <w:szCs w:val="20"/>
          <w14:ligatures w14:val="standardContextual"/>
        </w:rPr>
        <w:t xml:space="preserve"> &lt; 0.05, </w:t>
      </w:r>
      <w:r>
        <w:rPr>
          <w:rFonts w:eastAsiaTheme="minorHAnsi"/>
          <w:sz w:val="20"/>
          <w:szCs w:val="20"/>
          <w:vertAlign w:val="superscript"/>
          <w14:ligatures w14:val="standardContextual"/>
        </w:rPr>
        <w:t>***</w:t>
      </w:r>
      <w:r>
        <w:rPr>
          <w:rFonts w:eastAsiaTheme="minorHAnsi"/>
          <w:sz w:val="20"/>
          <w:szCs w:val="20"/>
          <w14:ligatures w14:val="standardContextual"/>
        </w:rPr>
        <w:t xml:space="preserve"> </w:t>
      </w:r>
      <w:r>
        <w:rPr>
          <w:rFonts w:eastAsiaTheme="minorHAnsi"/>
          <w:i/>
          <w:iCs/>
          <w:sz w:val="20"/>
          <w:szCs w:val="20"/>
          <w14:ligatures w14:val="standardContextual"/>
        </w:rPr>
        <w:t>p</w:t>
      </w:r>
      <w:r>
        <w:rPr>
          <w:rFonts w:eastAsiaTheme="minorHAnsi"/>
          <w:sz w:val="20"/>
          <w:szCs w:val="20"/>
          <w14:ligatures w14:val="standardContextual"/>
        </w:rPr>
        <w:t xml:space="preserve"> &lt; 0.01. Note: this table reports coefficients from a linear probability model with judge and court-by-month fixed effects. The omitted category is Trump I appointees during the Trump I administration. Reported coefficients correspond to cohort-by-period interaction terms. Standard errors are clustered at the judge level. </w:t>
      </w:r>
    </w:p>
    <w:p w14:paraId="68F85D6E" w14:textId="77777777" w:rsidR="00AD1CB7" w:rsidRDefault="00AD1CB7" w:rsidP="00AD1CB7">
      <w:pPr>
        <w:spacing w:line="480" w:lineRule="auto"/>
        <w:rPr>
          <w:b/>
          <w:bCs/>
        </w:rPr>
      </w:pPr>
    </w:p>
    <w:p w14:paraId="1A18E47F" w14:textId="573326D8" w:rsidR="005D5CE4" w:rsidRDefault="005D5CE4" w:rsidP="005D5CE4">
      <w:pPr>
        <w:pStyle w:val="NormalWeb"/>
        <w:spacing w:before="0" w:beforeAutospacing="0" w:after="0" w:afterAutospacing="0" w:line="480" w:lineRule="auto"/>
        <w:ind w:firstLine="720"/>
        <w:rPr>
          <w:color w:val="000000"/>
        </w:rPr>
      </w:pPr>
      <w:r>
        <w:rPr>
          <w:color w:val="000000"/>
        </w:rPr>
        <w:t>This table presents estimates from a triple-difference specification that allows the effect of presidential administration to vary across appointment cohorts. The model includes judge fixed effects and court-by-month fixed effects, so identification is based entirely on within-judge variation over time within the same court context. The omitted category is Trump I appointees during the Trump I administration. Accordingly, all coefficients are interpreted relative to this baseline.</w:t>
      </w:r>
    </w:p>
    <w:p w14:paraId="4802A8A3" w14:textId="77777777" w:rsidR="005D5CE4" w:rsidRDefault="005D5CE4" w:rsidP="005D5CE4">
      <w:pPr>
        <w:pStyle w:val="NormalWeb"/>
        <w:spacing w:before="0" w:beforeAutospacing="0" w:after="0" w:afterAutospacing="0" w:line="480" w:lineRule="auto"/>
        <w:ind w:firstLine="720"/>
        <w:rPr>
          <w:color w:val="000000"/>
        </w:rPr>
      </w:pPr>
      <w:r>
        <w:rPr>
          <w:color w:val="000000"/>
        </w:rPr>
        <w:t>The results reveal a clear asymmetry across policy environments. During the Biden administration, there is little evidence of differential responses across cohorts. Interaction coefficients for the Biden period are small and statistically insignificant, indicating that judges from different appointment cohorts exhibit similar changes in removal rates once controlling for case characteristics and court-time conditions. This finding reinforces the earlier result that the decline in removal rates under the Biden administration reflects a system-wide shift rather than cohort-specific behavioral changes.</w:t>
      </w:r>
    </w:p>
    <w:p w14:paraId="290C6084" w14:textId="23EED3B7" w:rsidR="005D5CE4" w:rsidRDefault="005D5CE4" w:rsidP="005D5CE4">
      <w:pPr>
        <w:pStyle w:val="NormalWeb"/>
        <w:spacing w:before="0" w:beforeAutospacing="0" w:after="0" w:afterAutospacing="0" w:line="480" w:lineRule="auto"/>
        <w:ind w:firstLine="720"/>
        <w:rPr>
          <w:color w:val="000000"/>
        </w:rPr>
      </w:pPr>
      <w:r>
        <w:rPr>
          <w:color w:val="000000"/>
        </w:rPr>
        <w:t>In contrast, during the Trump II administration, differences across cohorts re-emerge. Relative to Trump I appointees, judges from earlier cohorts</w:t>
      </w:r>
      <w:r w:rsidR="005E372C">
        <w:rPr>
          <w:color w:val="000000"/>
        </w:rPr>
        <w:t xml:space="preserve">, </w:t>
      </w:r>
      <w:r>
        <w:rPr>
          <w:color w:val="000000"/>
        </w:rPr>
        <w:t>particularly Obama appointee</w:t>
      </w:r>
      <w:r w:rsidR="005E372C">
        <w:rPr>
          <w:color w:val="000000"/>
        </w:rPr>
        <w:t xml:space="preserve">s, </w:t>
      </w:r>
      <w:r>
        <w:rPr>
          <w:color w:val="000000"/>
        </w:rPr>
        <w:lastRenderedPageBreak/>
        <w:t>exhibit smaller increases in removal rates. For example, the interaction between Obama appointees and the Trump II period is negative and statistically significant, indicating that these judges respond less strongly to the shift toward a more restrictive policy environment. Similar, though less precisely estimated, patterns are observed for other pre-Trump cohorts.</w:t>
      </w:r>
    </w:p>
    <w:p w14:paraId="13522974" w14:textId="103181ED" w:rsidR="00903FA6" w:rsidRPr="005132E6" w:rsidRDefault="005D5CE4" w:rsidP="005132E6">
      <w:pPr>
        <w:pStyle w:val="NormalWeb"/>
        <w:spacing w:before="0" w:beforeAutospacing="0" w:after="0" w:afterAutospacing="0" w:line="480" w:lineRule="auto"/>
        <w:ind w:firstLine="720"/>
        <w:rPr>
          <w:color w:val="000000"/>
        </w:rPr>
      </w:pPr>
      <w:r>
        <w:rPr>
          <w:color w:val="000000"/>
        </w:rPr>
        <w:t>Taken together, these results indicate that cohort differences in adjudication are not constant across administrations. Instead, they become more pronounced in more restrictive policy environments. While the transition to the Biden administration produces a uniform decline in removal rates across judges, the transition to the Trump II administration generates divergence across cohorts, with Trump-appointed judges exhibiting larger increases in removal rates than their peers.</w:t>
      </w:r>
    </w:p>
    <w:p w14:paraId="5B581471" w14:textId="79AE85F7" w:rsidR="00D76C6E" w:rsidRDefault="005132E6" w:rsidP="00D76C6E">
      <w:pPr>
        <w:spacing w:before="360" w:after="120" w:line="480" w:lineRule="auto"/>
      </w:pPr>
      <w:r>
        <w:rPr>
          <w:b/>
          <w:bCs/>
          <w:i/>
          <w:iCs/>
        </w:rPr>
        <w:t>G</w:t>
      </w:r>
      <w:r w:rsidR="00D76C6E">
        <w:rPr>
          <w:b/>
          <w:bCs/>
          <w:i/>
          <w:iCs/>
        </w:rPr>
        <w:t>. Robustness Checks</w:t>
      </w:r>
    </w:p>
    <w:p w14:paraId="5D1522EB" w14:textId="6A7A203A" w:rsidR="00D76C6E" w:rsidRDefault="00D76C6E" w:rsidP="00D76C6E">
      <w:pPr>
        <w:spacing w:line="480" w:lineRule="auto"/>
        <w:ind w:firstLine="720"/>
      </w:pPr>
      <w:r>
        <w:t>The main findings are subjected to the following robustness checks</w:t>
      </w:r>
      <w:r w:rsidR="005132E6">
        <w:t>, noted in the Appendix</w:t>
      </w:r>
      <w:r>
        <w:t>. First, I run the analysis separately for detained and non-detained cases.</w:t>
      </w:r>
      <w:r>
        <w:rPr>
          <w:rStyle w:val="FootnoteReference"/>
          <w:rFonts w:eastAsiaTheme="majorEastAsia"/>
        </w:rPr>
        <w:footnoteReference w:id="119"/>
      </w:r>
      <w:r>
        <w:t xml:space="preserve"> Second, I restrict the sample to defensive asylum cases only</w:t>
      </w:r>
      <w:r w:rsidR="000F5C01">
        <w:t xml:space="preserve"> </w:t>
      </w:r>
      <w:r>
        <w:t>where the legal standard is uniform and case-type heterogeneity is minimized.</w:t>
      </w:r>
      <w:r>
        <w:rPr>
          <w:rStyle w:val="FootnoteReference"/>
          <w:rFonts w:eastAsiaTheme="majorEastAsia"/>
        </w:rPr>
        <w:footnoteReference w:id="120"/>
      </w:r>
      <w:r>
        <w:t xml:space="preserve"> Third, I exclude </w:t>
      </w:r>
      <w:r w:rsidRPr="000F5C01">
        <w:rPr>
          <w:i/>
          <w:iCs/>
        </w:rPr>
        <w:t>in absentia</w:t>
      </w:r>
      <w:r>
        <w:t xml:space="preserve"> removal cases from the main analysis but present them as a separate outcome.</w:t>
      </w:r>
    </w:p>
    <w:p w14:paraId="3338B7AB" w14:textId="75BF029A" w:rsidR="00D76C6E" w:rsidRDefault="00D76C6E" w:rsidP="006145FD">
      <w:pPr>
        <w:spacing w:line="480" w:lineRule="auto"/>
        <w:ind w:firstLine="720"/>
      </w:pPr>
      <w:r>
        <w:t xml:space="preserve">Fourth, I test the sensitivity of the results to alternative era breakpoints—for instance, using the date of the first major DHS enforcement memo rather than the inauguration date to define the period transition. Fifth, I compare the linear probability model (LPM) baseline to logit </w:t>
      </w:r>
      <w:r>
        <w:lastRenderedPageBreak/>
        <w:t>marginal effects to confirm that the non-linearity of the logit does not drive the main results.</w:t>
      </w:r>
      <w:r>
        <w:rPr>
          <w:rStyle w:val="FootnoteReference"/>
          <w:rFonts w:eastAsiaTheme="majorEastAsia"/>
        </w:rPr>
        <w:footnoteReference w:id="121"/>
      </w:r>
      <w:r>
        <w:t xml:space="preserve"> Sixth, I test two-way clustered standard errors (at the judge and court×month levels) alongside the baseline judge-clustered specification.</w:t>
      </w:r>
      <w:r>
        <w:rPr>
          <w:rStyle w:val="FootnoteReference"/>
          <w:rFonts w:eastAsiaTheme="majorEastAsia"/>
        </w:rPr>
        <w:footnoteReference w:id="122"/>
      </w:r>
      <w:r>
        <w:t xml:space="preserve"> Finally, I compare results using first merits decision (baseline) versus final outcome across all merits decisions in a case.</w:t>
      </w:r>
    </w:p>
    <w:p w14:paraId="755FCFC5" w14:textId="77777777" w:rsidR="00D76C6E" w:rsidRDefault="00D76C6E" w:rsidP="00D76C6E">
      <w:pPr>
        <w:spacing w:before="480" w:after="240" w:line="480" w:lineRule="auto"/>
        <w:jc w:val="center"/>
      </w:pPr>
      <w:r>
        <w:rPr>
          <w:b/>
          <w:bCs/>
          <w:caps/>
        </w:rPr>
        <w:t>VII. Designing Independence for Executive-Branch Courts</w:t>
      </w:r>
    </w:p>
    <w:p w14:paraId="77B2BA6A" w14:textId="77777777" w:rsidR="00D76C6E" w:rsidRDefault="00D76C6E" w:rsidP="00D76C6E">
      <w:pPr>
        <w:spacing w:before="360" w:after="120" w:line="480" w:lineRule="auto"/>
      </w:pPr>
      <w:r>
        <w:rPr>
          <w:b/>
          <w:bCs/>
          <w:i/>
          <w:iCs/>
        </w:rPr>
        <w:t>A. The Court–Agency Tension, Made Empirical</w:t>
      </w:r>
    </w:p>
    <w:p w14:paraId="1EA66C78" w14:textId="77777777" w:rsidR="00D76C6E" w:rsidRDefault="00D76C6E" w:rsidP="00D76C6E">
      <w:pPr>
        <w:spacing w:line="480" w:lineRule="auto"/>
        <w:ind w:firstLine="720"/>
      </w:pPr>
      <w:r>
        <w:t>Immigration courts occupy an unstable institutional position. They are asked to perform the core work of adjudication—hearing evidence, applying legal standards, and resolving disputes about whether an individual may remain in the United States—while remaining embedded inside a hierarchical executive bureaucracy led by politically accountable officials. Statute, regulation, and adjudicative norms describe immigration judges as officers who must exercise independent judgment, decide cases on the law and the record, and provide individualized justice in proceedings of immense consequence.</w:t>
      </w:r>
      <w:r>
        <w:rPr>
          <w:rStyle w:val="FootnoteReference"/>
          <w:rFonts w:eastAsiaTheme="majorEastAsia"/>
        </w:rPr>
        <w:footnoteReference w:id="123"/>
      </w:r>
      <w:r>
        <w:t xml:space="preserve"> Yet the institutional setting in which they operate points in a different direction: they are Department of Justice employees, supervised within EOIR, subordinate to the Attorney General’s review authority, and inevitably affected by the enforcement priorities and management choices of presidential administrations.</w:t>
      </w:r>
    </w:p>
    <w:p w14:paraId="719C0A16" w14:textId="77777777" w:rsidR="00D76C6E" w:rsidRDefault="00D76C6E" w:rsidP="00D76C6E">
      <w:pPr>
        <w:spacing w:line="480" w:lineRule="auto"/>
        <w:ind w:firstLine="720"/>
      </w:pPr>
      <w:r>
        <w:lastRenderedPageBreak/>
        <w:t xml:space="preserve">That structural duality has long been recognized in the literature, but the findings in this Article make it newly concrete. The empirical results suggest that immigration adjudication is shaped not only by the familiar cross-judge disparities documented in the </w:t>
      </w:r>
      <w:r w:rsidRPr="000F5C01">
        <w:rPr>
          <w:i/>
          <w:iCs/>
        </w:rPr>
        <w:t>Refugee Roulette</w:t>
      </w:r>
      <w:r>
        <w:t xml:space="preserve"> literature,</w:t>
      </w:r>
      <w:r>
        <w:rPr>
          <w:rStyle w:val="FootnoteReference"/>
          <w:rFonts w:eastAsiaTheme="majorEastAsia"/>
        </w:rPr>
        <w:footnoteReference w:id="124"/>
      </w:r>
      <w:r>
        <w:t xml:space="preserve"> but also by broad shifts associated with the presidential administration currently in power. Removal rates move sharply across the Obama, Trump I, Biden, and Trump II periods, and they do so even after accounting for case mix and local conditions. More significantly, when the analysis follows the same judges across administrations, those judges still change behavior in ways that track presidential transitions, with Trump-appointed judges exhibiting especially notable movement.</w:t>
      </w:r>
    </w:p>
    <w:p w14:paraId="0A3BEDAC" w14:textId="77777777" w:rsidR="00D76C6E" w:rsidRDefault="00D76C6E" w:rsidP="00D76C6E">
      <w:pPr>
        <w:spacing w:line="480" w:lineRule="auto"/>
        <w:ind w:firstLine="720"/>
      </w:pPr>
      <w:r>
        <w:t>Those results sharpen a tension that is too often described only in abstract institutional terms. The problem is not merely that immigration courts are formally located in the executive branch while styled as courts. The problem is that the system appears to behave in ways consistent with that executive branch location even while continuing to claim the legitimacy associated with neutral adjudication. Put differently, the institutional rhetoric is court-like, but the observed outcome dynamics are markedly agency-like.</w:t>
      </w:r>
    </w:p>
    <w:p w14:paraId="3819A6BE" w14:textId="77777777" w:rsidR="00D76C6E" w:rsidRDefault="00D76C6E" w:rsidP="00D76C6E">
      <w:pPr>
        <w:spacing w:line="480" w:lineRule="auto"/>
        <w:ind w:firstLine="720"/>
      </w:pPr>
      <w:r>
        <w:t xml:space="preserve">That mismatch matters for at least three reasons. First, it complicates descriptive accounts of what immigration judges are. If the dominant source of variation were static ideological commitments fixed at appointment, one might still describe the system as judicial in character, albeit staffed by highly heterogeneous adjudicators. But if the same judges change behavior as administrations change, then the better description is not simply that judges differ. It is that the institution itself is highly responsive to presidential time. Second, the mismatch bears directly on legitimacy. A tribunal that claims neutrality while exhibiting substantial politically mediated </w:t>
      </w:r>
      <w:r>
        <w:lastRenderedPageBreak/>
        <w:t>outcome variation invites skepticism from litigants, reviewing courts, and the public. Third, it reframes the design question. The central issue is no longer just whether immigration judges are “independent enough” in a static sense. It is whether the present design allows too much of the incumbent administration’s policy agenda to enter adjudication through channels that are informal, opaque, or weakly reviewable.</w:t>
      </w:r>
    </w:p>
    <w:p w14:paraId="4B1E96E6" w14:textId="77777777" w:rsidR="00D76C6E" w:rsidRDefault="00D76C6E" w:rsidP="00D76C6E">
      <w:pPr>
        <w:spacing w:line="480" w:lineRule="auto"/>
        <w:ind w:firstLine="720"/>
      </w:pPr>
      <w:r>
        <w:t>The empirical findings thus convert a structural concern into a measurable one. Stephen Legomsky argued years ago that the subordination of immigration adjudication to the executive branch posed a threat to decisional independence, and later proposed structural redesign of the system.</w:t>
      </w:r>
      <w:r>
        <w:rPr>
          <w:rStyle w:val="FootnoteReference"/>
          <w:rFonts w:eastAsiaTheme="majorEastAsia"/>
        </w:rPr>
        <w:footnoteReference w:id="125"/>
      </w:r>
      <w:r>
        <w:t xml:space="preserve"> Rachel Barkow, in a broader administrative context, likewise emphasized that institutional design determines the extent to which adjudicators are vulnerable to political or agency capture.</w:t>
      </w:r>
      <w:r>
        <w:rPr>
          <w:rStyle w:val="FootnoteReference"/>
          <w:rFonts w:eastAsiaTheme="majorEastAsia"/>
        </w:rPr>
        <w:footnoteReference w:id="126"/>
      </w:r>
      <w:r>
        <w:t xml:space="preserve"> The evidence presented here supplies exactly the kind of behavioral grounding that those structural critiques require. The independence problem is not merely theoretical. It appears in millions of decisions and in the shifting behavior of the same adjudicators over time.</w:t>
      </w:r>
    </w:p>
    <w:p w14:paraId="6F8FC128" w14:textId="77777777" w:rsidR="00D76C6E" w:rsidRDefault="00D76C6E" w:rsidP="00D76C6E">
      <w:pPr>
        <w:spacing w:before="360" w:after="120" w:line="480" w:lineRule="auto"/>
      </w:pPr>
      <w:r>
        <w:rPr>
          <w:b/>
          <w:bCs/>
          <w:i/>
          <w:iCs/>
        </w:rPr>
        <w:t>B. Independence as a Temporal Concept</w:t>
      </w:r>
    </w:p>
    <w:p w14:paraId="78F1FFEF" w14:textId="77777777" w:rsidR="00D76C6E" w:rsidRDefault="00D76C6E" w:rsidP="00D76C6E">
      <w:pPr>
        <w:spacing w:line="480" w:lineRule="auto"/>
        <w:ind w:firstLine="720"/>
      </w:pPr>
      <w:r>
        <w:t xml:space="preserve">The conventional vocabulary of adjudicative independence is too static to capture what these results reveal. Most discussions ask who appoints adjudicators, whether they enjoy tenure protections, how easily they can be removed, whether their pay is protected, and whether agency heads may reverse their decisions. These are important design variables, and they remain </w:t>
      </w:r>
      <w:r>
        <w:lastRenderedPageBreak/>
        <w:t>essential to any serious reform program. But they are not enough, because they do not directly measure what the findings here put at center stage: responsiveness over time to changes in presidential control.</w:t>
      </w:r>
    </w:p>
    <w:p w14:paraId="76F45CF2" w14:textId="77777777" w:rsidR="00D76C6E" w:rsidRDefault="00D76C6E" w:rsidP="00D76C6E">
      <w:pPr>
        <w:spacing w:line="480" w:lineRule="auto"/>
        <w:ind w:firstLine="720"/>
      </w:pPr>
      <w:r>
        <w:t>The better way to frame the issue is to treat independence as partly temporal. On this view, a system is not independent simply because adjudicators cannot easily be fired or because formal ethics rules require neutrality. A system is meaningfully independent only if adjudicative behavior remains relatively stable across political transitions, except to the extent that lawful policy changes should predictably alter the cases presented or the legal rules applied. The crucial question is therefore not only who the adjudicator is, but also when the case is decided.</w:t>
      </w:r>
    </w:p>
    <w:p w14:paraId="179EAA20" w14:textId="77777777" w:rsidR="00D76C6E" w:rsidRDefault="00D76C6E" w:rsidP="00D76C6E">
      <w:pPr>
        <w:spacing w:line="480" w:lineRule="auto"/>
        <w:ind w:firstLine="720"/>
      </w:pPr>
      <w:r>
        <w:t xml:space="preserve">That temporal perspective helps distinguish three analytically separate forms of variation. The first is variation across judges: the classic inter-adjudicator disparity problem highlighted by </w:t>
      </w:r>
      <w:r w:rsidRPr="000F5C01">
        <w:rPr>
          <w:i/>
          <w:iCs/>
        </w:rPr>
        <w:t>Refugee Roulette</w:t>
      </w:r>
      <w:r>
        <w:t>. The second is variation across appointment cohorts: the possibility that judges selected by different administrations bring different priors, backgrounds, or policy commitments to the bench. The third is variation across presidential eras: the extent to which outcomes shift when the administration in power changes, even holding the adjudicator constant. The findings of this Article suggest that the third category is doing a great deal of explanatory work.</w:t>
      </w:r>
    </w:p>
    <w:p w14:paraId="3CF14AFE" w14:textId="77777777" w:rsidR="00D76C6E" w:rsidRDefault="00D76C6E" w:rsidP="00D76C6E">
      <w:pPr>
        <w:spacing w:line="480" w:lineRule="auto"/>
        <w:ind w:firstLine="720"/>
      </w:pPr>
      <w:r>
        <w:t xml:space="preserve">That point has important theoretical consequences. In a traditional judicial politics account of Article III courts, time matters mainly because personnel change over time; presidential influence is mediated through appointments. Immigration adjudication looks different. Because immigration courts remain within the executive branch, presidential influence may operate not only through selection but also through management, signaling, enforcement priorities, resource allocation, docket design, precedential interventions, and institutional culture. Appointment still matters, but appointment is no longer the whole story. The key question </w:t>
      </w:r>
      <w:r>
        <w:lastRenderedPageBreak/>
        <w:t>becomes how much of adjudicative behavior is fixed at the moment of selection and how much is contingent on the current political environment.</w:t>
      </w:r>
    </w:p>
    <w:p w14:paraId="0FD6C30D" w14:textId="77777777" w:rsidR="00D76C6E" w:rsidRDefault="00D76C6E" w:rsidP="00D76C6E">
      <w:pPr>
        <w:spacing w:line="480" w:lineRule="auto"/>
        <w:ind w:firstLine="720"/>
      </w:pPr>
      <w:r>
        <w:t>Seen this way, the findings in this Article suggest that immigration courts have weak temporal independence. They may possess partial formal insulation through civil service rules and professional norms, but those protections do not prevent strong shifts in outcomes across presidential eras. Jennifer Nou’s work on decisional independence is useful here: formal protections for executive branch adjudicators may coexist with deep doctrinal ambivalence about truly insulating them from political supervision.</w:t>
      </w:r>
      <w:r>
        <w:rPr>
          <w:rStyle w:val="FootnoteReference"/>
          <w:rFonts w:eastAsiaTheme="majorEastAsia"/>
        </w:rPr>
        <w:footnoteReference w:id="127"/>
      </w:r>
      <w:r>
        <w:t xml:space="preserve"> Andrew Eisenberg and Gillian Metzger likewise show that review by politically appointed agency heads is a major, undertheorized channel of control over formal adjudication. The immigration context appears to present a particularly vivid example of those broader concerns.</w:t>
      </w:r>
    </w:p>
    <w:p w14:paraId="3D0575DB" w14:textId="77777777" w:rsidR="00D76C6E" w:rsidRDefault="00D76C6E" w:rsidP="00D76C6E">
      <w:pPr>
        <w:spacing w:line="480" w:lineRule="auto"/>
        <w:ind w:firstLine="720"/>
      </w:pPr>
      <w:r>
        <w:t>This temporal understanding also provides a better normative target. The goal cannot be to eliminate all sensitivity to changes in administration. Some variation will necessarily follow from lawful changes in enforcement priorities, prosecutorial discretion, litigation strategy, and rulemaking. Nor can the goal be absolute invariance across time, which would be inconsistent with democratic control over immigration policy. The relevant aim is narrower but still demanding: to reduce politically mediated changes in adjudicative behavior that occur through informal institutional channels rather than through publicly articulated legal or policy instruments.</w:t>
      </w:r>
    </w:p>
    <w:p w14:paraId="15872BE0" w14:textId="77777777" w:rsidR="00D76C6E" w:rsidRDefault="00D76C6E" w:rsidP="00D76C6E">
      <w:pPr>
        <w:spacing w:before="360" w:after="120" w:line="480" w:lineRule="auto"/>
      </w:pPr>
      <w:r>
        <w:rPr>
          <w:b/>
          <w:bCs/>
          <w:i/>
          <w:iCs/>
        </w:rPr>
        <w:t>C. Presidential Influence and the Problem of Hidden Policy</w:t>
      </w:r>
    </w:p>
    <w:p w14:paraId="7DAAF7A1" w14:textId="77777777" w:rsidR="00D76C6E" w:rsidRDefault="00D76C6E" w:rsidP="00D76C6E">
      <w:pPr>
        <w:spacing w:line="480" w:lineRule="auto"/>
        <w:ind w:firstLine="720"/>
      </w:pPr>
      <w:r>
        <w:lastRenderedPageBreak/>
        <w:t>One way to understand the normative stakes is to distinguish between visible and hidden forms of presidential influence. Visible influence takes familiar administrative forms. A new administration can issue enforcement guidance, promulgate rules, alter litigation positions, change the composition of the BIA through appointments over time, and direct executive resources toward particular priorities. These interventions may be controversial, but they have two virtues: they are public, and they are reviewable. Courts, Congress, litigants, and scholars can examine them, challenge them, and evaluate whether they are lawful and normatively justified.</w:t>
      </w:r>
    </w:p>
    <w:p w14:paraId="22EAD1BA" w14:textId="77777777" w:rsidR="00D76C6E" w:rsidRDefault="00D76C6E" w:rsidP="00D76C6E">
      <w:pPr>
        <w:spacing w:line="480" w:lineRule="auto"/>
        <w:ind w:firstLine="720"/>
      </w:pPr>
      <w:r>
        <w:t>Hidden influence is different. It consists of the mechanisms through which adjudicators internalize the preferences of political principals without any single formal directive that explains the change. Those mechanisms may include productivity quotas, managerial signals, hiring and firing patterns, informal expectations about “good judging,” selective use of reassignment or discipline, internal culture shaped by leadership, algorithmic tools, or subtle changes in the kinds of cases brought and prioritized. The individual mechanism may be hard to isolate, but the aggregate effect can still appear in the data as broad shifts across presidential eras and within adjudicator behavior.</w:t>
      </w:r>
    </w:p>
    <w:p w14:paraId="257C982D" w14:textId="77777777" w:rsidR="00D76C6E" w:rsidRDefault="00D76C6E" w:rsidP="00D76C6E">
      <w:pPr>
        <w:spacing w:line="480" w:lineRule="auto"/>
        <w:ind w:firstLine="720"/>
      </w:pPr>
      <w:r>
        <w:t xml:space="preserve">The findings here are troubling chiefly because they suggest the importance of hidden influence. If the same immigration judge becomes more removal-oriented under one administration and more lenient under another, yet there is no corresponding change in formal doctrine sufficient to explain the shift, then something other than transparent law application is doing significant work. Catherine Kim and Amy Semet previously documented that presidential administration at the time of decision predicts removal outcomes, suggesting system-wide </w:t>
      </w:r>
      <w:r>
        <w:lastRenderedPageBreak/>
        <w:t>responsiveness to administration-level priorities.</w:t>
      </w:r>
      <w:r>
        <w:rPr>
          <w:rStyle w:val="FootnoteReference"/>
          <w:rFonts w:eastAsiaTheme="majorEastAsia"/>
        </w:rPr>
        <w:footnoteReference w:id="128"/>
      </w:r>
      <w:r>
        <w:t xml:space="preserve"> The present Article strengthens that concern by adding a more demanding within-judge design and by extending the temporal frame through the Biden years and the return of Trump.</w:t>
      </w:r>
    </w:p>
    <w:p w14:paraId="37E6B464" w14:textId="77777777" w:rsidR="00D76C6E" w:rsidRDefault="00D76C6E" w:rsidP="00D76C6E">
      <w:pPr>
        <w:spacing w:line="480" w:lineRule="auto"/>
        <w:ind w:firstLine="720"/>
      </w:pPr>
      <w:r>
        <w:t>This is what makes the issue a rule-of-law problem rather than simply a policy disagreement. One can imagine good-faith disagreement about how strict or lenient immigration enforcement should be. But those disagreements should be worked out through channels appropriate to democratic governance and administrative law—rulemaking, published guidance, precedential decisions, litigation positions, and legislative enactment. They should not primarily operate through adjudicators’ unrecorded adaptation to political environment. A legal system committed to reason-giving and transparency cannot be satisfied with a regime in which the “law on the books” and the “policy in action” diverge in ways that only large-scale empirical analysis can detect.</w:t>
      </w:r>
    </w:p>
    <w:p w14:paraId="28A32317" w14:textId="77777777" w:rsidR="00D76C6E" w:rsidRDefault="00D76C6E" w:rsidP="00D76C6E">
      <w:pPr>
        <w:spacing w:line="480" w:lineRule="auto"/>
        <w:ind w:firstLine="720"/>
      </w:pPr>
      <w:r>
        <w:t>Recent literature helps situate this concern. Hausman, Ho, Krass, and McDonough identify three principal mechanisms of executive control over immigration adjudication—capacity, selection, and precedential rulemaking—and find precedential rulemaking especially consequential during the first Trump administration.</w:t>
      </w:r>
      <w:r>
        <w:rPr>
          <w:rStyle w:val="FootnoteReference"/>
          <w:rFonts w:eastAsiaTheme="majorEastAsia"/>
        </w:rPr>
        <w:footnoteReference w:id="129"/>
      </w:r>
      <w:r>
        <w:t xml:space="preserve"> Mariano Florentino Cuéllar’s account of presidential quasi-adjudication similarly emphasizes that contemporary executive governance increasingly shapes individual adjudicatory outcomes without always using traditional public-law forms.</w:t>
      </w:r>
      <w:r>
        <w:rPr>
          <w:rStyle w:val="FootnoteReference"/>
          <w:rFonts w:eastAsiaTheme="majorEastAsia"/>
        </w:rPr>
        <w:footnoteReference w:id="130"/>
      </w:r>
      <w:r>
        <w:t xml:space="preserve"> The present findings are consistent with that broader diagnosis. They suggest that </w:t>
      </w:r>
      <w:r>
        <w:lastRenderedPageBreak/>
        <w:t>presidential influence in immigration adjudication is not episodic but systemic, and not purely formal but behavioral.</w:t>
      </w:r>
    </w:p>
    <w:p w14:paraId="1585FD21" w14:textId="77777777" w:rsidR="00D76C6E" w:rsidRDefault="00D76C6E" w:rsidP="00D76C6E">
      <w:pPr>
        <w:spacing w:before="360" w:after="120" w:line="480" w:lineRule="auto"/>
      </w:pPr>
      <w:r>
        <w:rPr>
          <w:b/>
          <w:bCs/>
          <w:i/>
          <w:iCs/>
        </w:rPr>
        <w:t>D. Due Process, Arbitrariness, and Equal Justice</w:t>
      </w:r>
    </w:p>
    <w:p w14:paraId="504C9150" w14:textId="77777777" w:rsidR="00D76C6E" w:rsidRDefault="00D76C6E" w:rsidP="00D76C6E">
      <w:pPr>
        <w:spacing w:line="480" w:lineRule="auto"/>
        <w:ind w:firstLine="720"/>
      </w:pPr>
      <w:r>
        <w:t>The due process implications follow directly. Removal proceedings determine whether individuals may remain in the country, reunite with family members, seek protection from persecution or torture, or be returned to dangerous conditions. The Supreme Court has long recognized that due process applies in removal proceedings, even if the full criminal procedural apparatus does not. At minimum, due process demands a fair hearing before an impartial adjudicator and procedures adequate to reduce the risk of erroneous deprivation.</w:t>
      </w:r>
    </w:p>
    <w:p w14:paraId="246F77FD" w14:textId="77777777" w:rsidR="00D76C6E" w:rsidRDefault="00D76C6E" w:rsidP="00D76C6E">
      <w:pPr>
        <w:spacing w:line="480" w:lineRule="auto"/>
        <w:ind w:firstLine="720"/>
      </w:pPr>
      <w:r>
        <w:t>The findings here cast doubt on whether those commitments are fully realized in practice. If similarly situated noncitizens face substantially different probabilities of removal depending on whether their cases are heard in one presidential era rather than another, then timing becomes an arbitrariness factor largely unrelated to the legal merits of the individual case. That is not the only source of arbitrariness in immigration adjudication; the literature on representation, detention, geography, and judge identity has shown many others. But politically mediated timing may be among the most normatively unsettling, because it links life-altering outcomes to shifts in national executive power that individual litigants cannot influence or predict.</w:t>
      </w:r>
    </w:p>
    <w:p w14:paraId="635AFB27" w14:textId="77777777" w:rsidR="00D76C6E" w:rsidRDefault="00D76C6E" w:rsidP="00D76C6E">
      <w:pPr>
        <w:spacing w:line="480" w:lineRule="auto"/>
        <w:ind w:firstLine="720"/>
      </w:pPr>
      <w:r>
        <w:t>The representation literature illustrates the compounding nature of the problem. Eagly and Shafer showed that represented noncitizens were dramatically more likely to avoid removal than unrepresented ones.</w:t>
      </w:r>
      <w:r>
        <w:rPr>
          <w:rStyle w:val="FootnoteReference"/>
          <w:rFonts w:eastAsiaTheme="majorEastAsia"/>
        </w:rPr>
        <w:footnoteReference w:id="131"/>
      </w:r>
      <w:r>
        <w:t xml:space="preserve"> Later work by Ryo and Peacock found that even the benefit of </w:t>
      </w:r>
      <w:r>
        <w:lastRenderedPageBreak/>
        <w:t>representation varies depending on adjudicator and institutional environment, including presidential administration.</w:t>
      </w:r>
      <w:r>
        <w:rPr>
          <w:rStyle w:val="FootnoteReference"/>
          <w:rFonts w:eastAsiaTheme="majorEastAsia"/>
        </w:rPr>
        <w:footnoteReference w:id="132"/>
      </w:r>
      <w:r>
        <w:t xml:space="preserve"> If era effects and representation effects interact, then the quality of process a noncitizen receives depends not only on the merits and not only on access to counsel, but also on the political environment in which the hearing occurs. That combination is difficult to square with strong commitments to individualized justice.</w:t>
      </w:r>
    </w:p>
    <w:p w14:paraId="3461E3A1" w14:textId="77777777" w:rsidR="00D76C6E" w:rsidRDefault="00D76C6E" w:rsidP="00D76C6E">
      <w:pPr>
        <w:spacing w:line="480" w:lineRule="auto"/>
        <w:ind w:firstLine="720"/>
      </w:pPr>
      <w:r>
        <w:t>Detention magnifies the concern. Research on detained immigration courts and family detention settings shows that detention status affects representation rates, hearing conditions, and outcomes in ways not reducible to case merits.</w:t>
      </w:r>
      <w:r>
        <w:rPr>
          <w:rStyle w:val="FootnoteReference"/>
          <w:rFonts w:eastAsiaTheme="majorEastAsia"/>
        </w:rPr>
        <w:footnoteReference w:id="133"/>
      </w:r>
      <w:r>
        <w:t xml:space="preserve"> If detention policy is itself responsive to executive enforcement priorities, and detention in turn shapes adjudicative outcomes, then presidential influence can enter adjudication both directly and indirectly. The executive controls not only the leadership of the adjudicatory body but also key features of the environment in which adjudication occurs. That compounding structure makes the due process stakes especially acute.</w:t>
      </w:r>
    </w:p>
    <w:p w14:paraId="2A6676E0" w14:textId="77777777" w:rsidR="00D76C6E" w:rsidRDefault="00D76C6E" w:rsidP="00D76C6E">
      <w:pPr>
        <w:spacing w:line="480" w:lineRule="auto"/>
        <w:ind w:firstLine="720"/>
      </w:pPr>
      <w:r>
        <w:t xml:space="preserve">There is also an equal justice dimension. The core principle that similarly situated people should be treated similarly by law does not disappear simply because immigration is involved. To the contrary, the legitimacy of a mass adjudicatory system depends heavily on consistency. If two respondents with similar claims, similar records, similar relief applications, and similar equities receive very different treatment because one case is heard during a high-enforcement presidential period and another during a low-enforcement period, the resulting disparity is </w:t>
      </w:r>
      <w:r>
        <w:lastRenderedPageBreak/>
        <w:t>difficult to defend as merit-based. The doctrinal path for constitutionalizing such claims may be complicated, but the normative problem is plain.</w:t>
      </w:r>
    </w:p>
    <w:p w14:paraId="37EB2B9E" w14:textId="77777777" w:rsidR="00D76C6E" w:rsidRDefault="00D76C6E" w:rsidP="00D76C6E">
      <w:pPr>
        <w:spacing w:line="480" w:lineRule="auto"/>
        <w:ind w:firstLine="720"/>
      </w:pPr>
      <w:r>
        <w:t>Emily Ryo’s work on procedural legitimacy helps explain why these concerns matter beyond individual error rates.</w:t>
      </w:r>
      <w:r>
        <w:rPr>
          <w:rStyle w:val="FootnoteReference"/>
          <w:rFonts w:eastAsiaTheme="majorEastAsia"/>
        </w:rPr>
        <w:footnoteReference w:id="134"/>
      </w:r>
      <w:r>
        <w:t xml:space="preserve"> People comply with legal institutions not only because of substantive outcomes but because they perceive the process as neutral, respectful, and principled. If immigration courts are seen as responding more to political turnover than to law and facts, institutional legitimacy will deteriorate. That loss of legitimacy has practical as well as moral consequences: it affects participation, trust, and the perceived authority of adjudicatory decisions.</w:t>
      </w:r>
    </w:p>
    <w:p w14:paraId="53F527BC" w14:textId="77777777" w:rsidR="00D76C6E" w:rsidRDefault="00D76C6E" w:rsidP="00D76C6E">
      <w:pPr>
        <w:spacing w:before="360" w:after="120" w:line="480" w:lineRule="auto"/>
      </w:pPr>
      <w:r>
        <w:rPr>
          <w:b/>
          <w:bCs/>
          <w:i/>
          <w:iCs/>
        </w:rPr>
        <w:t>E. The Limits of Formal Insulation</w:t>
      </w:r>
    </w:p>
    <w:p w14:paraId="7F02413E" w14:textId="77777777" w:rsidR="00D76C6E" w:rsidRDefault="00D76C6E" w:rsidP="00D76C6E">
      <w:pPr>
        <w:spacing w:line="480" w:lineRule="auto"/>
        <w:ind w:firstLine="720"/>
      </w:pPr>
      <w:r>
        <w:t>One of the most important implications of the findings is that existing forms of formal insulation are insufficient. Immigration judges already possess some features associated with decisional independence. They are career adjudicators rather than purely at-will political appointees, they operate within a professional adjudicatory culture, and they are bound by legal norms requiring case-specific reasoning and independent judgment.</w:t>
      </w:r>
      <w:r>
        <w:rPr>
          <w:rStyle w:val="FootnoteReference"/>
          <w:rFonts w:eastAsiaTheme="majorEastAsia"/>
        </w:rPr>
        <w:footnoteReference w:id="135"/>
      </w:r>
      <w:r>
        <w:t xml:space="preserve"> Yet those protections do not prevent the substantial era effects documented here.</w:t>
      </w:r>
    </w:p>
    <w:p w14:paraId="148DE196" w14:textId="77777777" w:rsidR="00D76C6E" w:rsidRDefault="00D76C6E" w:rsidP="00D76C6E">
      <w:pPr>
        <w:spacing w:line="480" w:lineRule="auto"/>
        <w:ind w:firstLine="720"/>
      </w:pPr>
      <w:r>
        <w:t xml:space="preserve">This point is critical because it reveals the limits of a common reform instinct: the assumption that partial tenure protection plus professional ethics are enough. They are not. A system can preserve formal independence while remaining behaviorally dependent if the channels of influence run through organizational hierarchy, workload management, appellate </w:t>
      </w:r>
      <w:r>
        <w:lastRenderedPageBreak/>
        <w:t>oversight, performance review, or broader institutional culture. Civil service status may shield adjudicators from blunt retaliation, but it does not neutralize subtler mechanisms of adaptation.</w:t>
      </w:r>
    </w:p>
    <w:p w14:paraId="2213E6ED" w14:textId="77777777" w:rsidR="00D76C6E" w:rsidRDefault="00D76C6E" w:rsidP="00D76C6E">
      <w:pPr>
        <w:spacing w:line="480" w:lineRule="auto"/>
        <w:ind w:firstLine="720"/>
      </w:pPr>
      <w:r>
        <w:t>The second Trump administration’s early reported removal or forced departure of roughly 140 immigration judges makes this point especially stark. Even if one brackets the legal questions raised by those actions, they demonstrate that political principals can exert pressure on the adjudicatory corps in dramatic ways when formal structure allows enough control over staffing and management. Jillian Blake Family argues that this sort of intervention pushes beyond ordinary executive supervision and threatens due process because immigration judges exercise adjudicatory, not merely policymaking, authority.</w:t>
      </w:r>
      <w:r>
        <w:rPr>
          <w:rStyle w:val="FootnoteReference"/>
          <w:rFonts w:eastAsiaTheme="majorEastAsia"/>
        </w:rPr>
        <w:footnoteReference w:id="136"/>
      </w:r>
      <w:r>
        <w:t xml:space="preserve"> Whether or not courts ultimately adopt that full constitutional account, the normative lesson is already evident: where adjudicators can be reshaped, disciplined, or purged in response to politically disfavored behavior, formal rhetoric about independent judgment rings hollow.</w:t>
      </w:r>
    </w:p>
    <w:p w14:paraId="708EC4BF" w14:textId="77777777" w:rsidR="00D76C6E" w:rsidRDefault="00D76C6E" w:rsidP="00D76C6E">
      <w:pPr>
        <w:spacing w:line="480" w:lineRule="auto"/>
        <w:ind w:firstLine="720"/>
      </w:pPr>
      <w:r>
        <w:t>The lesson extends beyond outright removals. Productivity metrics offer another example. Blasingame, Boyd, Carlos, and Ornstein show that case completion quotas had measurable effects on immigration judge behavior.</w:t>
      </w:r>
      <w:r>
        <w:rPr>
          <w:rStyle w:val="FootnoteReference"/>
          <w:rFonts w:eastAsiaTheme="majorEastAsia"/>
        </w:rPr>
        <w:footnoteReference w:id="137"/>
      </w:r>
      <w:r>
        <w:t xml:space="preserve"> Even absent overt ideological direction, metrics emphasizing throughput can pressure adjudicators toward shortcuts, discourage careful deliberation, and produce environment-wide changes in outcomes. Because those metrics are set by management, and management is politically responsive, the line between neutral administration and covert policy steering becomes thin.</w:t>
      </w:r>
    </w:p>
    <w:p w14:paraId="301ECB80" w14:textId="77777777" w:rsidR="00D76C6E" w:rsidRDefault="00D76C6E" w:rsidP="00D76C6E">
      <w:pPr>
        <w:spacing w:line="480" w:lineRule="auto"/>
        <w:ind w:firstLine="720"/>
      </w:pPr>
      <w:r>
        <w:lastRenderedPageBreak/>
        <w:t>The same is true of adjudicatory capacity. Bednar’s work suggests that access to law clerks materially affects outcomes.</w:t>
      </w:r>
      <w:r>
        <w:rPr>
          <w:rStyle w:val="FootnoteReference"/>
          <w:rFonts w:eastAsiaTheme="majorEastAsia"/>
        </w:rPr>
        <w:footnoteReference w:id="138"/>
      </w:r>
      <w:r>
        <w:t xml:space="preserve"> Nielson, Walker, and Wasserman argue that backlog and undercapacity are central features of immigration court dysfunction.</w:t>
      </w:r>
      <w:r>
        <w:rPr>
          <w:rStyle w:val="FootnoteReference"/>
          <w:rFonts w:eastAsiaTheme="majorEastAsia"/>
        </w:rPr>
        <w:footnoteReference w:id="139"/>
      </w:r>
      <w:r>
        <w:t xml:space="preserve"> If resource allocation is politically controlled, and resources affect outcomes, then capacity is itself an instrument of substantive influence. The independence problem is thus not limited to who decides and how they are supervised. It includes how much time, support, and organizational slack the institution provides for real adjudication.</w:t>
      </w:r>
    </w:p>
    <w:p w14:paraId="2871A792" w14:textId="77777777" w:rsidR="00D76C6E" w:rsidRDefault="00D76C6E" w:rsidP="00D76C6E">
      <w:pPr>
        <w:spacing w:before="360" w:after="120" w:line="480" w:lineRule="auto"/>
      </w:pPr>
      <w:r>
        <w:rPr>
          <w:b/>
          <w:bCs/>
          <w:i/>
          <w:iCs/>
        </w:rPr>
        <w:t>F. Two Coherent Models</w:t>
      </w:r>
    </w:p>
    <w:p w14:paraId="2B365D1D" w14:textId="77777777" w:rsidR="00D76C6E" w:rsidRDefault="00D76C6E" w:rsidP="00D76C6E">
      <w:pPr>
        <w:spacing w:line="480" w:lineRule="auto"/>
        <w:ind w:firstLine="720"/>
      </w:pPr>
      <w:r>
        <w:t>The findings suggest that immigration adjudication should move toward one of two more coherent models. At present, the system straddles both and captures the advantages of neither.</w:t>
      </w:r>
    </w:p>
    <w:p w14:paraId="5F9EE98A" w14:textId="77777777" w:rsidR="00D76C6E" w:rsidRDefault="00D76C6E" w:rsidP="00D76C6E">
      <w:pPr>
        <w:spacing w:line="480" w:lineRule="auto"/>
        <w:ind w:firstLine="720"/>
      </w:pPr>
      <w:r>
        <w:t>The first is a court-centered model. Under this approach, immigration adjudication would be treated as genuinely adjudicative. Presidential administrations would retain control over enforcement priorities, charging decisions, resource requests, and rulemaking, but not over the day-to-day decisional orientation of individual adjudicators. The design objective would be to minimize era-driven swings in merits outcomes except where those swings are an unavoidable consequence of formally adopted legal or policy changes. This model fits most comfortably with the language of independent judgment and with due process ideals.</w:t>
      </w:r>
    </w:p>
    <w:p w14:paraId="6E724253" w14:textId="77777777" w:rsidR="00D76C6E" w:rsidRDefault="00D76C6E" w:rsidP="00D76C6E">
      <w:pPr>
        <w:spacing w:line="480" w:lineRule="auto"/>
        <w:ind w:firstLine="720"/>
      </w:pPr>
      <w:r>
        <w:t xml:space="preserve">The second is a candid-administration model. Under this approach, the system would acknowledge that immigration adjudication is partly an instrument of executive policy implementation and that some responsiveness to elections is therefore legitimate. But the price of </w:t>
      </w:r>
      <w:r>
        <w:lastRenderedPageBreak/>
        <w:t>that responsiveness would be transparency and reviewability. If administrations wish to produce system-wide changes in outcomes, they must do so through visible mechanisms—rules, guidance, published precedents, and clearly identified management directives—rather than through informal signals or hidden pressures. This model would not eliminate politics from adjudication, but it would force politics into forms that administrative law can recognize and discipline.</w:t>
      </w:r>
    </w:p>
    <w:p w14:paraId="30675946" w14:textId="77777777" w:rsidR="00D76C6E" w:rsidRDefault="00D76C6E" w:rsidP="00D76C6E">
      <w:pPr>
        <w:spacing w:line="480" w:lineRule="auto"/>
        <w:ind w:firstLine="720"/>
      </w:pPr>
      <w:r>
        <w:t>Either model would be more defensible than the current hybrid. The present design wraps a high-responsiveness institution in the vocabulary of neutral adjudication while leaving too much influence to flow through informal and weakly reviewable channels. A court-centered model would reduce responsiveness; a candid-administration model would domesticate it. What is hardest to justify is the present combination of strong behavioral responsiveness and weak institutional transparency.</w:t>
      </w:r>
    </w:p>
    <w:p w14:paraId="07D8944C" w14:textId="77777777" w:rsidR="00D76C6E" w:rsidRDefault="00D76C6E" w:rsidP="00D76C6E">
      <w:pPr>
        <w:spacing w:before="360" w:after="120" w:line="480" w:lineRule="auto"/>
      </w:pPr>
      <w:r>
        <w:rPr>
          <w:b/>
          <w:bCs/>
          <w:i/>
          <w:iCs/>
        </w:rPr>
        <w:t>G. Structural Insulation Reforms</w:t>
      </w:r>
    </w:p>
    <w:p w14:paraId="1ABDCE20" w14:textId="77777777" w:rsidR="00D76C6E" w:rsidRDefault="00D76C6E" w:rsidP="00D76C6E">
      <w:pPr>
        <w:spacing w:line="480" w:lineRule="auto"/>
        <w:ind w:firstLine="720"/>
      </w:pPr>
      <w:r>
        <w:t>If the objective is to move immigration adjudication toward the court-centered model, the most straightforward route is structural insulation. The longstanding proposal for an Article I immigration court should therefore be reconsidered in light of the evidence presented here.</w:t>
      </w:r>
      <w:r>
        <w:rPr>
          <w:rStyle w:val="FootnoteReference"/>
          <w:rFonts w:eastAsiaTheme="majorEastAsia"/>
        </w:rPr>
        <w:footnoteReference w:id="140"/>
      </w:r>
      <w:r>
        <w:t xml:space="preserve"> The Article I idea has often been defended on qualitative grounds: the need for expertise, neutrality, efficiency, and parity with other specialized tribunals. This Article adds an empirical justification. If immigration judges with existing civil service protections still alter behavior significantly across presidential eras, stronger institutional separation is not a luxury. It is a plausible response to demonstrated design failure.</w:t>
      </w:r>
    </w:p>
    <w:p w14:paraId="7E996309" w14:textId="77777777" w:rsidR="00D76C6E" w:rsidRDefault="00D76C6E" w:rsidP="00D76C6E">
      <w:pPr>
        <w:spacing w:line="480" w:lineRule="auto"/>
        <w:ind w:firstLine="720"/>
      </w:pPr>
      <w:r>
        <w:lastRenderedPageBreak/>
        <w:t>A robust Article I court would include several features. Judges would have fixed terms, be removable only for good cause through a body insulated from ordinary political supervision, and exercise adjudicative authority free from direct control by the Attorney General. Case assignments and internal discipline would be handled by judicial rather than prosecutorial or executive management mechanisms. Appellate review would be regularized and separated from unilateral agency head intervention. These changes would not eliminate politics from immigration law; appointments to the court would still reflect political choices, and Congress would retain power over substantive law. But they would reduce the capacity of a single administration to reshape adjudicative outcomes rapidly through management alone.</w:t>
      </w:r>
    </w:p>
    <w:p w14:paraId="5D794010" w14:textId="77777777" w:rsidR="00D76C6E" w:rsidRDefault="00D76C6E" w:rsidP="00D76C6E">
      <w:pPr>
        <w:spacing w:line="480" w:lineRule="auto"/>
        <w:ind w:firstLine="720"/>
      </w:pPr>
      <w:r>
        <w:t>Short of full Article I conversion, Congress could still impose meaningful insulation measures. It could narrow or abolish the Attorney General’s certification authority, limiting case-specific interventions from the top. It could codify randomized case assignment with narrow exceptions, reducing opportunities for strategic distribution of cases. It could restrict the use of adjudicator productivity metrics that emphasize speed over quality. It could create a more independent review or inspector mechanism for EOIR adjudication, giving external bodies greater access to performance and disparity data.</w:t>
      </w:r>
    </w:p>
    <w:p w14:paraId="0F9B7FF4" w14:textId="77777777" w:rsidR="00D76C6E" w:rsidRDefault="00D76C6E" w:rsidP="00D76C6E">
      <w:pPr>
        <w:spacing w:line="480" w:lineRule="auto"/>
        <w:ind w:firstLine="720"/>
      </w:pPr>
      <w:r>
        <w:t>These reforms would aim at a specific target: reducing the extent to which the same adjudicator’s outcomes shift when presidential administrations change. That is why the temporal lens matters. It tells reformers what success should look like. The sign of meaningful insulation would not simply be more dignified rhetoric or more formal protections on paper. It would be lower era-driven volatility in adjudicative behavior after controlling for lawful changes in case mix and policy.</w:t>
      </w:r>
    </w:p>
    <w:p w14:paraId="5B887AD2" w14:textId="77777777" w:rsidR="00D76C6E" w:rsidRDefault="00D76C6E" w:rsidP="00D76C6E">
      <w:pPr>
        <w:spacing w:before="360" w:after="120" w:line="480" w:lineRule="auto"/>
      </w:pPr>
      <w:r>
        <w:rPr>
          <w:b/>
          <w:bCs/>
          <w:i/>
          <w:iCs/>
        </w:rPr>
        <w:t>H. Regulation and Transparency Reforms</w:t>
      </w:r>
    </w:p>
    <w:p w14:paraId="1DDCB98F" w14:textId="77777777" w:rsidR="00D76C6E" w:rsidRDefault="00D76C6E" w:rsidP="00D76C6E">
      <w:pPr>
        <w:spacing w:line="480" w:lineRule="auto"/>
        <w:ind w:firstLine="720"/>
      </w:pPr>
      <w:r>
        <w:lastRenderedPageBreak/>
        <w:t>If the political branches are unwilling to adopt full structural insulation, the next best option is to regulate presidential influence more openly. This means shifting the locus of control from hidden mechanisms to visible ones.</w:t>
      </w:r>
    </w:p>
    <w:p w14:paraId="37C772AC" w14:textId="77777777" w:rsidR="00D76C6E" w:rsidRDefault="00D76C6E" w:rsidP="00D76C6E">
      <w:pPr>
        <w:spacing w:line="480" w:lineRule="auto"/>
        <w:ind w:firstLine="720"/>
      </w:pPr>
      <w:r>
        <w:t>One important reform would be systematic public reporting. EOIR or an external oversight body should publish regular data on removal rates, relief grants, administrative closure, continuances, in absentia decisions, and reversal rates, broken down by court, judge cohort, detention status, representation status, and time period. Such reporting would not itself cure political influence, but it would make large shifts harder to hide and easier to evaluate. A presidential transition followed by a sharp change in outcomes would then demand explanation.</w:t>
      </w:r>
    </w:p>
    <w:p w14:paraId="79871483" w14:textId="77777777" w:rsidR="00D76C6E" w:rsidRDefault="00D76C6E" w:rsidP="00D76C6E">
      <w:pPr>
        <w:spacing w:line="480" w:lineRule="auto"/>
        <w:ind w:firstLine="720"/>
      </w:pPr>
      <w:r>
        <w:t>A second reform would require formal explanation for major system-wide shifts. If aggregate removal rates or grant rates move sharply after an administration takes office, EOIR and DHS should identify which policy instruments are expected to produce that change: enforcement priorities, litigating positions, staffing decisions, precedent, or regulations. That kind of explanation would not necessarily invalidate the shift, but it would force the government to connect outcome changes to lawful administrative action rather than leaving them as unexplained behavioral phenomena.</w:t>
      </w:r>
    </w:p>
    <w:p w14:paraId="4E2AD23C" w14:textId="77777777" w:rsidR="00D76C6E" w:rsidRDefault="00D76C6E" w:rsidP="00D76C6E">
      <w:pPr>
        <w:spacing w:line="480" w:lineRule="auto"/>
        <w:ind w:firstLine="720"/>
      </w:pPr>
      <w:r>
        <w:t>Third, management tools should be brought within a transparency framework. Performance metrics, docket directives, internal quality review protocols, and algorithmic or technology-based decision supports should be publicly identified and subject to oversight to the extent compatible with adjudicative confidentiality. Hausman’s work on algorithmic detention tools suggests how powerful unseen administrative instruments can be in moving outcomes.</w:t>
      </w:r>
      <w:r>
        <w:rPr>
          <w:rStyle w:val="FootnoteReference"/>
          <w:rFonts w:eastAsiaTheme="majorEastAsia"/>
        </w:rPr>
        <w:footnoteReference w:id="141"/>
      </w:r>
      <w:r>
        <w:t xml:space="preserve"> </w:t>
      </w:r>
      <w:r>
        <w:lastRenderedPageBreak/>
        <w:t>There is no reason to assume immigration court management tools are normatively benign merely because they are less visible than rules or precedents.</w:t>
      </w:r>
    </w:p>
    <w:p w14:paraId="5BD0302C" w14:textId="77777777" w:rsidR="00D76C6E" w:rsidRDefault="00D76C6E" w:rsidP="00D76C6E">
      <w:pPr>
        <w:spacing w:line="480" w:lineRule="auto"/>
        <w:ind w:firstLine="720"/>
      </w:pPr>
      <w:r>
        <w:t>Fourth, appellate and quality review mechanisms should be redesigned to correct rather than reproduce disparities. Hausman has shown that the current appellate process does not adequately correct the harshest disparities because the cases most in need of correction are often least likely to be appealed.</w:t>
      </w:r>
      <w:r>
        <w:rPr>
          <w:rStyle w:val="FootnoteReference"/>
          <w:rFonts w:eastAsiaTheme="majorEastAsia"/>
        </w:rPr>
        <w:footnoteReference w:id="142"/>
      </w:r>
      <w:r>
        <w:t xml:space="preserve"> Random sampling of decisions for review, less deferential scrutiny of certain categories of adjudicative inconsistency, and anonymized publication of quality findings could provide a partial check on politically mediated shifts.</w:t>
      </w:r>
    </w:p>
    <w:p w14:paraId="5CD4E2CC" w14:textId="77777777" w:rsidR="00D76C6E" w:rsidRDefault="00D76C6E" w:rsidP="00D76C6E">
      <w:pPr>
        <w:spacing w:line="480" w:lineRule="auto"/>
        <w:ind w:firstLine="720"/>
      </w:pPr>
      <w:r>
        <w:t>Finally, any regulatory model should distinguish lawful policy transmission from illicit decisional steering. Administrations are entitled to set enforcement priorities and pursue statutory interpretations within the bounds of law. They are not entitled, normatively at least, to obtain substantive shifts by creating informal pressure for adjudicators to decide differently without public justification. A transparency-based regime would make that distinction more administrable.</w:t>
      </w:r>
    </w:p>
    <w:p w14:paraId="6E0D8BA4" w14:textId="77777777" w:rsidR="00D76C6E" w:rsidRDefault="00D76C6E" w:rsidP="00D76C6E">
      <w:pPr>
        <w:spacing w:before="360" w:after="120" w:line="480" w:lineRule="auto"/>
      </w:pPr>
      <w:r>
        <w:rPr>
          <w:b/>
          <w:bCs/>
          <w:i/>
          <w:iCs/>
        </w:rPr>
        <w:t>I. Comparative and Cross-Agency Implications</w:t>
      </w:r>
    </w:p>
    <w:p w14:paraId="18B30320" w14:textId="77777777" w:rsidR="00D76C6E" w:rsidRDefault="00D76C6E" w:rsidP="00D76C6E">
      <w:pPr>
        <w:spacing w:line="480" w:lineRule="auto"/>
        <w:ind w:firstLine="720"/>
      </w:pPr>
      <w:r>
        <w:t xml:space="preserve">The significance of this analysis is not limited to EOIR. Immigration courts may be the most dramatic example of executive branch adjudication under political stress, but they are not unique in facing the court–agency tension. Social Security adjudication, veterans’ benefits adjudication, labor and benefits tribunals, and other administrative courts all sit somewhere between the judicial and administrative poles. All of them face the question whether adjudicators </w:t>
      </w:r>
      <w:r>
        <w:lastRenderedPageBreak/>
        <w:t>are primarily neutral appliers of law, instruments of policy implementation, or some unstable mixture of both.</w:t>
      </w:r>
    </w:p>
    <w:p w14:paraId="268B8F5C" w14:textId="77777777" w:rsidR="00D76C6E" w:rsidRDefault="00D76C6E" w:rsidP="00D76C6E">
      <w:pPr>
        <w:spacing w:line="480" w:lineRule="auto"/>
        <w:ind w:firstLine="720"/>
      </w:pPr>
      <w:r>
        <w:t>The framework developed here can travel. The relevant inquiry in each setting is not only whether adjudicators differ from one another or whether appointment method matters. It is whether the same adjudicators change behavior when presidential administrations change, and through what mechanisms. Some systems may exhibit stronger temporal independence than immigration courts; others may turn out to be similarly vulnerable. The value of the EOIR findings is that they supply a template for measurement.</w:t>
      </w:r>
    </w:p>
    <w:p w14:paraId="530780C1" w14:textId="77777777" w:rsidR="00D76C6E" w:rsidRDefault="00D76C6E" w:rsidP="00D76C6E">
      <w:pPr>
        <w:spacing w:line="480" w:lineRule="auto"/>
        <w:ind w:firstLine="720"/>
      </w:pPr>
      <w:r>
        <w:t>That comparative potential reinforces the central normative point. Independence for executive branch courts should not be defined solely by formal tenure protections or titles. It should be evaluated behaviorally, with attention to temporal responsiveness and to the channels through which political control is exercised. A system that looks insulated on paper but swings sharply across presidential eras may be less independent than one with thinner formal protections but stronger stability in practice.</w:t>
      </w:r>
    </w:p>
    <w:p w14:paraId="58792259" w14:textId="77777777" w:rsidR="00D76C6E" w:rsidRDefault="00D76C6E" w:rsidP="00D76C6E">
      <w:pPr>
        <w:spacing w:before="480" w:after="240" w:line="480" w:lineRule="auto"/>
        <w:jc w:val="center"/>
      </w:pPr>
      <w:r>
        <w:rPr>
          <w:b/>
          <w:bCs/>
          <w:caps/>
        </w:rPr>
        <w:t>VIII. Conclusion</w:t>
      </w:r>
    </w:p>
    <w:p w14:paraId="6376ABEA" w14:textId="77777777" w:rsidR="005132E6" w:rsidRDefault="005132E6" w:rsidP="005132E6">
      <w:pPr>
        <w:spacing w:line="480" w:lineRule="auto"/>
        <w:ind w:firstLine="720"/>
      </w:pPr>
      <w:r>
        <w:t>The empirical contribution of this Article is to show that immigration adjudication is not merely a story of judge identity. It is also a story of presidential era. The same judges change behavior when administrations change, and those shifts are large enough to raise serious questions about the institutional design of EOIR. That finding does not prove that all political responsiveness is illegitimate, nor does it suggest that adjudication can ever be entirely insulated from changes in law, policy, or case mix. But it does show that the current system lacks an adequate theory of independence.</w:t>
      </w:r>
    </w:p>
    <w:p w14:paraId="5AAE1948" w14:textId="77777777" w:rsidR="005132E6" w:rsidRDefault="005132E6" w:rsidP="005132E6">
      <w:pPr>
        <w:spacing w:line="480" w:lineRule="auto"/>
        <w:ind w:firstLine="720"/>
      </w:pPr>
      <w:r>
        <w:lastRenderedPageBreak/>
        <w:t>A more coherent design would force a choice. If immigration courts are to be genuine courts, they need stronger insulation from presidential management and clearer separation from executive policy implementation. If they are instead to remain policy-responsive executive tribunals, then that responsiveness should be made transparent, reviewable, and disciplined through ordinary administrative law forms. What is least defensible is the status quo: a system that claims adjudicative neutrality while exhibiting substantial, partly hidden responsiveness to the political cycle.</w:t>
      </w:r>
    </w:p>
    <w:p w14:paraId="37A45F75" w14:textId="04887E9D" w:rsidR="005132E6" w:rsidRDefault="005132E6" w:rsidP="005132E6">
      <w:pPr>
        <w:spacing w:line="480" w:lineRule="auto"/>
        <w:ind w:firstLine="720"/>
      </w:pPr>
      <w:r>
        <w:t>The broader lesson is methodological as well as normative. Debates about administrative adjudication should no longer be limited to static questions of appointment and tenure. They should ask how much adjudicative behavior changes over time as presidential administrations come and go. Temporal responsiveness is not a side issue. It is a central measure of whether executive branch courts can deliver the kind of independent judgment that the rule of law demands.</w:t>
      </w:r>
    </w:p>
    <w:p w14:paraId="3A27A12D" w14:textId="729ACC81" w:rsidR="00D76C6E" w:rsidRDefault="00D76C6E" w:rsidP="00D76C6E">
      <w:pPr>
        <w:spacing w:line="480" w:lineRule="auto"/>
        <w:ind w:firstLine="720"/>
      </w:pPr>
      <w:r>
        <w:t>This Article has presented preliminary evidence that the administration currently in power is at least as powerful a determinant of immigration court outcomes as the appointing administration's political orientation. Trump-appointed judges became measurably more lenient during the Biden years, relative to their own prior behavior and relative to the contemporaneous behavior of other cohorts. If the triple-difference model's predictions are correct, they are now reverting—though the second-term data are too sparse for definitive inference.</w:t>
      </w:r>
      <w:r>
        <w:rPr>
          <w:rStyle w:val="FootnoteReference"/>
          <w:rFonts w:eastAsiaTheme="majorEastAsia"/>
        </w:rPr>
        <w:footnoteReference w:id="143"/>
      </w:r>
    </w:p>
    <w:p w14:paraId="1D5F03F5" w14:textId="77777777" w:rsidR="00D76C6E" w:rsidRDefault="00D76C6E" w:rsidP="00D76C6E">
      <w:pPr>
        <w:spacing w:line="480" w:lineRule="auto"/>
        <w:ind w:firstLine="720"/>
      </w:pPr>
      <w:r>
        <w:t xml:space="preserve">The normative implications of these findings are significant. If immigration adjudication is substantially responsive to the current administration in a way that the formal adjudicatory </w:t>
      </w:r>
      <w:r>
        <w:lastRenderedPageBreak/>
        <w:t>record does not reflect, then the procedural protections of removal proceedings—the right to counsel, the right to present evidence, the right to appeal—are doing less work than the legal framework assumes. The case for structural reform of immigration courts is strengthened considerably by the type of behavioral evidence this Article provides.</w:t>
      </w:r>
    </w:p>
    <w:p w14:paraId="612781DA" w14:textId="77777777" w:rsidR="00D76C6E" w:rsidRDefault="00D76C6E" w:rsidP="00D76C6E">
      <w:pPr>
        <w:spacing w:line="480" w:lineRule="auto"/>
        <w:ind w:firstLine="720"/>
      </w:pPr>
      <w:r>
        <w:t>The empirical patterns documented here are consistent with a model of immigration courts as policy-responsive administrative tribunals rather than independent judicial institutions. While individual judges may exercise discretion at the margins, the dominant forces driving variation in removal rates appear to be the broader policy regimes established by presidential administrations. Understanding immigration court outcomes therefore requires attention not only to the characteristics of individual judges but also to the institutional structure and policy environment in which those judges operate.</w:t>
      </w:r>
      <w:r>
        <w:rPr>
          <w:rStyle w:val="FootnoteReference"/>
          <w:rFonts w:eastAsiaTheme="majorEastAsia"/>
        </w:rPr>
        <w:footnoteReference w:id="144"/>
      </w:r>
    </w:p>
    <w:p w14:paraId="43AD7CB5" w14:textId="77777777" w:rsidR="00D76C6E" w:rsidRDefault="00D76C6E" w:rsidP="00D76C6E">
      <w:pPr>
        <w:spacing w:line="480" w:lineRule="auto"/>
        <w:ind w:firstLine="720"/>
      </w:pPr>
      <w:r>
        <w:t>Future work should extend the analysis to additional outcome measures: BIA reversal rates, in absentia removal rates, and grant rates disaggregated by nationality and relief type. It should also examine the role of specific institutional mechanisms—informal performance metrics, supervisory guidance, EOIR management communications—in transmitting executive preferences to individual adjudicators. And it should extend the analytical framework to other bodies of administrative adjudicators, to assess whether the immigration court findings reflect a more general pathology of executive-branch adjudication.</w:t>
      </w:r>
      <w:r>
        <w:rPr>
          <w:rStyle w:val="FootnoteReference"/>
          <w:rFonts w:eastAsiaTheme="majorEastAsia"/>
        </w:rPr>
        <w:footnoteReference w:id="145"/>
      </w:r>
    </w:p>
    <w:p w14:paraId="719616E6" w14:textId="77777777" w:rsidR="00D76C6E" w:rsidRDefault="00D76C6E" w:rsidP="00D76C6E">
      <w:pPr>
        <w:spacing w:line="480" w:lineRule="auto"/>
        <w:ind w:firstLine="720"/>
      </w:pPr>
      <w:r>
        <w:lastRenderedPageBreak/>
        <w:t>The data will speak most clearly once the second Trump term has produced a full year's worth of decisions. Until then, the preliminary findings presented here support a cautious but significant conclusion: immigration adjudication in the United States is more politically responsive than the rule of law requires, and that responsiveness has immediate, measurable consequences for the millions of noncitizens whose fates are decided in immigration courts every year.</w:t>
      </w:r>
      <w:r>
        <w:rPr>
          <w:rStyle w:val="FootnoteReference"/>
          <w:rFonts w:eastAsiaTheme="majorEastAsia"/>
        </w:rPr>
        <w:footnoteReference w:id="146"/>
      </w:r>
      <w:r>
        <w:rPr>
          <w:rStyle w:val="FootnoteReference"/>
          <w:rFonts w:eastAsiaTheme="majorEastAsia"/>
        </w:rPr>
        <w:footnoteReference w:id="147"/>
      </w:r>
    </w:p>
    <w:p w14:paraId="25F96C05" w14:textId="77777777" w:rsidR="00D76C6E" w:rsidRDefault="00D76C6E" w:rsidP="00D76C6E">
      <w:pPr>
        <w:spacing w:after="240"/>
      </w:pPr>
    </w:p>
    <w:p w14:paraId="6E3D7263" w14:textId="77777777" w:rsidR="0068436E" w:rsidRDefault="0068436E"/>
    <w:sectPr w:rsidR="0068436E" w:rsidSect="00D76C6E">
      <w:footerReference w:type="default" r:id="rId6"/>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0E789" w14:textId="77777777" w:rsidR="00EB12AF" w:rsidRDefault="00EB12AF" w:rsidP="00D76C6E">
      <w:r>
        <w:separator/>
      </w:r>
    </w:p>
  </w:endnote>
  <w:endnote w:type="continuationSeparator" w:id="0">
    <w:p w14:paraId="29F512EE" w14:textId="77777777" w:rsidR="00EB12AF" w:rsidRDefault="00EB12AF" w:rsidP="00D7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48CD" w14:textId="77777777" w:rsidR="00D76C6E" w:rsidRDefault="00D76C6E">
    <w:pPr>
      <w:jc w:val="center"/>
    </w:pPr>
    <w:r>
      <w:rPr>
        <w:sz w:val="20"/>
        <w:szCs w:val="20"/>
      </w:rPr>
      <w:fldChar w:fldCharType="begin"/>
    </w:r>
    <w:r>
      <w:rPr>
        <w:sz w:val="20"/>
        <w:szCs w:val="20"/>
      </w:rPr>
      <w:instrText>PAGE</w:instrText>
    </w:r>
    <w:r>
      <w:rPr>
        <w:sz w:val="20"/>
        <w:szCs w:val="20"/>
      </w:rPr>
      <w:fldChar w:fldCharType="separate"/>
    </w:r>
    <w:r>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A1747" w14:textId="77777777" w:rsidR="00EB12AF" w:rsidRDefault="00EB12AF" w:rsidP="00D76C6E">
      <w:r>
        <w:separator/>
      </w:r>
    </w:p>
  </w:footnote>
  <w:footnote w:type="continuationSeparator" w:id="0">
    <w:p w14:paraId="2DBD7CED" w14:textId="77777777" w:rsidR="00EB12AF" w:rsidRDefault="00EB12AF" w:rsidP="00D76C6E">
      <w:r>
        <w:continuationSeparator/>
      </w:r>
    </w:p>
  </w:footnote>
  <w:footnote w:id="1">
    <w:p w14:paraId="11057967" w14:textId="77777777" w:rsidR="00D76C6E" w:rsidRDefault="00D76C6E" w:rsidP="00D76C6E">
      <w:pPr>
        <w:ind w:firstLine="360"/>
      </w:pPr>
      <w:r>
        <w:rPr>
          <w:rStyle w:val="FootnoteReference"/>
          <w:rFonts w:eastAsiaTheme="majorEastAsia"/>
        </w:rPr>
        <w:footnoteRef/>
      </w:r>
      <w:r>
        <w:rPr>
          <w:sz w:val="20"/>
          <w:szCs w:val="20"/>
        </w:rPr>
        <w:t>8 U.S.C. § 1229a(b)(1) (2018) (authorizing the immigration judge to "conduct proceedings for deciding the inadmissibility or deportability of an alien").</w:t>
      </w:r>
    </w:p>
  </w:footnote>
  <w:footnote w:id="2">
    <w:p w14:paraId="1A0F2755" w14:textId="77777777" w:rsidR="00D76C6E" w:rsidRDefault="00D76C6E" w:rsidP="00D76C6E">
      <w:pPr>
        <w:ind w:firstLine="360"/>
      </w:pPr>
      <w:r>
        <w:rPr>
          <w:rStyle w:val="FootnoteReference"/>
          <w:rFonts w:eastAsiaTheme="majorEastAsia"/>
        </w:rPr>
        <w:footnoteRef/>
      </w:r>
      <w:r>
        <w:rPr>
          <w:sz w:val="20"/>
          <w:szCs w:val="20"/>
        </w:rPr>
        <w:t xml:space="preserve">Matter of C-B-, 25 I. &amp; N. Dec. 888, 889 (BIA 2012) (reiterating that immigration judges exercise "independent judgment" in adjudications); </w:t>
      </w:r>
      <w:r>
        <w:rPr>
          <w:i/>
          <w:iCs/>
          <w:sz w:val="20"/>
          <w:szCs w:val="20"/>
        </w:rPr>
        <w:t xml:space="preserve">see also </w:t>
      </w:r>
      <w:r>
        <w:rPr>
          <w:sz w:val="20"/>
          <w:szCs w:val="20"/>
        </w:rPr>
        <w:t>Matter of Hashmi, 24 I. &amp; N. Dec. 785 (BIA 2009).</w:t>
      </w:r>
    </w:p>
  </w:footnote>
  <w:footnote w:id="3">
    <w:p w14:paraId="5264A339" w14:textId="77777777" w:rsidR="00D76C6E" w:rsidRDefault="00D76C6E" w:rsidP="00D76C6E">
      <w:pPr>
        <w:ind w:firstLine="360"/>
      </w:pPr>
      <w:r>
        <w:rPr>
          <w:rStyle w:val="FootnoteReference"/>
          <w:rFonts w:eastAsiaTheme="majorEastAsia"/>
        </w:rPr>
        <w:footnoteRef/>
      </w:r>
      <w:r>
        <w:rPr>
          <w:sz w:val="20"/>
          <w:szCs w:val="20"/>
        </w:rPr>
        <w:t>The Attorney General holds authority to appoint and discipline immigration judges. 8 C.F.R. § 1003.10(a) (2023). EOIR is housed within the Department of Justice, making IJs executive branch officials rather than Article III judges.</w:t>
      </w:r>
    </w:p>
  </w:footnote>
  <w:footnote w:id="4">
    <w:p w14:paraId="79D69626" w14:textId="601F3098" w:rsidR="00D76C6E" w:rsidRDefault="00D76C6E" w:rsidP="00F456C7">
      <w:pPr>
        <w:ind w:firstLine="360"/>
      </w:pPr>
      <w:r>
        <w:rPr>
          <w:rStyle w:val="FootnoteReference"/>
          <w:rFonts w:eastAsiaTheme="majorEastAsia"/>
        </w:rPr>
        <w:footnoteRef/>
      </w:r>
      <w:r>
        <w:rPr>
          <w:i/>
          <w:iCs/>
          <w:sz w:val="20"/>
          <w:szCs w:val="20"/>
        </w:rPr>
        <w:t>See</w:t>
      </w:r>
      <w:r w:rsidR="00F456C7">
        <w:rPr>
          <w:i/>
          <w:iCs/>
          <w:sz w:val="20"/>
          <w:szCs w:val="20"/>
        </w:rPr>
        <w:t>, e.g.</w:t>
      </w:r>
      <w:r w:rsidR="00F456C7">
        <w:rPr>
          <w:sz w:val="20"/>
          <w:szCs w:val="20"/>
        </w:rPr>
        <w:t>,</w:t>
      </w:r>
      <w:r>
        <w:rPr>
          <w:i/>
          <w:iCs/>
          <w:sz w:val="20"/>
          <w:szCs w:val="20"/>
        </w:rPr>
        <w:t xml:space="preserve"> </w:t>
      </w:r>
      <w:r w:rsidR="00F456C7">
        <w:rPr>
          <w:sz w:val="20"/>
          <w:szCs w:val="20"/>
        </w:rPr>
        <w:t xml:space="preserve">Jaya Ramji-Nogales, Andrew I. Schoenholtz &amp; Philip G. Schrag, </w:t>
      </w:r>
      <w:r w:rsidR="00F456C7">
        <w:rPr>
          <w:i/>
          <w:iCs/>
          <w:sz w:val="20"/>
          <w:szCs w:val="20"/>
        </w:rPr>
        <w:t>Refugee Roulette: Disparities in Asylum Adjudication</w:t>
      </w:r>
      <w:r w:rsidR="00F456C7">
        <w:rPr>
          <w:sz w:val="20"/>
          <w:szCs w:val="20"/>
        </w:rPr>
        <w:t xml:space="preserve">, 60 </w:t>
      </w:r>
      <w:r w:rsidR="00F456C7">
        <w:rPr>
          <w:smallCaps/>
          <w:sz w:val="20"/>
          <w:szCs w:val="20"/>
        </w:rPr>
        <w:t>Stan. L. Rev.</w:t>
      </w:r>
      <w:r w:rsidR="00F456C7">
        <w:rPr>
          <w:sz w:val="20"/>
          <w:szCs w:val="20"/>
        </w:rPr>
        <w:t xml:space="preserve"> 295, 297 (2007) (documenting dramatic variation across immigration judges); </w:t>
      </w:r>
      <w:r>
        <w:rPr>
          <w:sz w:val="20"/>
          <w:szCs w:val="20"/>
        </w:rPr>
        <w:t xml:space="preserve">Ingrid V. </w:t>
      </w:r>
      <w:proofErr w:type="spellStart"/>
      <w:r>
        <w:rPr>
          <w:sz w:val="20"/>
          <w:szCs w:val="20"/>
        </w:rPr>
        <w:t>Eagly</w:t>
      </w:r>
      <w:proofErr w:type="spellEnd"/>
      <w:r>
        <w:rPr>
          <w:sz w:val="20"/>
          <w:szCs w:val="20"/>
        </w:rPr>
        <w:t xml:space="preserve"> &amp; Steven Shafer, </w:t>
      </w:r>
      <w:r>
        <w:rPr>
          <w:i/>
          <w:iCs/>
          <w:sz w:val="20"/>
          <w:szCs w:val="20"/>
        </w:rPr>
        <w:t>A National Study of Access to Counsel in Immigration Court</w:t>
      </w:r>
      <w:r>
        <w:rPr>
          <w:sz w:val="20"/>
          <w:szCs w:val="20"/>
        </w:rPr>
        <w:t xml:space="preserve">, 164 </w:t>
      </w:r>
      <w:r>
        <w:rPr>
          <w:smallCaps/>
          <w:sz w:val="20"/>
          <w:szCs w:val="20"/>
        </w:rPr>
        <w:t>U. Pa. L. Rev.</w:t>
      </w:r>
      <w:r>
        <w:rPr>
          <w:sz w:val="20"/>
          <w:szCs w:val="20"/>
        </w:rPr>
        <w:t xml:space="preserve"> 1, 5–6 (2015) (documenting the structure and scale of EOIR adjudication)</w:t>
      </w:r>
      <w:r w:rsidR="00F456C7">
        <w:rPr>
          <w:sz w:val="20"/>
          <w:szCs w:val="20"/>
        </w:rPr>
        <w:t xml:space="preserve">; Emily Ryo, </w:t>
      </w:r>
      <w:r w:rsidR="00F456C7">
        <w:rPr>
          <w:i/>
          <w:iCs/>
          <w:sz w:val="20"/>
          <w:szCs w:val="20"/>
        </w:rPr>
        <w:t>Detained: A Study of Immigration Bond Hearings</w:t>
      </w:r>
      <w:r w:rsidR="00F456C7">
        <w:rPr>
          <w:sz w:val="20"/>
          <w:szCs w:val="20"/>
        </w:rPr>
        <w:t xml:space="preserve">, 50 </w:t>
      </w:r>
      <w:r w:rsidR="00F456C7">
        <w:rPr>
          <w:smallCaps/>
          <w:sz w:val="20"/>
          <w:szCs w:val="20"/>
        </w:rPr>
        <w:t>Law &amp; Soc'y Rev.</w:t>
      </w:r>
      <w:r w:rsidR="00F456C7">
        <w:rPr>
          <w:sz w:val="20"/>
          <w:szCs w:val="20"/>
        </w:rPr>
        <w:t xml:space="preserve"> 143, 145 (2016) (finding that judge identity strongly predicts bond hearing outcomes).</w:t>
      </w:r>
    </w:p>
  </w:footnote>
  <w:footnote w:id="5">
    <w:p w14:paraId="548270A0" w14:textId="7383E014" w:rsidR="00F456C7" w:rsidRPr="003E7852" w:rsidRDefault="00F456C7" w:rsidP="00F456C7">
      <w:pPr>
        <w:pStyle w:val="FootnoteText"/>
        <w:ind w:firstLine="360"/>
      </w:pPr>
      <w:r>
        <w:rPr>
          <w:rStyle w:val="FootnoteReference"/>
        </w:rPr>
        <w:footnoteRef/>
      </w:r>
      <w:r>
        <w:rPr>
          <w:i/>
          <w:iCs/>
        </w:rPr>
        <w:t>See</w:t>
      </w:r>
      <w:r>
        <w:t xml:space="preserve"> </w:t>
      </w:r>
      <w:proofErr w:type="gramStart"/>
      <w:r>
        <w:rPr>
          <w:i/>
          <w:iCs/>
        </w:rPr>
        <w:t>infra</w:t>
      </w:r>
      <w:r w:rsidR="003E7852">
        <w:rPr>
          <w:i/>
          <w:iCs/>
        </w:rPr>
        <w:t xml:space="preserve"> </w:t>
      </w:r>
      <w:r w:rsidR="003E7852">
        <w:t>Part</w:t>
      </w:r>
      <w:proofErr w:type="gramEnd"/>
      <w:r w:rsidR="003E7852">
        <w:t xml:space="preserve"> _.</w:t>
      </w:r>
    </w:p>
  </w:footnote>
  <w:footnote w:id="6">
    <w:p w14:paraId="37D116BC" w14:textId="77777777" w:rsidR="00D76C6E" w:rsidRDefault="00D76C6E" w:rsidP="00D76C6E">
      <w:pPr>
        <w:ind w:firstLine="360"/>
      </w:pPr>
      <w:r>
        <w:rPr>
          <w:rStyle w:val="FootnoteReference"/>
          <w:rFonts w:eastAsiaTheme="majorEastAsia"/>
        </w:rPr>
        <w:footnoteRef/>
      </w:r>
      <w:r>
        <w:rPr>
          <w:sz w:val="20"/>
          <w:szCs w:val="20"/>
        </w:rPr>
        <w:t xml:space="preserve">The Trump administration hired 443 new immigration judges during its first term, nearly doubling the corps. EOIR FY 2024 Statistics Yearbook, </w:t>
      </w:r>
      <w:r>
        <w:rPr>
          <w:i/>
          <w:iCs/>
          <w:sz w:val="20"/>
          <w:szCs w:val="20"/>
        </w:rPr>
        <w:t>supra note 8</w:t>
      </w:r>
      <w:r>
        <w:rPr>
          <w:sz w:val="20"/>
          <w:szCs w:val="20"/>
        </w:rPr>
        <w:t>, at A-1.</w:t>
      </w:r>
    </w:p>
  </w:footnote>
  <w:footnote w:id="7">
    <w:p w14:paraId="6B620D6D" w14:textId="77777777" w:rsidR="00D76C6E" w:rsidRDefault="00D76C6E" w:rsidP="00D76C6E">
      <w:pPr>
        <w:ind w:firstLine="360"/>
      </w:pPr>
      <w:r>
        <w:rPr>
          <w:rStyle w:val="FootnoteReference"/>
          <w:rFonts w:eastAsiaTheme="majorEastAsia"/>
        </w:rPr>
        <w:footnoteRef/>
      </w:r>
      <w:r>
        <w:rPr>
          <w:sz w:val="20"/>
          <w:szCs w:val="20"/>
        </w:rPr>
        <w:t>EOIR, FY 2024 Statistics Yearbook A-3 (2025) [hereinafter EOIR FY 2024 Statistics] (reporting that immigration judges issued over one million decisions during fiscal year 2024 alone).</w:t>
      </w:r>
    </w:p>
  </w:footnote>
  <w:footnote w:id="8">
    <w:p w14:paraId="2B09315F" w14:textId="3905CCC6" w:rsidR="00F456C7" w:rsidRDefault="00F456C7" w:rsidP="00F456C7">
      <w:pPr>
        <w:pStyle w:val="FootnoteText"/>
        <w:ind w:firstLine="360"/>
      </w:pPr>
      <w:r>
        <w:rPr>
          <w:rStyle w:val="FootnoteReference"/>
        </w:rPr>
        <w:footnoteRef/>
      </w:r>
      <w:r>
        <w:t xml:space="preserve">For earlier appointed judges, press releases are unavailable. I would often find this information in obituaries or biographies on law firm websites.  </w:t>
      </w:r>
    </w:p>
  </w:footnote>
  <w:footnote w:id="9">
    <w:p w14:paraId="2BA9F45A" w14:textId="77777777" w:rsidR="00D76C6E" w:rsidRDefault="00D76C6E" w:rsidP="00D76C6E">
      <w:pPr>
        <w:ind w:firstLine="360"/>
      </w:pPr>
      <w:r>
        <w:rPr>
          <w:rStyle w:val="FootnoteReference"/>
          <w:rFonts w:eastAsiaTheme="majorEastAsia"/>
        </w:rPr>
        <w:footnoteRef/>
      </w:r>
      <w:r>
        <w:rPr>
          <w:i/>
          <w:iCs/>
          <w:sz w:val="20"/>
          <w:szCs w:val="20"/>
        </w:rPr>
        <w:t xml:space="preserve">See </w:t>
      </w:r>
      <w:proofErr w:type="gramStart"/>
      <w:r>
        <w:rPr>
          <w:i/>
          <w:iCs/>
          <w:sz w:val="20"/>
          <w:szCs w:val="20"/>
        </w:rPr>
        <w:t xml:space="preserve">infra </w:t>
      </w:r>
      <w:r w:rsidRPr="003E7852">
        <w:rPr>
          <w:sz w:val="20"/>
          <w:szCs w:val="20"/>
        </w:rPr>
        <w:t>Part</w:t>
      </w:r>
      <w:proofErr w:type="gramEnd"/>
      <w:r w:rsidRPr="003E7852">
        <w:rPr>
          <w:sz w:val="20"/>
          <w:szCs w:val="20"/>
        </w:rPr>
        <w:t xml:space="preserve"> V.B</w:t>
      </w:r>
      <w:r>
        <w:rPr>
          <w:sz w:val="20"/>
          <w:szCs w:val="20"/>
        </w:rPr>
        <w:t xml:space="preserve"> (describing the triple-difference identification strategy).</w:t>
      </w:r>
    </w:p>
  </w:footnote>
  <w:footnote w:id="10">
    <w:p w14:paraId="320FEDCC" w14:textId="77777777" w:rsidR="00D76C6E" w:rsidRDefault="00D76C6E" w:rsidP="00D76C6E">
      <w:pPr>
        <w:ind w:firstLine="360"/>
      </w:pPr>
      <w:r>
        <w:rPr>
          <w:rStyle w:val="FootnoteReference"/>
          <w:rFonts w:eastAsiaTheme="majorEastAsia"/>
        </w:rPr>
        <w:footnoteRef/>
      </w:r>
      <w:r>
        <w:rPr>
          <w:sz w:val="20"/>
          <w:szCs w:val="20"/>
        </w:rPr>
        <w:t>8 C.F.R. § 1003.14 (2023). The NTA is served on the noncitizen at their last known address. 8 U.S.C. § 1229(a)(1) (2018).</w:t>
      </w:r>
    </w:p>
  </w:footnote>
  <w:footnote w:id="11">
    <w:p w14:paraId="2822816E" w14:textId="77777777" w:rsidR="00D76C6E" w:rsidRDefault="00D76C6E" w:rsidP="00D76C6E">
      <w:pPr>
        <w:ind w:firstLine="360"/>
      </w:pPr>
      <w:r>
        <w:rPr>
          <w:rStyle w:val="FootnoteReference"/>
          <w:rFonts w:eastAsiaTheme="majorEastAsia"/>
        </w:rPr>
        <w:footnoteRef/>
      </w:r>
      <w:r>
        <w:rPr>
          <w:sz w:val="20"/>
          <w:szCs w:val="20"/>
        </w:rPr>
        <w:t>Master calendar hearings are group proceedings at which the IJ schedules individual cases and takes administrative action. 8 C.F.R. § 1003.18 (2023).</w:t>
      </w:r>
    </w:p>
  </w:footnote>
  <w:footnote w:id="12">
    <w:p w14:paraId="4ECC1607" w14:textId="77777777" w:rsidR="00D76C6E" w:rsidRDefault="00D76C6E" w:rsidP="00D76C6E">
      <w:pPr>
        <w:ind w:firstLine="360"/>
      </w:pPr>
      <w:r>
        <w:rPr>
          <w:rStyle w:val="FootnoteReference"/>
          <w:rFonts w:eastAsiaTheme="majorEastAsia"/>
        </w:rPr>
        <w:footnoteRef/>
      </w:r>
      <w:r>
        <w:rPr>
          <w:sz w:val="20"/>
          <w:szCs w:val="20"/>
        </w:rPr>
        <w:t>Individual hearings involve witness testimony, cross-examination, and documentary evidence. 8 U.S.C. § 1229a(b)(3) (2018). Due process protections attach at this stage.</w:t>
      </w:r>
    </w:p>
  </w:footnote>
  <w:footnote w:id="13">
    <w:p w14:paraId="0675E5CF" w14:textId="77777777" w:rsidR="00D76C6E" w:rsidRDefault="00D76C6E" w:rsidP="00D76C6E">
      <w:pPr>
        <w:ind w:firstLine="360"/>
      </w:pPr>
      <w:r>
        <w:rPr>
          <w:rStyle w:val="FootnoteReference"/>
          <w:rFonts w:eastAsiaTheme="majorEastAsia"/>
        </w:rPr>
        <w:footnoteRef/>
      </w:r>
      <w:r>
        <w:rPr>
          <w:sz w:val="20"/>
          <w:szCs w:val="20"/>
        </w:rPr>
        <w:t>8 U.S.C. § 1229a(b)(4) (2018) (right to counsel at no expense to the government, reasonable time to examine evidence, and right to appeal).</w:t>
      </w:r>
    </w:p>
  </w:footnote>
  <w:footnote w:id="14">
    <w:p w14:paraId="73FDF2D0" w14:textId="77777777" w:rsidR="00D76C6E" w:rsidRDefault="00D76C6E" w:rsidP="00D76C6E">
      <w:pPr>
        <w:ind w:firstLine="360"/>
      </w:pPr>
      <w:r>
        <w:rPr>
          <w:rStyle w:val="FootnoteReference"/>
          <w:rFonts w:eastAsiaTheme="majorEastAsia"/>
        </w:rPr>
        <w:footnoteRef/>
      </w:r>
      <w:r>
        <w:rPr>
          <w:sz w:val="20"/>
          <w:szCs w:val="20"/>
        </w:rPr>
        <w:t>8 C.F.R. §§ 1003.1–1003.8 (2023) (BIA composition and jurisdiction). The BIA is a fifteen-member appellate body that issues precedential decisions governing all IJs.</w:t>
      </w:r>
    </w:p>
  </w:footnote>
  <w:footnote w:id="15">
    <w:p w14:paraId="705913BD" w14:textId="77777777" w:rsidR="00D76C6E" w:rsidRDefault="00D76C6E" w:rsidP="00D76C6E">
      <w:pPr>
        <w:ind w:firstLine="360"/>
      </w:pPr>
      <w:r>
        <w:rPr>
          <w:rStyle w:val="FootnoteReference"/>
          <w:rFonts w:eastAsiaTheme="majorEastAsia"/>
        </w:rPr>
        <w:footnoteRef/>
      </w:r>
      <w:r>
        <w:rPr>
          <w:sz w:val="20"/>
          <w:szCs w:val="20"/>
        </w:rPr>
        <w:t xml:space="preserve">8 U.S.C. § 1252 (2018). A circuit court generally reviews the BIA's final order; the IJ's decision merges with the </w:t>
      </w:r>
      <w:proofErr w:type="gramStart"/>
      <w:r>
        <w:rPr>
          <w:sz w:val="20"/>
          <w:szCs w:val="20"/>
        </w:rPr>
        <w:t>BIA's</w:t>
      </w:r>
      <w:proofErr w:type="gramEnd"/>
      <w:r>
        <w:rPr>
          <w:sz w:val="20"/>
          <w:szCs w:val="20"/>
        </w:rPr>
        <w:t xml:space="preserve"> on appeal.</w:t>
      </w:r>
    </w:p>
  </w:footnote>
  <w:footnote w:id="16">
    <w:p w14:paraId="2457355E" w14:textId="77777777" w:rsidR="00D76C6E" w:rsidRDefault="00D76C6E" w:rsidP="00D76C6E">
      <w:pPr>
        <w:ind w:firstLine="360"/>
      </w:pPr>
      <w:r>
        <w:rPr>
          <w:rStyle w:val="FootnoteReference"/>
          <w:rFonts w:eastAsiaTheme="majorEastAsia"/>
        </w:rPr>
        <w:footnoteRef/>
      </w:r>
      <w:r>
        <w:rPr>
          <w:sz w:val="20"/>
          <w:szCs w:val="20"/>
        </w:rPr>
        <w:t xml:space="preserve">8 C.F.R. § 1003.1(h) (2023) (AG authority to certify cases to himself for review). </w:t>
      </w:r>
      <w:r>
        <w:rPr>
          <w:i/>
          <w:iCs/>
          <w:sz w:val="20"/>
          <w:szCs w:val="20"/>
        </w:rPr>
        <w:t xml:space="preserve">See, e.g., </w:t>
      </w:r>
      <w:r>
        <w:rPr>
          <w:sz w:val="20"/>
          <w:szCs w:val="20"/>
        </w:rPr>
        <w:t>Matter of A-B-, 27 I. &amp; N. Dec. 316 (A.G. 2018).</w:t>
      </w:r>
    </w:p>
  </w:footnote>
  <w:footnote w:id="17">
    <w:p w14:paraId="40A72CCB" w14:textId="77777777" w:rsidR="00D76C6E" w:rsidRDefault="00D76C6E" w:rsidP="00D76C6E">
      <w:pPr>
        <w:ind w:firstLine="360"/>
      </w:pPr>
      <w:r>
        <w:rPr>
          <w:rStyle w:val="FootnoteReference"/>
          <w:rFonts w:eastAsiaTheme="majorEastAsia"/>
        </w:rPr>
        <w:footnoteRef/>
      </w:r>
      <w:r>
        <w:rPr>
          <w:sz w:val="20"/>
          <w:szCs w:val="20"/>
        </w:rPr>
        <w:t>8 U.S.C. § 1229c (2018). Voluntary departure requires the noncitizen to leave the United States at their own expense and avoids the multi-year bar to reentry that accompanies a formal removal order. 8 U.S.C. § 1182(a)(9)(A) (2018).</w:t>
      </w:r>
    </w:p>
  </w:footnote>
  <w:footnote w:id="18">
    <w:p w14:paraId="686E32D2" w14:textId="2BDB8AEF" w:rsidR="00D76C6E" w:rsidRDefault="00D76C6E" w:rsidP="00D76C6E">
      <w:pPr>
        <w:ind w:firstLine="360"/>
      </w:pPr>
      <w:r>
        <w:rPr>
          <w:rStyle w:val="FootnoteReference"/>
          <w:rFonts w:eastAsiaTheme="majorEastAsia"/>
        </w:rPr>
        <w:footnoteRef/>
      </w:r>
      <w:r>
        <w:rPr>
          <w:sz w:val="20"/>
          <w:szCs w:val="20"/>
        </w:rPr>
        <w:t xml:space="preserve">8 U.S.C. § 1101(a)(42) (2018) (defining </w:t>
      </w:r>
      <w:r w:rsidR="003E7852">
        <w:rPr>
          <w:sz w:val="20"/>
          <w:szCs w:val="20"/>
        </w:rPr>
        <w:t>“</w:t>
      </w:r>
      <w:r>
        <w:rPr>
          <w:sz w:val="20"/>
          <w:szCs w:val="20"/>
        </w:rPr>
        <w:t>refugee</w:t>
      </w:r>
      <w:r w:rsidR="003E7852">
        <w:rPr>
          <w:sz w:val="20"/>
          <w:szCs w:val="20"/>
        </w:rPr>
        <w:t>”</w:t>
      </w:r>
      <w:r>
        <w:rPr>
          <w:sz w:val="20"/>
          <w:szCs w:val="20"/>
        </w:rPr>
        <w:t xml:space="preserve"> as a person with a well-founded fear of persecution on account of race, religion, nationality, membership in a particular social group, or political opinion). The application must ordinarily be filed within one year of arrival. 8 U.S.C. § 1158(a)(2)(B) (2018).</w:t>
      </w:r>
    </w:p>
  </w:footnote>
  <w:footnote w:id="19">
    <w:p w14:paraId="66A0A2A4" w14:textId="77777777" w:rsidR="00D76C6E" w:rsidRDefault="00D76C6E" w:rsidP="00D76C6E">
      <w:pPr>
        <w:ind w:firstLine="360"/>
      </w:pPr>
      <w:r>
        <w:rPr>
          <w:rStyle w:val="FootnoteReference"/>
          <w:rFonts w:eastAsiaTheme="majorEastAsia"/>
        </w:rPr>
        <w:footnoteRef/>
      </w:r>
      <w:r>
        <w:rPr>
          <w:sz w:val="20"/>
          <w:szCs w:val="20"/>
        </w:rPr>
        <w:t>8 U.S.C. § 1231(b)(3) (2018) (withholding of removal to a country where the noncitizen's life or freedom would be threatened). The standard is more demanding than asylum.</w:t>
      </w:r>
    </w:p>
  </w:footnote>
  <w:footnote w:id="20">
    <w:p w14:paraId="3B8C4D30" w14:textId="77777777" w:rsidR="00D76C6E" w:rsidRDefault="00D76C6E" w:rsidP="00D76C6E">
      <w:pPr>
        <w:ind w:firstLine="360"/>
      </w:pPr>
      <w:r>
        <w:rPr>
          <w:rStyle w:val="FootnoteReference"/>
          <w:rFonts w:eastAsiaTheme="majorEastAsia"/>
        </w:rPr>
        <w:footnoteRef/>
      </w:r>
      <w:r>
        <w:rPr>
          <w:sz w:val="20"/>
          <w:szCs w:val="20"/>
        </w:rPr>
        <w:t>Convention Against Torture and Other Cruel, Inhuman or Degrading Treatment or Punishment art. 3, Dec. 10, 1984, 1465 U.N.T.S. 85 (prohibiting removal to a country where the individual faces a substantial risk of torture).</w:t>
      </w:r>
    </w:p>
  </w:footnote>
  <w:footnote w:id="21">
    <w:p w14:paraId="1079FB97" w14:textId="77777777" w:rsidR="00D76C6E" w:rsidRDefault="00D76C6E" w:rsidP="00D76C6E">
      <w:pPr>
        <w:ind w:firstLine="360"/>
      </w:pPr>
      <w:r>
        <w:rPr>
          <w:rStyle w:val="FootnoteReference"/>
          <w:rFonts w:eastAsiaTheme="majorEastAsia"/>
        </w:rPr>
        <w:footnoteRef/>
      </w:r>
      <w:r>
        <w:rPr>
          <w:sz w:val="20"/>
          <w:szCs w:val="20"/>
        </w:rPr>
        <w:t>8 C.F.R. § 1003.10(a) (2023). IJs are career civil servants in the excepted service, appointed under Schedule A and removable only for cause.</w:t>
      </w:r>
    </w:p>
  </w:footnote>
  <w:footnote w:id="22">
    <w:p w14:paraId="32B57878" w14:textId="77777777" w:rsidR="00D76C6E" w:rsidRDefault="00D76C6E" w:rsidP="00D76C6E">
      <w:pPr>
        <w:ind w:firstLine="360"/>
      </w:pPr>
      <w:r>
        <w:rPr>
          <w:rStyle w:val="FootnoteReference"/>
          <w:rFonts w:eastAsiaTheme="majorEastAsia"/>
        </w:rPr>
        <w:footnoteRef/>
      </w:r>
      <w:r>
        <w:rPr>
          <w:sz w:val="20"/>
          <w:szCs w:val="20"/>
        </w:rPr>
        <w:t>IJs must hold a J.D. or equivalent and be admitted to a state bar. 8 C.F.R. § 1003.10(a) (2023).</w:t>
      </w:r>
    </w:p>
  </w:footnote>
  <w:footnote w:id="23">
    <w:p w14:paraId="76DB584D" w14:textId="77777777" w:rsidR="00D76C6E" w:rsidRDefault="00D76C6E" w:rsidP="00D76C6E">
      <w:pPr>
        <w:ind w:firstLine="360"/>
      </w:pPr>
      <w:r>
        <w:rPr>
          <w:rStyle w:val="FootnoteReference"/>
          <w:rFonts w:eastAsiaTheme="majorEastAsia"/>
        </w:rPr>
        <w:footnoteRef/>
      </w:r>
      <w:r>
        <w:rPr>
          <w:sz w:val="20"/>
          <w:szCs w:val="20"/>
        </w:rPr>
        <w:t xml:space="preserve">The principal-agent framework in administrative law predicts that hierarchically controlled adjudicators will respond to signals from political principals. </w:t>
      </w:r>
      <w:r>
        <w:rPr>
          <w:i/>
          <w:iCs/>
          <w:sz w:val="20"/>
          <w:szCs w:val="20"/>
        </w:rPr>
        <w:t xml:space="preserve">See generally </w:t>
      </w:r>
      <w:r>
        <w:rPr>
          <w:sz w:val="20"/>
          <w:szCs w:val="20"/>
        </w:rPr>
        <w:t xml:space="preserve">Mathew D. McCubbins, Roger G. Noll &amp; Barry R. Weingast, </w:t>
      </w:r>
      <w:r>
        <w:rPr>
          <w:i/>
          <w:iCs/>
          <w:sz w:val="20"/>
          <w:szCs w:val="20"/>
        </w:rPr>
        <w:t>Administrative Procedures as Instruments of Political Control</w:t>
      </w:r>
      <w:r>
        <w:rPr>
          <w:sz w:val="20"/>
          <w:szCs w:val="20"/>
        </w:rPr>
        <w:t xml:space="preserve">, 3 </w:t>
      </w:r>
      <w:r>
        <w:rPr>
          <w:smallCaps/>
          <w:sz w:val="20"/>
          <w:szCs w:val="20"/>
        </w:rPr>
        <w:t>J.L. Econ. &amp; Org.</w:t>
      </w:r>
      <w:r>
        <w:rPr>
          <w:sz w:val="20"/>
          <w:szCs w:val="20"/>
        </w:rPr>
        <w:t xml:space="preserve"> 243, 244–48 (1987) (developing the </w:t>
      </w:r>
      <w:proofErr w:type="spellStart"/>
      <w:r>
        <w:rPr>
          <w:sz w:val="20"/>
          <w:szCs w:val="20"/>
        </w:rPr>
        <w:t>McNollgast</w:t>
      </w:r>
      <w:proofErr w:type="spellEnd"/>
      <w:r>
        <w:rPr>
          <w:sz w:val="20"/>
          <w:szCs w:val="20"/>
        </w:rPr>
        <w:t xml:space="preserve"> framework for how legislators and executives use administrative procedures to constrain agency behavior and shape outcomes). </w:t>
      </w:r>
      <w:r>
        <w:rPr>
          <w:i/>
          <w:iCs/>
          <w:sz w:val="20"/>
          <w:szCs w:val="20"/>
        </w:rPr>
        <w:t xml:space="preserve">See also </w:t>
      </w:r>
      <w:r>
        <w:rPr>
          <w:sz w:val="20"/>
          <w:szCs w:val="20"/>
        </w:rPr>
        <w:t xml:space="preserve">Hausman et al., </w:t>
      </w:r>
      <w:r>
        <w:rPr>
          <w:i/>
          <w:iCs/>
          <w:sz w:val="20"/>
          <w:szCs w:val="20"/>
        </w:rPr>
        <w:t>supra note 27</w:t>
      </w:r>
      <w:r>
        <w:rPr>
          <w:sz w:val="20"/>
          <w:szCs w:val="20"/>
        </w:rPr>
        <w:t>, at 683–87 (applying the principal-agent framework specifically to immigration courts and documenting that executive control operates through multiple channels).</w:t>
      </w:r>
    </w:p>
  </w:footnote>
  <w:footnote w:id="24">
    <w:p w14:paraId="57D77177" w14:textId="77777777" w:rsidR="00D76C6E" w:rsidRDefault="00D76C6E" w:rsidP="00D76C6E">
      <w:pPr>
        <w:ind w:firstLine="360"/>
      </w:pPr>
      <w:r>
        <w:rPr>
          <w:rStyle w:val="FootnoteReference"/>
          <w:rFonts w:eastAsiaTheme="majorEastAsia"/>
        </w:rPr>
        <w:footnoteRef/>
      </w:r>
      <w:r>
        <w:rPr>
          <w:i/>
          <w:iCs/>
          <w:sz w:val="20"/>
          <w:szCs w:val="20"/>
        </w:rPr>
        <w:t xml:space="preserve">See </w:t>
      </w:r>
      <w:r>
        <w:rPr>
          <w:sz w:val="20"/>
          <w:szCs w:val="20"/>
        </w:rPr>
        <w:t xml:space="preserve">Stephen H. Legomsky, </w:t>
      </w:r>
      <w:r>
        <w:rPr>
          <w:i/>
          <w:iCs/>
          <w:sz w:val="20"/>
          <w:szCs w:val="20"/>
        </w:rPr>
        <w:t>Deportation and the War on Independence</w:t>
      </w:r>
      <w:r>
        <w:rPr>
          <w:sz w:val="20"/>
          <w:szCs w:val="20"/>
        </w:rPr>
        <w:t xml:space="preserve">, 91 </w:t>
      </w:r>
      <w:r>
        <w:rPr>
          <w:smallCaps/>
          <w:sz w:val="20"/>
          <w:szCs w:val="20"/>
        </w:rPr>
        <w:t>Cornell L. Rev.</w:t>
      </w:r>
      <w:r>
        <w:rPr>
          <w:sz w:val="20"/>
          <w:szCs w:val="20"/>
        </w:rPr>
        <w:t xml:space="preserve"> 369, 372–76 (2006) (arguing that the structural subordination of immigration judges to the executive branch systematically undermines adjudicatory independence in removal proceedings). For a complementary treatment, </w:t>
      </w:r>
      <w:r>
        <w:rPr>
          <w:i/>
          <w:iCs/>
          <w:sz w:val="20"/>
          <w:szCs w:val="20"/>
        </w:rPr>
        <w:t xml:space="preserve">see </w:t>
      </w:r>
      <w:r>
        <w:rPr>
          <w:sz w:val="20"/>
          <w:szCs w:val="20"/>
        </w:rPr>
        <w:t xml:space="preserve">Rachel E. Barkow, </w:t>
      </w:r>
      <w:r>
        <w:rPr>
          <w:i/>
          <w:iCs/>
          <w:sz w:val="20"/>
          <w:szCs w:val="20"/>
        </w:rPr>
        <w:t>Insulating Agencies: Avoiding Capture Through Institutional Design</w:t>
      </w:r>
      <w:r>
        <w:rPr>
          <w:sz w:val="20"/>
          <w:szCs w:val="20"/>
        </w:rPr>
        <w:t xml:space="preserve">, 89 </w:t>
      </w:r>
      <w:r>
        <w:rPr>
          <w:smallCaps/>
          <w:sz w:val="20"/>
          <w:szCs w:val="20"/>
        </w:rPr>
        <w:t>Tex. L. Rev.</w:t>
      </w:r>
      <w:r>
        <w:rPr>
          <w:sz w:val="20"/>
          <w:szCs w:val="20"/>
        </w:rPr>
        <w:t xml:space="preserve"> 15, 18–22 (2010) (developing a framework for evaluating the independence of administrative adjudicators from principal-agent capture).</w:t>
      </w:r>
    </w:p>
  </w:footnote>
  <w:footnote w:id="25">
    <w:p w14:paraId="7F28C6DB" w14:textId="77777777" w:rsidR="00D76C6E" w:rsidRDefault="00D76C6E" w:rsidP="00D76C6E">
      <w:pPr>
        <w:ind w:firstLine="360"/>
      </w:pPr>
      <w:r>
        <w:rPr>
          <w:rStyle w:val="FootnoteReference"/>
          <w:rFonts w:eastAsiaTheme="majorEastAsia"/>
        </w:rPr>
        <w:footnoteRef/>
      </w:r>
      <w:r>
        <w:rPr>
          <w:sz w:val="20"/>
          <w:szCs w:val="20"/>
        </w:rPr>
        <w:t xml:space="preserve">Congress exercises indirect control over EOIR through appropriations, oversight hearings, and reorganization authority. </w:t>
      </w:r>
      <w:r>
        <w:rPr>
          <w:i/>
          <w:iCs/>
          <w:sz w:val="20"/>
          <w:szCs w:val="20"/>
        </w:rPr>
        <w:t xml:space="preserve">See </w:t>
      </w:r>
      <w:r>
        <w:rPr>
          <w:sz w:val="20"/>
          <w:szCs w:val="20"/>
        </w:rPr>
        <w:t xml:space="preserve">B.D. Wood, </w:t>
      </w:r>
      <w:r>
        <w:rPr>
          <w:i/>
          <w:iCs/>
          <w:sz w:val="20"/>
          <w:szCs w:val="20"/>
        </w:rPr>
        <w:t>Principals, Bureaucrats, and Responsiveness in Clean Air Enforcements</w:t>
      </w:r>
      <w:r>
        <w:rPr>
          <w:sz w:val="20"/>
          <w:szCs w:val="20"/>
        </w:rPr>
        <w:t xml:space="preserve">, 82 </w:t>
      </w:r>
      <w:r>
        <w:rPr>
          <w:smallCaps/>
          <w:sz w:val="20"/>
          <w:szCs w:val="20"/>
        </w:rPr>
        <w:t>Am. J. Pol. Sci.</w:t>
      </w:r>
      <w:r>
        <w:rPr>
          <w:sz w:val="20"/>
          <w:szCs w:val="20"/>
        </w:rPr>
        <w:t xml:space="preserve"> 213 (1988); Idean </w:t>
      </w:r>
      <w:proofErr w:type="spellStart"/>
      <w:r>
        <w:rPr>
          <w:sz w:val="20"/>
          <w:szCs w:val="20"/>
        </w:rPr>
        <w:t>Salehyan</w:t>
      </w:r>
      <w:proofErr w:type="spellEnd"/>
      <w:r>
        <w:rPr>
          <w:sz w:val="20"/>
          <w:szCs w:val="20"/>
        </w:rPr>
        <w:t xml:space="preserve"> &amp; Marc R. Rosenblum, </w:t>
      </w:r>
      <w:r>
        <w:rPr>
          <w:i/>
          <w:iCs/>
          <w:sz w:val="20"/>
          <w:szCs w:val="20"/>
        </w:rPr>
        <w:t>International Relations, Domestic Politics, and Asylum Admissions in the United States</w:t>
      </w:r>
      <w:r>
        <w:rPr>
          <w:sz w:val="20"/>
          <w:szCs w:val="20"/>
        </w:rPr>
        <w:t xml:space="preserve">, 61 </w:t>
      </w:r>
      <w:r>
        <w:rPr>
          <w:smallCaps/>
          <w:sz w:val="20"/>
          <w:szCs w:val="20"/>
        </w:rPr>
        <w:t>Pol. Res. Q.</w:t>
      </w:r>
      <w:r>
        <w:rPr>
          <w:sz w:val="20"/>
          <w:szCs w:val="20"/>
        </w:rPr>
        <w:t xml:space="preserve"> 104 (2008).</w:t>
      </w:r>
    </w:p>
  </w:footnote>
  <w:footnote w:id="26">
    <w:p w14:paraId="5A61BD96" w14:textId="19F87A48" w:rsidR="00D76C6E" w:rsidRDefault="00D76C6E" w:rsidP="00D76C6E">
      <w:pPr>
        <w:ind w:firstLine="360"/>
      </w:pPr>
      <w:r>
        <w:rPr>
          <w:rStyle w:val="FootnoteReference"/>
          <w:rFonts w:eastAsiaTheme="majorEastAsia"/>
        </w:rPr>
        <w:footnoteRef/>
      </w:r>
      <w:r>
        <w:rPr>
          <w:i/>
          <w:iCs/>
          <w:sz w:val="20"/>
          <w:szCs w:val="20"/>
        </w:rPr>
        <w:t xml:space="preserve">See </w:t>
      </w:r>
      <w:r>
        <w:rPr>
          <w:sz w:val="20"/>
          <w:szCs w:val="20"/>
        </w:rPr>
        <w:t xml:space="preserve">8 C.F.R. § 1003.1(h) (2023) (providing that the Attorney General may certify to himself any case before the BIA for decision); </w:t>
      </w:r>
      <w:r>
        <w:rPr>
          <w:i/>
          <w:iCs/>
          <w:sz w:val="20"/>
          <w:szCs w:val="20"/>
        </w:rPr>
        <w:t xml:space="preserve">see also </w:t>
      </w:r>
      <w:r w:rsidR="003E7852">
        <w:rPr>
          <w:sz w:val="20"/>
          <w:szCs w:val="20"/>
        </w:rPr>
        <w:t xml:space="preserve">David K. Hausman, Daniel E. Ho, Mark S. Krass &amp; Anne M. McDonough, </w:t>
      </w:r>
      <w:r w:rsidR="003E7852">
        <w:rPr>
          <w:i/>
          <w:iCs/>
          <w:sz w:val="20"/>
          <w:szCs w:val="20"/>
        </w:rPr>
        <w:t>Executive Control of Agency Adjudication: Capacity, Selection, and Precedential Rulemaking</w:t>
      </w:r>
      <w:r w:rsidR="003E7852">
        <w:rPr>
          <w:sz w:val="20"/>
          <w:szCs w:val="20"/>
        </w:rPr>
        <w:t xml:space="preserve">, 39 </w:t>
      </w:r>
      <w:r w:rsidR="003E7852">
        <w:rPr>
          <w:smallCaps/>
          <w:sz w:val="20"/>
          <w:szCs w:val="20"/>
        </w:rPr>
        <w:t>J.L. Econ. &amp; Org.</w:t>
      </w:r>
      <w:r w:rsidR="003E7852">
        <w:rPr>
          <w:sz w:val="20"/>
          <w:szCs w:val="20"/>
        </w:rPr>
        <w:t xml:space="preserve"> 682, 700-709 (2023)</w:t>
      </w:r>
      <w:r w:rsidR="00A450B2">
        <w:rPr>
          <w:sz w:val="20"/>
          <w:szCs w:val="20"/>
        </w:rPr>
        <w:t xml:space="preserve"> </w:t>
      </w:r>
      <w:r>
        <w:rPr>
          <w:sz w:val="20"/>
          <w:szCs w:val="20"/>
        </w:rPr>
        <w:t>(documenting that the Trump administration relied heavily on AG certification authority to issue binding precedential decisions increasing removal rates across the system).</w:t>
      </w:r>
    </w:p>
  </w:footnote>
  <w:footnote w:id="27">
    <w:p w14:paraId="72B31142" w14:textId="6DACA41C" w:rsidR="00D76C6E" w:rsidRDefault="00D76C6E" w:rsidP="00D76C6E">
      <w:pPr>
        <w:ind w:firstLine="360"/>
      </w:pPr>
      <w:r>
        <w:rPr>
          <w:rStyle w:val="FootnoteReference"/>
          <w:rFonts w:eastAsiaTheme="majorEastAsia"/>
        </w:rPr>
        <w:footnoteRef/>
      </w:r>
      <w:r w:rsidR="004F6277">
        <w:rPr>
          <w:i/>
          <w:iCs/>
          <w:sz w:val="20"/>
          <w:szCs w:val="20"/>
        </w:rPr>
        <w:t xml:space="preserve">See </w:t>
      </w:r>
      <w:r>
        <w:rPr>
          <w:sz w:val="20"/>
          <w:szCs w:val="20"/>
        </w:rPr>
        <w:t>Hausman, Ho, Krass &amp; McDonough</w:t>
      </w:r>
      <w:r w:rsidR="003E7852">
        <w:rPr>
          <w:sz w:val="20"/>
          <w:szCs w:val="20"/>
        </w:rPr>
        <w:t xml:space="preserve">, </w:t>
      </w:r>
      <w:r w:rsidR="003E7852" w:rsidRPr="003E7852">
        <w:rPr>
          <w:i/>
          <w:iCs/>
          <w:sz w:val="20"/>
          <w:szCs w:val="20"/>
        </w:rPr>
        <w:t>supra</w:t>
      </w:r>
      <w:r w:rsidR="003E7852">
        <w:rPr>
          <w:sz w:val="20"/>
          <w:szCs w:val="20"/>
        </w:rPr>
        <w:t xml:space="preserve"> note 26, at 709</w:t>
      </w:r>
      <w:r w:rsidR="00BF090B">
        <w:rPr>
          <w:sz w:val="20"/>
          <w:szCs w:val="20"/>
        </w:rPr>
        <w:t xml:space="preserve">. </w:t>
      </w:r>
      <w:r>
        <w:rPr>
          <w:sz w:val="20"/>
          <w:szCs w:val="20"/>
        </w:rPr>
        <w:t>The authors study three mechanisms of presidential control of immigration adjudication: capacity-building through judge hiring, selection of ideologically aligned judges, and the use of Attorney General precedential decisions.</w:t>
      </w:r>
    </w:p>
  </w:footnote>
  <w:footnote w:id="28">
    <w:p w14:paraId="5AAA1526" w14:textId="77777777" w:rsidR="00D76C6E" w:rsidRDefault="00D76C6E" w:rsidP="00D76C6E">
      <w:pPr>
        <w:ind w:firstLine="360"/>
      </w:pPr>
      <w:r>
        <w:rPr>
          <w:rStyle w:val="FootnoteReference"/>
          <w:rFonts w:eastAsiaTheme="majorEastAsia"/>
        </w:rPr>
        <w:footnoteRef/>
      </w:r>
      <w:r>
        <w:rPr>
          <w:i/>
          <w:iCs/>
          <w:sz w:val="20"/>
          <w:szCs w:val="20"/>
        </w:rPr>
        <w:t xml:space="preserve">See </w:t>
      </w:r>
      <w:r>
        <w:rPr>
          <w:sz w:val="20"/>
          <w:szCs w:val="20"/>
        </w:rPr>
        <w:t xml:space="preserve">Andrew B. Eisenberg &amp; Gillian E. Metzger, </w:t>
      </w:r>
      <w:r>
        <w:rPr>
          <w:i/>
          <w:iCs/>
          <w:sz w:val="20"/>
          <w:szCs w:val="20"/>
        </w:rPr>
        <w:t>Agency-Head Review and Constitutional Structure</w:t>
      </w:r>
      <w:r>
        <w:rPr>
          <w:sz w:val="20"/>
          <w:szCs w:val="20"/>
        </w:rPr>
        <w:t xml:space="preserve">, 75 </w:t>
      </w:r>
      <w:r>
        <w:rPr>
          <w:smallCaps/>
          <w:sz w:val="20"/>
          <w:szCs w:val="20"/>
        </w:rPr>
        <w:t>Admin. L. Rev.</w:t>
      </w:r>
      <w:r>
        <w:rPr>
          <w:sz w:val="20"/>
          <w:szCs w:val="20"/>
        </w:rPr>
        <w:t xml:space="preserve"> 1, 14–22 (2023) (examining how agency heads exercise review authority over subordinate adjudicators and documenting the mechanisms through which politically-appointed agency heads shape adjudicatory outcomes; arguing that agency-head review represents a significant but undertheorized channel of executive control over formal adjudication that operates above the level of individual adjudicators).</w:t>
      </w:r>
    </w:p>
  </w:footnote>
  <w:footnote w:id="29">
    <w:p w14:paraId="49FA3C87" w14:textId="77777777" w:rsidR="00D76C6E" w:rsidRDefault="00D76C6E" w:rsidP="00D76C6E">
      <w:pPr>
        <w:ind w:firstLine="360"/>
      </w:pPr>
      <w:r>
        <w:rPr>
          <w:rStyle w:val="FootnoteReference"/>
          <w:rFonts w:eastAsiaTheme="majorEastAsia"/>
        </w:rPr>
        <w:footnoteRef/>
      </w:r>
      <w:r>
        <w:rPr>
          <w:sz w:val="20"/>
          <w:szCs w:val="20"/>
        </w:rPr>
        <w:t xml:space="preserve">Jennifer Nou, </w:t>
      </w:r>
      <w:r>
        <w:rPr>
          <w:i/>
          <w:iCs/>
          <w:sz w:val="20"/>
          <w:szCs w:val="20"/>
        </w:rPr>
        <w:t>Dismissing Decisional Independence</w:t>
      </w:r>
      <w:r>
        <w:rPr>
          <w:sz w:val="20"/>
          <w:szCs w:val="20"/>
        </w:rPr>
        <w:t xml:space="preserve">, 86 </w:t>
      </w:r>
      <w:r>
        <w:rPr>
          <w:smallCaps/>
          <w:sz w:val="20"/>
          <w:szCs w:val="20"/>
        </w:rPr>
        <w:t>U. Chi. L. Rev.</w:t>
      </w:r>
      <w:r>
        <w:rPr>
          <w:sz w:val="20"/>
          <w:szCs w:val="20"/>
        </w:rPr>
        <w:t xml:space="preserve"> 1187, 1193–98 (2019) (examining litigation surrounding administrative law judge decisional independence following </w:t>
      </w:r>
      <w:r w:rsidRPr="004F6277">
        <w:rPr>
          <w:i/>
          <w:iCs/>
          <w:sz w:val="20"/>
          <w:szCs w:val="20"/>
        </w:rPr>
        <w:t>Lucia v. SEC</w:t>
      </w:r>
      <w:r>
        <w:rPr>
          <w:sz w:val="20"/>
          <w:szCs w:val="20"/>
        </w:rPr>
        <w:t>, 138 S. Ct. 2044 (2018), and concluding that constitutional and administrative law doctrine has been deeply ambivalent about insulating executive-branch adjudicators from political supervision; arguing that the formal protections for ALJ independence remain fragile in the face of determined executive pressure).</w:t>
      </w:r>
    </w:p>
  </w:footnote>
  <w:footnote w:id="30">
    <w:p w14:paraId="1FF0EC33" w14:textId="77777777" w:rsidR="00D76C6E" w:rsidRDefault="00D76C6E" w:rsidP="00D76C6E">
      <w:pPr>
        <w:ind w:firstLine="360"/>
      </w:pPr>
      <w:r>
        <w:rPr>
          <w:rStyle w:val="FootnoteReference"/>
          <w:rFonts w:eastAsiaTheme="majorEastAsia"/>
        </w:rPr>
        <w:footnoteRef/>
      </w:r>
      <w:r>
        <w:rPr>
          <w:i/>
          <w:iCs/>
          <w:sz w:val="20"/>
          <w:szCs w:val="20"/>
        </w:rPr>
        <w:t xml:space="preserve">See </w:t>
      </w:r>
      <w:r>
        <w:rPr>
          <w:sz w:val="20"/>
          <w:szCs w:val="20"/>
        </w:rPr>
        <w:t xml:space="preserve">Jillian Blake Family, </w:t>
      </w:r>
      <w:r>
        <w:rPr>
          <w:i/>
          <w:iCs/>
          <w:sz w:val="20"/>
          <w:szCs w:val="20"/>
        </w:rPr>
        <w:t>'The Sky Is Falling': Immigration Court Independence and the Unitary Executive</w:t>
      </w:r>
      <w:r>
        <w:rPr>
          <w:sz w:val="20"/>
          <w:szCs w:val="20"/>
        </w:rPr>
        <w:t xml:space="preserve">, __ </w:t>
      </w:r>
      <w:r>
        <w:rPr>
          <w:smallCaps/>
          <w:sz w:val="20"/>
          <w:szCs w:val="20"/>
        </w:rPr>
        <w:t>Utah L. Rev.</w:t>
      </w:r>
      <w:r>
        <w:rPr>
          <w:sz w:val="20"/>
          <w:szCs w:val="20"/>
        </w:rPr>
        <w:t xml:space="preserve"> __ (forthcoming 2025) (manuscript at 3–8) (documenting that the second Trump administration removed, furloughed, or otherwise forced out approximately 140 immigration judges during the first months of 2025, representing nearly a quarter of the EOIR judiciary, and arguing that this systematic removal of career adjudicators invokes the limits of unitary executive theory because immigration judges exercise adjudicatory—not merely executive—authority, such that their removal for adjudicatory outcomes threatens constitutionally required due process guarantees).</w:t>
      </w:r>
    </w:p>
  </w:footnote>
  <w:footnote w:id="31">
    <w:p w14:paraId="78A21C3E" w14:textId="77777777" w:rsidR="00D76C6E" w:rsidRDefault="00D76C6E" w:rsidP="00D76C6E">
      <w:pPr>
        <w:ind w:firstLine="360"/>
      </w:pPr>
      <w:r>
        <w:rPr>
          <w:rStyle w:val="FootnoteReference"/>
          <w:rFonts w:eastAsiaTheme="majorEastAsia"/>
        </w:rPr>
        <w:footnoteRef/>
      </w:r>
      <w:r>
        <w:rPr>
          <w:sz w:val="20"/>
          <w:szCs w:val="20"/>
        </w:rPr>
        <w:t xml:space="preserve">Mariano-Florentino Cuéllar, </w:t>
      </w:r>
      <w:r>
        <w:rPr>
          <w:i/>
          <w:iCs/>
          <w:sz w:val="20"/>
          <w:szCs w:val="20"/>
        </w:rPr>
        <w:t>The New Presidential Adjudication</w:t>
      </w:r>
      <w:r>
        <w:rPr>
          <w:sz w:val="20"/>
          <w:szCs w:val="20"/>
        </w:rPr>
        <w:t xml:space="preserve">, __ </w:t>
      </w:r>
      <w:r>
        <w:rPr>
          <w:smallCaps/>
          <w:sz w:val="20"/>
          <w:szCs w:val="20"/>
        </w:rPr>
        <w:t>Yale L.J. F.</w:t>
      </w:r>
      <w:r>
        <w:rPr>
          <w:sz w:val="20"/>
          <w:szCs w:val="20"/>
        </w:rPr>
        <w:t xml:space="preserve"> __ (2026) (arguing that the executive branch has developed systematic mechanisms for shaping individual adjudicatory outcomes across a range of administrative tribunals, including immigration courts, and that this 'presidential quasi-adjudication' represents a distinctive governance mode that blurs the line between policymaking and adjudication in ways that existing administrative law doctrine does not adequately address; discussing DOGE-related institutional interventions as illustrative examples).</w:t>
      </w:r>
    </w:p>
  </w:footnote>
  <w:footnote w:id="32">
    <w:p w14:paraId="7E226DCE" w14:textId="77777777" w:rsidR="00D76C6E" w:rsidRDefault="00D76C6E" w:rsidP="00D76C6E">
      <w:pPr>
        <w:ind w:firstLine="360"/>
      </w:pPr>
      <w:r>
        <w:rPr>
          <w:rStyle w:val="FootnoteReference"/>
          <w:rFonts w:eastAsiaTheme="majorEastAsia"/>
        </w:rPr>
        <w:footnoteRef/>
      </w:r>
      <w:r>
        <w:rPr>
          <w:sz w:val="20"/>
          <w:szCs w:val="20"/>
        </w:rPr>
        <w:t xml:space="preserve">Jaya Ramji-Nogales, Andrew I. Schoenholtz &amp; Philip G. Schrag, </w:t>
      </w:r>
      <w:r>
        <w:rPr>
          <w:i/>
          <w:iCs/>
          <w:sz w:val="20"/>
          <w:szCs w:val="20"/>
        </w:rPr>
        <w:t>Refugee Roulette: Disparities in Asylum Adjudication</w:t>
      </w:r>
      <w:r>
        <w:rPr>
          <w:sz w:val="20"/>
          <w:szCs w:val="20"/>
        </w:rPr>
        <w:t xml:space="preserve">, 60 </w:t>
      </w:r>
      <w:r>
        <w:rPr>
          <w:smallCaps/>
          <w:sz w:val="20"/>
          <w:szCs w:val="20"/>
        </w:rPr>
        <w:t>Stan. L. Rev.</w:t>
      </w:r>
      <w:r>
        <w:rPr>
          <w:sz w:val="20"/>
          <w:szCs w:val="20"/>
        </w:rPr>
        <w:t xml:space="preserve"> 295, 297–300 (2007). The study analyzed over 140,000 asylum decisions from 2000 to 2004 and found that grant rates in identical case types varied from under five percent to over eighty percent across different judges.</w:t>
      </w:r>
    </w:p>
  </w:footnote>
  <w:footnote w:id="33">
    <w:p w14:paraId="09DB7EA3" w14:textId="77777777" w:rsidR="00D76C6E" w:rsidRDefault="00D76C6E" w:rsidP="00D76C6E">
      <w:pPr>
        <w:ind w:firstLine="360"/>
      </w:pPr>
      <w:r>
        <w:rPr>
          <w:rStyle w:val="FootnoteReference"/>
          <w:rFonts w:eastAsiaTheme="majorEastAsia"/>
        </w:rPr>
        <w:footnoteRef/>
      </w:r>
      <w:r>
        <w:rPr>
          <w:i/>
          <w:iCs/>
          <w:sz w:val="20"/>
          <w:szCs w:val="20"/>
        </w:rPr>
        <w:t xml:space="preserve">Id. at </w:t>
      </w:r>
      <w:r>
        <w:rPr>
          <w:sz w:val="20"/>
          <w:szCs w:val="20"/>
        </w:rPr>
        <w:t>340–42 (finding that nationality, judge identity, and circuit location together explained most of the variance in asylum outcomes, leaving substantial unexplained residual variance across judges).</w:t>
      </w:r>
    </w:p>
  </w:footnote>
  <w:footnote w:id="34">
    <w:p w14:paraId="527B8AC1" w14:textId="7526A40E" w:rsidR="004F6277" w:rsidRDefault="004F6277" w:rsidP="004F6277">
      <w:pPr>
        <w:pStyle w:val="FootnoteText"/>
        <w:ind w:firstLine="360"/>
      </w:pPr>
      <w:r>
        <w:rPr>
          <w:rStyle w:val="FootnoteReference"/>
        </w:rPr>
        <w:footnoteRef/>
      </w:r>
      <w:r>
        <w:rPr>
          <w:i/>
          <w:iCs/>
        </w:rPr>
        <w:t>Id.</w:t>
      </w:r>
      <w:r>
        <w:t xml:space="preserve"> </w:t>
      </w:r>
    </w:p>
  </w:footnote>
  <w:footnote w:id="35">
    <w:p w14:paraId="4495DE00" w14:textId="77777777" w:rsidR="00D76C6E" w:rsidRDefault="00D76C6E" w:rsidP="00D76C6E">
      <w:pPr>
        <w:ind w:firstLine="360"/>
      </w:pPr>
      <w:r>
        <w:rPr>
          <w:rStyle w:val="FootnoteReference"/>
          <w:rFonts w:eastAsiaTheme="majorEastAsia"/>
        </w:rPr>
        <w:footnoteRef/>
      </w:r>
      <w:r>
        <w:rPr>
          <w:sz w:val="20"/>
          <w:szCs w:val="20"/>
        </w:rPr>
        <w:t xml:space="preserve">Philip G. Schrag et al., </w:t>
      </w:r>
      <w:r>
        <w:rPr>
          <w:i/>
          <w:iCs/>
          <w:sz w:val="20"/>
          <w:szCs w:val="20"/>
        </w:rPr>
        <w:t>Rejecting Refugees: Homeland Security's Administration of the One-Year Bar to Asylum</w:t>
      </w:r>
      <w:r>
        <w:rPr>
          <w:sz w:val="20"/>
          <w:szCs w:val="20"/>
        </w:rPr>
        <w:t xml:space="preserve">, 52 </w:t>
      </w:r>
      <w:r>
        <w:rPr>
          <w:smallCaps/>
          <w:sz w:val="20"/>
          <w:szCs w:val="20"/>
        </w:rPr>
        <w:t>Wm. &amp; Mary L. Rev.</w:t>
      </w:r>
      <w:r>
        <w:rPr>
          <w:sz w:val="20"/>
          <w:szCs w:val="20"/>
        </w:rPr>
        <w:t xml:space="preserve"> 651, 655 (2010).</w:t>
      </w:r>
    </w:p>
  </w:footnote>
  <w:footnote w:id="36">
    <w:p w14:paraId="447274F9" w14:textId="6B07CB7B" w:rsidR="00D76C6E" w:rsidRDefault="00D76C6E" w:rsidP="00D76C6E">
      <w:pPr>
        <w:ind w:firstLine="360"/>
      </w:pPr>
      <w:r>
        <w:rPr>
          <w:rStyle w:val="FootnoteReference"/>
          <w:rFonts w:eastAsiaTheme="majorEastAsia"/>
        </w:rPr>
        <w:footnoteRef/>
      </w:r>
      <w:r>
        <w:rPr>
          <w:i/>
          <w:iCs/>
          <w:sz w:val="20"/>
          <w:szCs w:val="20"/>
        </w:rPr>
        <w:t xml:space="preserve">See </w:t>
      </w:r>
      <w:r>
        <w:rPr>
          <w:sz w:val="20"/>
          <w:szCs w:val="20"/>
        </w:rPr>
        <w:t xml:space="preserve">David Hausman, </w:t>
      </w:r>
      <w:r>
        <w:rPr>
          <w:i/>
          <w:iCs/>
          <w:sz w:val="20"/>
          <w:szCs w:val="20"/>
        </w:rPr>
        <w:t>The Failure of Immigration Appeals</w:t>
      </w:r>
      <w:r>
        <w:rPr>
          <w:sz w:val="20"/>
          <w:szCs w:val="20"/>
        </w:rPr>
        <w:t xml:space="preserve">, 164 </w:t>
      </w:r>
      <w:r>
        <w:rPr>
          <w:smallCaps/>
          <w:sz w:val="20"/>
          <w:szCs w:val="20"/>
        </w:rPr>
        <w:t>U. Pa. L. Rev.</w:t>
      </w:r>
      <w:r>
        <w:rPr>
          <w:sz w:val="20"/>
          <w:szCs w:val="20"/>
        </w:rPr>
        <w:t xml:space="preserve"> 1177, 1179–80 (2016) (documenting that the Board of Immigration Appeals is no more likely to reverse the removal orders of relatively harsher judges than more lenient ones, and that the selection bias in which cases get appealed</w:t>
      </w:r>
      <w:r w:rsidR="004F6277">
        <w:rPr>
          <w:sz w:val="20"/>
          <w:szCs w:val="20"/>
        </w:rPr>
        <w:t xml:space="preserve"> which are </w:t>
      </w:r>
      <w:r>
        <w:rPr>
          <w:sz w:val="20"/>
          <w:szCs w:val="20"/>
        </w:rPr>
        <w:t>driven partly by IJ-level variation in representation rates</w:t>
      </w:r>
      <w:r w:rsidR="004F6277">
        <w:rPr>
          <w:sz w:val="20"/>
          <w:szCs w:val="20"/>
        </w:rPr>
        <w:t xml:space="preserve"> </w:t>
      </w:r>
      <w:r>
        <w:rPr>
          <w:sz w:val="20"/>
          <w:szCs w:val="20"/>
        </w:rPr>
        <w:t xml:space="preserve">prevents the appellate system from correcting the inter-judge disparities documented in the </w:t>
      </w:r>
      <w:r w:rsidRPr="004F6277">
        <w:rPr>
          <w:i/>
          <w:iCs/>
          <w:sz w:val="20"/>
          <w:szCs w:val="20"/>
        </w:rPr>
        <w:t>Refugee Roulette</w:t>
      </w:r>
      <w:r>
        <w:rPr>
          <w:sz w:val="20"/>
          <w:szCs w:val="20"/>
        </w:rPr>
        <w:t xml:space="preserve"> literature; recommending random sampling of cases by the BIA and a less deferential standard of review as partial remedies).</w:t>
      </w:r>
    </w:p>
  </w:footnote>
  <w:footnote w:id="37">
    <w:p w14:paraId="75FE5F87" w14:textId="44F47240" w:rsidR="00D76C6E" w:rsidRDefault="00D76C6E" w:rsidP="00D76C6E">
      <w:pPr>
        <w:ind w:firstLine="360"/>
      </w:pPr>
      <w:r>
        <w:rPr>
          <w:rStyle w:val="FootnoteReference"/>
          <w:rFonts w:eastAsiaTheme="majorEastAsia"/>
        </w:rPr>
        <w:footnoteRef/>
      </w:r>
      <w:r>
        <w:rPr>
          <w:i/>
          <w:iCs/>
          <w:sz w:val="20"/>
          <w:szCs w:val="20"/>
        </w:rPr>
        <w:t xml:space="preserve">See </w:t>
      </w:r>
      <w:r>
        <w:rPr>
          <w:sz w:val="20"/>
          <w:szCs w:val="20"/>
        </w:rPr>
        <w:t xml:space="preserve">Nicholas R. Bednar, </w:t>
      </w:r>
      <w:r>
        <w:rPr>
          <w:i/>
          <w:iCs/>
          <w:sz w:val="20"/>
          <w:szCs w:val="20"/>
        </w:rPr>
        <w:t>The Public Administration of Justice</w:t>
      </w:r>
      <w:r>
        <w:rPr>
          <w:sz w:val="20"/>
          <w:szCs w:val="20"/>
        </w:rPr>
        <w:t xml:space="preserve">, 44 </w:t>
      </w:r>
      <w:r>
        <w:rPr>
          <w:smallCaps/>
          <w:sz w:val="20"/>
          <w:szCs w:val="20"/>
        </w:rPr>
        <w:t>Cardozo L. Rev.</w:t>
      </w:r>
      <w:r>
        <w:rPr>
          <w:sz w:val="20"/>
          <w:szCs w:val="20"/>
        </w:rPr>
        <w:t xml:space="preserve"> 2139, 2145–47 (2023) (noting that these effects are comparable in magnitude to the effect of changing the appointing administration's political party, suggesting that resource constraints shape adjudicatory outcomes as powerfully as ideology).</w:t>
      </w:r>
    </w:p>
  </w:footnote>
  <w:footnote w:id="38">
    <w:p w14:paraId="3AA3AD89" w14:textId="102B38DC" w:rsidR="00D76C6E" w:rsidRDefault="00D76C6E" w:rsidP="00D76C6E">
      <w:pPr>
        <w:ind w:firstLine="360"/>
      </w:pPr>
      <w:r>
        <w:rPr>
          <w:rStyle w:val="FootnoteReference"/>
          <w:rFonts w:eastAsiaTheme="majorEastAsia"/>
        </w:rPr>
        <w:footnoteRef/>
      </w:r>
      <w:proofErr w:type="spellStart"/>
      <w:r>
        <w:rPr>
          <w:sz w:val="20"/>
          <w:szCs w:val="20"/>
        </w:rPr>
        <w:t>Eagly</w:t>
      </w:r>
      <w:proofErr w:type="spellEnd"/>
      <w:r>
        <w:rPr>
          <w:sz w:val="20"/>
          <w:szCs w:val="20"/>
        </w:rPr>
        <w:t xml:space="preserve"> &amp; Shafer, </w:t>
      </w:r>
      <w:r>
        <w:rPr>
          <w:i/>
          <w:iCs/>
          <w:sz w:val="20"/>
          <w:szCs w:val="20"/>
        </w:rPr>
        <w:t xml:space="preserve">supra </w:t>
      </w:r>
      <w:r w:rsidRPr="008F5618">
        <w:rPr>
          <w:sz w:val="20"/>
          <w:szCs w:val="20"/>
        </w:rPr>
        <w:t>note 4</w:t>
      </w:r>
      <w:r>
        <w:rPr>
          <w:sz w:val="20"/>
          <w:szCs w:val="20"/>
        </w:rPr>
        <w:t xml:space="preserve">, at 4–6. </w:t>
      </w:r>
    </w:p>
  </w:footnote>
  <w:footnote w:id="39">
    <w:p w14:paraId="34454566" w14:textId="1644EB8B" w:rsidR="00D76C6E" w:rsidRPr="008F5618" w:rsidRDefault="00D76C6E" w:rsidP="00D76C6E">
      <w:pPr>
        <w:ind w:firstLine="360"/>
      </w:pPr>
      <w:r>
        <w:rPr>
          <w:rStyle w:val="FootnoteReference"/>
          <w:rFonts w:eastAsiaTheme="majorEastAsia"/>
        </w:rPr>
        <w:footnoteRef/>
      </w:r>
      <w:r>
        <w:rPr>
          <w:i/>
          <w:iCs/>
          <w:sz w:val="20"/>
          <w:szCs w:val="20"/>
        </w:rPr>
        <w:t>Id</w:t>
      </w:r>
      <w:r w:rsidRPr="008F5618">
        <w:rPr>
          <w:sz w:val="20"/>
          <w:szCs w:val="20"/>
        </w:rPr>
        <w:t>. at 42–47</w:t>
      </w:r>
      <w:r w:rsidR="008F5618" w:rsidRPr="008F5618">
        <w:rPr>
          <w:sz w:val="20"/>
          <w:szCs w:val="20"/>
        </w:rPr>
        <w:t>.</w:t>
      </w:r>
    </w:p>
  </w:footnote>
  <w:footnote w:id="40">
    <w:p w14:paraId="45ECCE58" w14:textId="77777777" w:rsidR="00453C27" w:rsidRDefault="00453C27" w:rsidP="00453C27">
      <w:pPr>
        <w:ind w:firstLine="360"/>
      </w:pPr>
      <w:r>
        <w:rPr>
          <w:rStyle w:val="FootnoteReference"/>
          <w:rFonts w:eastAsiaTheme="majorEastAsia"/>
        </w:rPr>
        <w:footnoteRef/>
      </w:r>
      <w:r>
        <w:rPr>
          <w:i/>
          <w:iCs/>
          <w:sz w:val="20"/>
          <w:szCs w:val="20"/>
        </w:rPr>
        <w:t xml:space="preserve">See </w:t>
      </w:r>
      <w:r>
        <w:rPr>
          <w:sz w:val="20"/>
          <w:szCs w:val="20"/>
        </w:rPr>
        <w:t xml:space="preserve">Ingrid V. </w:t>
      </w:r>
      <w:proofErr w:type="spellStart"/>
      <w:r>
        <w:rPr>
          <w:sz w:val="20"/>
          <w:szCs w:val="20"/>
        </w:rPr>
        <w:t>Eagly</w:t>
      </w:r>
      <w:proofErr w:type="spellEnd"/>
      <w:r>
        <w:rPr>
          <w:sz w:val="20"/>
          <w:szCs w:val="20"/>
        </w:rPr>
        <w:t xml:space="preserve">, Steven Shafer &amp; Renee Moulton, </w:t>
      </w:r>
      <w:r>
        <w:rPr>
          <w:i/>
          <w:iCs/>
          <w:sz w:val="20"/>
          <w:szCs w:val="20"/>
        </w:rPr>
        <w:t>Access to Counsel in Immigration Court, Revisited</w:t>
      </w:r>
      <w:r>
        <w:rPr>
          <w:sz w:val="20"/>
          <w:szCs w:val="20"/>
        </w:rPr>
        <w:t xml:space="preserve">, 111 </w:t>
      </w:r>
      <w:r>
        <w:rPr>
          <w:smallCaps/>
          <w:sz w:val="20"/>
          <w:szCs w:val="20"/>
        </w:rPr>
        <w:t>Iowa L. Rev.</w:t>
      </w:r>
      <w:r>
        <w:rPr>
          <w:sz w:val="20"/>
          <w:szCs w:val="20"/>
        </w:rPr>
        <w:t xml:space="preserve"> 1, 1–4 (2025) (analyzing almost 8 million deportation cases and finding that representation rates increased from 37% in the 2007–2012 period to just over 52% in 2015–2024, including 62% of unaccompanied children; but that representation rates for </w:t>
      </w:r>
      <w:proofErr w:type="spellStart"/>
      <w:r>
        <w:rPr>
          <w:sz w:val="20"/>
          <w:szCs w:val="20"/>
        </w:rPr>
        <w:t>nondetained</w:t>
      </w:r>
      <w:proofErr w:type="spellEnd"/>
      <w:r>
        <w:rPr>
          <w:sz w:val="20"/>
          <w:szCs w:val="20"/>
        </w:rPr>
        <w:t xml:space="preserve"> immigrants declined, the backlog of unrepresented pending cases grew dramatically, and cuts in federal funding for representation programs combined with pressure on law firm pro bono programs threaten to reverse the decade's representational gains).</w:t>
      </w:r>
    </w:p>
  </w:footnote>
  <w:footnote w:id="41">
    <w:p w14:paraId="18BED83C" w14:textId="77777777" w:rsidR="006B733F" w:rsidRDefault="006B733F" w:rsidP="006B733F">
      <w:pPr>
        <w:ind w:firstLine="360"/>
      </w:pPr>
      <w:r>
        <w:rPr>
          <w:rStyle w:val="FootnoteReference"/>
          <w:rFonts w:eastAsiaTheme="majorEastAsia"/>
        </w:rPr>
        <w:footnoteRef/>
      </w:r>
      <w:r>
        <w:rPr>
          <w:sz w:val="20"/>
          <w:szCs w:val="20"/>
        </w:rPr>
        <w:t xml:space="preserve">Ingrid V. </w:t>
      </w:r>
      <w:proofErr w:type="spellStart"/>
      <w:r>
        <w:rPr>
          <w:sz w:val="20"/>
          <w:szCs w:val="20"/>
        </w:rPr>
        <w:t>Eagly</w:t>
      </w:r>
      <w:proofErr w:type="spellEnd"/>
      <w:r>
        <w:rPr>
          <w:sz w:val="20"/>
          <w:szCs w:val="20"/>
        </w:rPr>
        <w:t xml:space="preserve"> &amp; Steven Shafer, </w:t>
      </w:r>
      <w:r>
        <w:rPr>
          <w:i/>
          <w:iCs/>
          <w:sz w:val="20"/>
          <w:szCs w:val="20"/>
        </w:rPr>
        <w:t>Detained Immigration Courts</w:t>
      </w:r>
      <w:r>
        <w:rPr>
          <w:sz w:val="20"/>
          <w:szCs w:val="20"/>
        </w:rPr>
        <w:t xml:space="preserve">, 110 </w:t>
      </w:r>
      <w:r>
        <w:rPr>
          <w:smallCaps/>
          <w:sz w:val="20"/>
          <w:szCs w:val="20"/>
        </w:rPr>
        <w:t>Va. L. Rev.</w:t>
      </w:r>
      <w:r>
        <w:rPr>
          <w:sz w:val="20"/>
          <w:szCs w:val="20"/>
        </w:rPr>
        <w:t xml:space="preserve"> 691 (2024). The article traces the development and institutional design of detained immigration courts, documenting that they are concentrated outside major urban areas, often housed in non-traditional settings, and have presided over more than 3.6 million court cases since the early 1980s. </w:t>
      </w:r>
    </w:p>
  </w:footnote>
  <w:footnote w:id="42">
    <w:p w14:paraId="6C7A40CC" w14:textId="77777777" w:rsidR="006B733F" w:rsidRDefault="006B733F" w:rsidP="006B733F">
      <w:pPr>
        <w:ind w:firstLine="360"/>
      </w:pPr>
      <w:r w:rsidRPr="00480376">
        <w:rPr>
          <w:rStyle w:val="FootnoteReference"/>
          <w:rFonts w:eastAsiaTheme="majorEastAsia"/>
        </w:rPr>
        <w:footnoteRef/>
      </w:r>
      <w:r>
        <w:rPr>
          <w:i/>
          <w:iCs/>
          <w:sz w:val="20"/>
          <w:szCs w:val="20"/>
        </w:rPr>
        <w:t>Id.</w:t>
      </w:r>
      <w:r>
        <w:rPr>
          <w:sz w:val="20"/>
          <w:szCs w:val="20"/>
        </w:rPr>
        <w:t xml:space="preserve"> at 700–18 (documenting the geographic placement of detained immigration courts and their structural effects on attorney access and representation rates).</w:t>
      </w:r>
    </w:p>
  </w:footnote>
  <w:footnote w:id="43">
    <w:p w14:paraId="2A680B00" w14:textId="77777777" w:rsidR="006B733F" w:rsidRDefault="006B733F" w:rsidP="006B733F">
      <w:pPr>
        <w:ind w:firstLine="360"/>
      </w:pPr>
      <w:r>
        <w:rPr>
          <w:rStyle w:val="FootnoteReference"/>
          <w:rFonts w:eastAsiaTheme="majorEastAsia"/>
        </w:rPr>
        <w:footnoteRef/>
      </w:r>
      <w:r>
        <w:rPr>
          <w:i/>
          <w:iCs/>
          <w:sz w:val="20"/>
          <w:szCs w:val="20"/>
        </w:rPr>
        <w:t xml:space="preserve">See </w:t>
      </w:r>
      <w:r>
        <w:rPr>
          <w:sz w:val="20"/>
          <w:szCs w:val="20"/>
        </w:rPr>
        <w:t xml:space="preserve">Ingrid </w:t>
      </w:r>
      <w:proofErr w:type="spellStart"/>
      <w:r>
        <w:rPr>
          <w:sz w:val="20"/>
          <w:szCs w:val="20"/>
        </w:rPr>
        <w:t>Eagly</w:t>
      </w:r>
      <w:proofErr w:type="spellEnd"/>
      <w:r>
        <w:rPr>
          <w:sz w:val="20"/>
          <w:szCs w:val="20"/>
        </w:rPr>
        <w:t xml:space="preserve">, Steven Shafer &amp; Jana Whalley, </w:t>
      </w:r>
      <w:r>
        <w:rPr>
          <w:i/>
          <w:iCs/>
          <w:sz w:val="20"/>
          <w:szCs w:val="20"/>
        </w:rPr>
        <w:t>Detaining Families: A Study of Asylum Adjudication in Family Detention</w:t>
      </w:r>
      <w:r>
        <w:rPr>
          <w:sz w:val="20"/>
          <w:szCs w:val="20"/>
        </w:rPr>
        <w:t xml:space="preserve">, 106 </w:t>
      </w:r>
      <w:r>
        <w:rPr>
          <w:smallCaps/>
          <w:sz w:val="20"/>
          <w:szCs w:val="20"/>
        </w:rPr>
        <w:t>Cal. L. Rev.</w:t>
      </w:r>
      <w:r>
        <w:rPr>
          <w:sz w:val="20"/>
          <w:szCs w:val="20"/>
        </w:rPr>
        <w:t xml:space="preserve"> 785, 785–86 (2018) (reporting that the United States currently detains more families seeking asylum than any nation in the world; that only half of detained family members found counsel; that fewer than 2% spoke English; that 93% had hearings conducted by video conference; and that family detention combines geographic remoteness, linguistic isolation, absence of counsel, and video adjudication in ways that systematically undermine asylum outcomes independent of the legal merits of individual claims).</w:t>
      </w:r>
    </w:p>
  </w:footnote>
  <w:footnote w:id="44">
    <w:p w14:paraId="6AD25DD8" w14:textId="40A6909F" w:rsidR="00D76C6E" w:rsidRDefault="00D76C6E" w:rsidP="00D76C6E">
      <w:pPr>
        <w:ind w:firstLine="360"/>
      </w:pPr>
      <w:r>
        <w:rPr>
          <w:rStyle w:val="FootnoteReference"/>
          <w:rFonts w:eastAsiaTheme="majorEastAsia"/>
        </w:rPr>
        <w:footnoteRef/>
      </w:r>
      <w:r>
        <w:rPr>
          <w:sz w:val="20"/>
          <w:szCs w:val="20"/>
        </w:rPr>
        <w:t xml:space="preserve">Ryo, </w:t>
      </w:r>
      <w:r>
        <w:rPr>
          <w:i/>
          <w:iCs/>
          <w:sz w:val="20"/>
          <w:szCs w:val="20"/>
        </w:rPr>
        <w:t xml:space="preserve">supra </w:t>
      </w:r>
      <w:r w:rsidRPr="008F5618">
        <w:rPr>
          <w:sz w:val="20"/>
          <w:szCs w:val="20"/>
        </w:rPr>
        <w:t>note 5,</w:t>
      </w:r>
      <w:r>
        <w:rPr>
          <w:sz w:val="20"/>
          <w:szCs w:val="20"/>
        </w:rPr>
        <w:t xml:space="preserve"> at 148–52. Ryo</w:t>
      </w:r>
      <w:r w:rsidR="00BA4EEB">
        <w:rPr>
          <w:sz w:val="20"/>
          <w:szCs w:val="20"/>
        </w:rPr>
        <w:t>’</w:t>
      </w:r>
      <w:r>
        <w:rPr>
          <w:sz w:val="20"/>
          <w:szCs w:val="20"/>
        </w:rPr>
        <w:t>s study of bond hearings across multiple courts found that judge characteristics and case characteristics together predicted detention outcomes, but that substantial unexplained judge-level variance persisted after controlling for those factors.</w:t>
      </w:r>
    </w:p>
  </w:footnote>
  <w:footnote w:id="45">
    <w:p w14:paraId="23671132" w14:textId="77777777" w:rsidR="00D76C6E" w:rsidRDefault="00D76C6E" w:rsidP="00D76C6E">
      <w:pPr>
        <w:ind w:firstLine="360"/>
      </w:pPr>
      <w:r>
        <w:rPr>
          <w:rStyle w:val="FootnoteReference"/>
          <w:rFonts w:eastAsiaTheme="majorEastAsia"/>
        </w:rPr>
        <w:footnoteRef/>
      </w:r>
      <w:r>
        <w:rPr>
          <w:sz w:val="20"/>
          <w:szCs w:val="20"/>
        </w:rPr>
        <w:t xml:space="preserve">Emily Ryo, </w:t>
      </w:r>
      <w:r>
        <w:rPr>
          <w:i/>
          <w:iCs/>
          <w:sz w:val="20"/>
          <w:szCs w:val="20"/>
        </w:rPr>
        <w:t>Fostering Compliance Without Coercion: Procedural Justice and Immigrant Attitudes Toward Legal Authorities</w:t>
      </w:r>
      <w:r>
        <w:rPr>
          <w:sz w:val="20"/>
          <w:szCs w:val="20"/>
        </w:rPr>
        <w:t xml:space="preserve">, 52 </w:t>
      </w:r>
      <w:r>
        <w:rPr>
          <w:smallCaps/>
          <w:sz w:val="20"/>
          <w:szCs w:val="20"/>
        </w:rPr>
        <w:t>Law &amp; Soc'y Rev.</w:t>
      </w:r>
      <w:r>
        <w:rPr>
          <w:sz w:val="20"/>
          <w:szCs w:val="20"/>
        </w:rPr>
        <w:t xml:space="preserve"> 988, 990–93 (2018) (arguing that procedural legitimacy shapes immigrants' willingness to participate in removal proceedings).</w:t>
      </w:r>
    </w:p>
  </w:footnote>
  <w:footnote w:id="46">
    <w:p w14:paraId="440B6A07" w14:textId="77777777" w:rsidR="00D76C6E" w:rsidRDefault="00D76C6E" w:rsidP="00D76C6E">
      <w:pPr>
        <w:ind w:firstLine="360"/>
      </w:pPr>
      <w:r>
        <w:rPr>
          <w:rStyle w:val="FootnoteReference"/>
          <w:rFonts w:eastAsiaTheme="majorEastAsia"/>
        </w:rPr>
        <w:footnoteRef/>
      </w:r>
      <w:r>
        <w:rPr>
          <w:i/>
          <w:iCs/>
          <w:sz w:val="20"/>
          <w:szCs w:val="20"/>
        </w:rPr>
        <w:t xml:space="preserve">See </w:t>
      </w:r>
      <w:r>
        <w:rPr>
          <w:sz w:val="20"/>
          <w:szCs w:val="20"/>
        </w:rPr>
        <w:t xml:space="preserve">Emily Ryo &amp; Ian Peacock, </w:t>
      </w:r>
      <w:r>
        <w:rPr>
          <w:i/>
          <w:iCs/>
          <w:sz w:val="20"/>
          <w:szCs w:val="20"/>
        </w:rPr>
        <w:t>Represented but Unequal: The Contingent Effect of Legal Representation in Removal Proceedings</w:t>
      </w:r>
      <w:r>
        <w:rPr>
          <w:sz w:val="20"/>
          <w:szCs w:val="20"/>
        </w:rPr>
        <w:t xml:space="preserve">, 55 </w:t>
      </w:r>
      <w:r>
        <w:rPr>
          <w:smallCaps/>
          <w:sz w:val="20"/>
          <w:szCs w:val="20"/>
        </w:rPr>
        <w:t>Law &amp; Soc'y Rev.</w:t>
      </w:r>
      <w:r>
        <w:rPr>
          <w:sz w:val="20"/>
          <w:szCs w:val="20"/>
        </w:rPr>
        <w:t xml:space="preserve"> 634, 634–36 (2021) (analyzing over 1.9 million removal proceedings decided between 1998 and 2020 and finding that the positive effect of legal representation on outcomes varies significantly across judge gender, judge tenure, presidential administration, and circuit location, with the representation benefit substantially larger in more liberal adjudicatory environments; concluding that increasing access to counsel, while important, is insufficient by itself to ensure fair and consistent outcomes given the structural variation in how adjudicators respond to represented respondents).</w:t>
      </w:r>
    </w:p>
  </w:footnote>
  <w:footnote w:id="47">
    <w:p w14:paraId="71CBCF04" w14:textId="77777777" w:rsidR="00D76C6E" w:rsidRDefault="00D76C6E" w:rsidP="00D76C6E">
      <w:pPr>
        <w:ind w:firstLine="360"/>
      </w:pPr>
      <w:r>
        <w:rPr>
          <w:rStyle w:val="FootnoteReference"/>
          <w:rFonts w:eastAsiaTheme="majorEastAsia"/>
        </w:rPr>
        <w:footnoteRef/>
      </w:r>
      <w:r>
        <w:rPr>
          <w:i/>
          <w:iCs/>
          <w:sz w:val="20"/>
          <w:szCs w:val="20"/>
        </w:rPr>
        <w:t xml:space="preserve">See </w:t>
      </w:r>
      <w:r>
        <w:rPr>
          <w:sz w:val="20"/>
          <w:szCs w:val="20"/>
        </w:rPr>
        <w:t xml:space="preserve">Ingrid </w:t>
      </w:r>
      <w:proofErr w:type="spellStart"/>
      <w:r>
        <w:rPr>
          <w:sz w:val="20"/>
          <w:szCs w:val="20"/>
        </w:rPr>
        <w:t>Eagly</w:t>
      </w:r>
      <w:proofErr w:type="spellEnd"/>
      <w:r>
        <w:rPr>
          <w:sz w:val="20"/>
          <w:szCs w:val="20"/>
        </w:rPr>
        <w:t xml:space="preserve"> &amp; Steven Shafer, </w:t>
      </w:r>
      <w:r>
        <w:rPr>
          <w:i/>
          <w:iCs/>
          <w:sz w:val="20"/>
          <w:szCs w:val="20"/>
        </w:rPr>
        <w:t>Measuring 'In Absentia' Removal in Immigration Court</w:t>
      </w:r>
      <w:r>
        <w:rPr>
          <w:sz w:val="20"/>
          <w:szCs w:val="20"/>
        </w:rPr>
        <w:t xml:space="preserve">, 168 </w:t>
      </w:r>
      <w:r>
        <w:rPr>
          <w:smallCaps/>
          <w:sz w:val="20"/>
          <w:szCs w:val="20"/>
        </w:rPr>
        <w:t>U. Pa. L. Rev.</w:t>
      </w:r>
      <w:r>
        <w:rPr>
          <w:sz w:val="20"/>
          <w:szCs w:val="20"/>
        </w:rPr>
        <w:t xml:space="preserve"> 817, 817–20 (2020) (analyzing immigration court data from 2008 to 2018 and finding that 88% of all immigrants with completed or pending removal cases attended all of their court hearings; that three factors most strongly predict in absentia removal—absence of legal representation, failure to file for relief, and court jurisdiction; and that the widespread claim that immigrants routinely fail to appear is not supported by EOIR data).</w:t>
      </w:r>
    </w:p>
  </w:footnote>
  <w:footnote w:id="48">
    <w:p w14:paraId="5CEC5066" w14:textId="38CDA22B" w:rsidR="00E8612E" w:rsidRDefault="00E8612E" w:rsidP="00E8612E">
      <w:pPr>
        <w:pStyle w:val="FootnoteText"/>
        <w:ind w:firstLine="360"/>
      </w:pPr>
      <w:r>
        <w:rPr>
          <w:rStyle w:val="FootnoteReference"/>
        </w:rPr>
        <w:footnoteRef/>
      </w:r>
      <w:r>
        <w:rPr>
          <w:i/>
          <w:iCs/>
        </w:rPr>
        <w:t>Id.</w:t>
      </w:r>
      <w:r>
        <w:t xml:space="preserve"> </w:t>
      </w:r>
    </w:p>
  </w:footnote>
  <w:footnote w:id="49">
    <w:p w14:paraId="36B06EAD" w14:textId="77777777" w:rsidR="00D76C6E" w:rsidRDefault="00D76C6E" w:rsidP="00D76C6E">
      <w:pPr>
        <w:ind w:firstLine="360"/>
      </w:pPr>
      <w:r>
        <w:rPr>
          <w:rStyle w:val="FootnoteReference"/>
          <w:rFonts w:eastAsiaTheme="majorEastAsia"/>
        </w:rPr>
        <w:footnoteRef/>
      </w:r>
      <w:r>
        <w:rPr>
          <w:i/>
          <w:iCs/>
          <w:sz w:val="20"/>
          <w:szCs w:val="20"/>
        </w:rPr>
        <w:t xml:space="preserve">See </w:t>
      </w:r>
      <w:r>
        <w:rPr>
          <w:sz w:val="20"/>
          <w:szCs w:val="20"/>
        </w:rPr>
        <w:t xml:space="preserve">Emily Ryo &amp; Ian Peacock, </w:t>
      </w:r>
      <w:r>
        <w:rPr>
          <w:i/>
          <w:iCs/>
          <w:sz w:val="20"/>
          <w:szCs w:val="20"/>
        </w:rPr>
        <w:t>Intergroup Boundaries and Removal Decisions</w:t>
      </w:r>
      <w:r>
        <w:rPr>
          <w:sz w:val="20"/>
          <w:szCs w:val="20"/>
        </w:rPr>
        <w:t xml:space="preserve">, </w:t>
      </w:r>
      <w:r>
        <w:rPr>
          <w:smallCaps/>
          <w:sz w:val="20"/>
          <w:szCs w:val="20"/>
        </w:rPr>
        <w:t>J.L. Econ. &amp; Org.</w:t>
      </w:r>
      <w:r>
        <w:rPr>
          <w:sz w:val="20"/>
          <w:szCs w:val="20"/>
        </w:rPr>
        <w:t xml:space="preserve"> (advance article 2025), https://doi.org/10.1093/jleo/ewaf012 (analyzing over 1.9 million removal proceedings and finding that judge-level demographic characteristics interact with case-level detention status to produce systematic outcome disparities that cannot be explained by case merits; demonstrating that the detention context mediates the relationship between judge identity and adjudicatory outcome in ways that amplify inequality across cases).</w:t>
      </w:r>
    </w:p>
  </w:footnote>
  <w:footnote w:id="50">
    <w:p w14:paraId="2992BC9D" w14:textId="76134306" w:rsidR="00D76C6E" w:rsidRDefault="00D76C6E" w:rsidP="00D76C6E">
      <w:pPr>
        <w:ind w:firstLine="360"/>
      </w:pPr>
      <w:r>
        <w:rPr>
          <w:rStyle w:val="FootnoteReference"/>
          <w:rFonts w:eastAsiaTheme="majorEastAsia"/>
        </w:rPr>
        <w:footnoteRef/>
      </w:r>
      <w:r>
        <w:rPr>
          <w:i/>
          <w:iCs/>
          <w:sz w:val="20"/>
          <w:szCs w:val="20"/>
        </w:rPr>
        <w:t>See</w:t>
      </w:r>
      <w:r w:rsidR="005274D4" w:rsidRPr="005274D4">
        <w:rPr>
          <w:sz w:val="20"/>
          <w:szCs w:val="20"/>
        </w:rPr>
        <w:t xml:space="preserve"> </w:t>
      </w:r>
      <w:r w:rsidR="005274D4">
        <w:rPr>
          <w:sz w:val="20"/>
          <w:szCs w:val="20"/>
        </w:rPr>
        <w:t xml:space="preserve">Daniel E. Chand, William D. Schreckhise &amp; Marianne L. Bowers, </w:t>
      </w:r>
      <w:r w:rsidR="005274D4">
        <w:rPr>
          <w:i/>
          <w:iCs/>
          <w:sz w:val="20"/>
          <w:szCs w:val="20"/>
        </w:rPr>
        <w:t>The Dynamics of State and Local Contexts and Immigration Asylum Hearing Decisions</w:t>
      </w:r>
      <w:r w:rsidR="005274D4">
        <w:rPr>
          <w:sz w:val="20"/>
          <w:szCs w:val="20"/>
        </w:rPr>
        <w:t xml:space="preserve">, 27 </w:t>
      </w:r>
      <w:r w:rsidR="005274D4">
        <w:rPr>
          <w:smallCaps/>
          <w:sz w:val="20"/>
          <w:szCs w:val="20"/>
        </w:rPr>
        <w:t>J. Pub. Admin. Res. &amp; Theory</w:t>
      </w:r>
      <w:r w:rsidR="005274D4">
        <w:rPr>
          <w:sz w:val="20"/>
          <w:szCs w:val="20"/>
        </w:rPr>
        <w:t xml:space="preserve"> 182, 186–88 (2017) </w:t>
      </w:r>
      <w:r>
        <w:rPr>
          <w:sz w:val="20"/>
          <w:szCs w:val="20"/>
        </w:rPr>
        <w:t>(finding that courts located in politically conservative environments produce systematically lower asylum grant rates even after controlling for case characteristics and judge tenure).</w:t>
      </w:r>
    </w:p>
  </w:footnote>
  <w:footnote w:id="51">
    <w:p w14:paraId="7D5A9DBC" w14:textId="0EF55D91" w:rsidR="00D76C6E" w:rsidRDefault="00D76C6E" w:rsidP="00D76C6E">
      <w:pPr>
        <w:ind w:firstLine="360"/>
      </w:pPr>
      <w:r>
        <w:rPr>
          <w:rStyle w:val="FootnoteReference"/>
          <w:rFonts w:eastAsiaTheme="majorEastAsia"/>
        </w:rPr>
        <w:footnoteRef/>
      </w:r>
      <w:r w:rsidR="00B50AEF">
        <w:rPr>
          <w:i/>
          <w:iCs/>
          <w:sz w:val="20"/>
          <w:szCs w:val="20"/>
        </w:rPr>
        <w:t xml:space="preserve">See </w:t>
      </w:r>
      <w:r>
        <w:rPr>
          <w:sz w:val="20"/>
          <w:szCs w:val="20"/>
        </w:rPr>
        <w:t xml:space="preserve">William D. Schreckhise &amp; Daniel E. Chand, </w:t>
      </w:r>
      <w:r>
        <w:rPr>
          <w:i/>
          <w:iCs/>
          <w:sz w:val="20"/>
          <w:szCs w:val="20"/>
        </w:rPr>
        <w:t>Local Implementation of U.S. Federal Immigration Enforcement Programs</w:t>
      </w:r>
      <w:r>
        <w:rPr>
          <w:sz w:val="20"/>
          <w:szCs w:val="20"/>
        </w:rPr>
        <w:t xml:space="preserve">, 56 </w:t>
      </w:r>
      <w:r>
        <w:rPr>
          <w:smallCaps/>
          <w:sz w:val="20"/>
          <w:szCs w:val="20"/>
        </w:rPr>
        <w:t>Policy Sciences</w:t>
      </w:r>
      <w:r>
        <w:rPr>
          <w:sz w:val="20"/>
          <w:szCs w:val="20"/>
        </w:rPr>
        <w:t xml:space="preserve"> 413, 418–22 (2023) (examining variation in local ICE enforcement intensity across immigration court jurisdictions and finding that local political culture shapes enforcement priorities in ways that feed into the immigration court docket).</w:t>
      </w:r>
    </w:p>
  </w:footnote>
  <w:footnote w:id="52">
    <w:p w14:paraId="1862392C" w14:textId="5E8DD541" w:rsidR="00D76C6E" w:rsidRDefault="00D76C6E" w:rsidP="00D76C6E">
      <w:pPr>
        <w:ind w:firstLine="360"/>
      </w:pPr>
      <w:r>
        <w:rPr>
          <w:rStyle w:val="FootnoteReference"/>
          <w:rFonts w:eastAsiaTheme="majorEastAsia"/>
        </w:rPr>
        <w:footnoteRef/>
      </w:r>
      <w:r>
        <w:rPr>
          <w:sz w:val="20"/>
          <w:szCs w:val="20"/>
        </w:rPr>
        <w:t xml:space="preserve">Banks Miller, Linda Camp Keith &amp; Jennifer S. Holmes, </w:t>
      </w:r>
      <w:r>
        <w:rPr>
          <w:smallCaps/>
          <w:sz w:val="20"/>
          <w:szCs w:val="20"/>
        </w:rPr>
        <w:t>Immigration Judges and U.S. Asylum Policy</w:t>
      </w:r>
      <w:r>
        <w:rPr>
          <w:sz w:val="20"/>
          <w:szCs w:val="20"/>
        </w:rPr>
        <w:t xml:space="preserve"> 78–82 (Univ. of Pa. Press 2015)</w:t>
      </w:r>
      <w:r w:rsidR="00F95C5A">
        <w:rPr>
          <w:sz w:val="20"/>
          <w:szCs w:val="20"/>
        </w:rPr>
        <w:t xml:space="preserve">. </w:t>
      </w:r>
      <w:r>
        <w:rPr>
          <w:sz w:val="20"/>
          <w:szCs w:val="20"/>
        </w:rPr>
        <w:t>Miller, Keith &amp; Holmes analyze a large panel of IJ decisions from 1990 to 2010, situating immigration courts within the executive adjudication ecosystem and documenting the role of political oversight, ideological composition of the BIA, and organizational incentives in shaping asylum outcomes.</w:t>
      </w:r>
    </w:p>
  </w:footnote>
  <w:footnote w:id="53">
    <w:p w14:paraId="0B381AD7" w14:textId="77777777" w:rsidR="00D76C6E" w:rsidRDefault="00D76C6E" w:rsidP="00D76C6E">
      <w:pPr>
        <w:ind w:firstLine="360"/>
      </w:pPr>
      <w:r>
        <w:rPr>
          <w:rStyle w:val="FootnoteReference"/>
          <w:rFonts w:eastAsiaTheme="majorEastAsia"/>
        </w:rPr>
        <w:footnoteRef/>
      </w:r>
      <w:r>
        <w:rPr>
          <w:i/>
          <w:iCs/>
          <w:sz w:val="20"/>
          <w:szCs w:val="20"/>
        </w:rPr>
        <w:t xml:space="preserve">Id. at </w:t>
      </w:r>
      <w:r>
        <w:rPr>
          <w:sz w:val="20"/>
          <w:szCs w:val="20"/>
        </w:rPr>
        <w:t xml:space="preserve">34–40 (documenting that IJs appointed under Republican attorneys general were more likely to deny asylum, a finding that persisted after controlling for case characteristics and court location). </w:t>
      </w:r>
      <w:r>
        <w:rPr>
          <w:i/>
          <w:iCs/>
          <w:sz w:val="20"/>
          <w:szCs w:val="20"/>
        </w:rPr>
        <w:t xml:space="preserve">See id. </w:t>
      </w:r>
      <w:r w:rsidRPr="00F95C5A">
        <w:rPr>
          <w:sz w:val="20"/>
          <w:szCs w:val="20"/>
        </w:rPr>
        <w:t xml:space="preserve">at </w:t>
      </w:r>
      <w:proofErr w:type="spellStart"/>
      <w:r>
        <w:rPr>
          <w:sz w:val="20"/>
          <w:szCs w:val="20"/>
        </w:rPr>
        <w:t>ch.</w:t>
      </w:r>
      <w:proofErr w:type="spellEnd"/>
      <w:r>
        <w:rPr>
          <w:sz w:val="20"/>
          <w:szCs w:val="20"/>
        </w:rPr>
        <w:t xml:space="preserve"> 5 (examining the role of BIA composition and circuit court ideology in shaping IJ behavior).</w:t>
      </w:r>
    </w:p>
  </w:footnote>
  <w:footnote w:id="54">
    <w:p w14:paraId="43FFA109" w14:textId="4B804DEC" w:rsidR="00D76C6E" w:rsidRDefault="00D76C6E" w:rsidP="00D76C6E">
      <w:pPr>
        <w:ind w:firstLine="360"/>
      </w:pPr>
      <w:r>
        <w:rPr>
          <w:rStyle w:val="FootnoteReference"/>
          <w:rFonts w:eastAsiaTheme="majorEastAsia"/>
        </w:rPr>
        <w:footnoteRef/>
      </w:r>
      <w:r>
        <w:rPr>
          <w:sz w:val="20"/>
          <w:szCs w:val="20"/>
        </w:rPr>
        <w:t xml:space="preserve">Elise N. Blasingame, Christina L. Boyd, Robert F. Carlos &amp; Joseph T. Ornstein, </w:t>
      </w:r>
      <w:r>
        <w:rPr>
          <w:i/>
          <w:iCs/>
          <w:sz w:val="20"/>
          <w:szCs w:val="20"/>
        </w:rPr>
        <w:t>How the Trump Administration's Quota Policy Transformed Immigration Judging</w:t>
      </w:r>
      <w:r>
        <w:rPr>
          <w:sz w:val="20"/>
          <w:szCs w:val="20"/>
        </w:rPr>
        <w:t xml:space="preserve">, 118 </w:t>
      </w:r>
      <w:r>
        <w:rPr>
          <w:smallCaps/>
          <w:sz w:val="20"/>
          <w:szCs w:val="20"/>
        </w:rPr>
        <w:t>Am. Pol. Sci. Rev.</w:t>
      </w:r>
      <w:r>
        <w:rPr>
          <w:sz w:val="20"/>
          <w:szCs w:val="20"/>
        </w:rPr>
        <w:t xml:space="preserve"> 1688 (2024)</w:t>
      </w:r>
      <w:r w:rsidR="00053AFE">
        <w:rPr>
          <w:sz w:val="20"/>
          <w:szCs w:val="20"/>
        </w:rPr>
        <w:t xml:space="preserve">. </w:t>
      </w:r>
      <w:r>
        <w:rPr>
          <w:sz w:val="20"/>
          <w:szCs w:val="20"/>
        </w:rPr>
        <w:t>Boyd et al.</w:t>
      </w:r>
      <w:r w:rsidR="00053AFE">
        <w:rPr>
          <w:sz w:val="20"/>
          <w:szCs w:val="20"/>
        </w:rPr>
        <w:t>’</w:t>
      </w:r>
      <w:r>
        <w:rPr>
          <w:sz w:val="20"/>
          <w:szCs w:val="20"/>
        </w:rPr>
        <w:t>s article uses EOIR administrative data to study the effects of the Trump administration's case completion quotas on immigration judge decision-making.</w:t>
      </w:r>
    </w:p>
  </w:footnote>
  <w:footnote w:id="55">
    <w:p w14:paraId="40D1B548" w14:textId="77777777" w:rsidR="00D76C6E" w:rsidRDefault="00D76C6E" w:rsidP="00D76C6E">
      <w:pPr>
        <w:ind w:firstLine="360"/>
      </w:pPr>
      <w:r>
        <w:rPr>
          <w:rStyle w:val="FootnoteReference"/>
          <w:rFonts w:eastAsiaTheme="majorEastAsia"/>
        </w:rPr>
        <w:footnoteRef/>
      </w:r>
      <w:r>
        <w:rPr>
          <w:i/>
          <w:iCs/>
          <w:sz w:val="20"/>
          <w:szCs w:val="20"/>
        </w:rPr>
        <w:t xml:space="preserve">See </w:t>
      </w:r>
      <w:r>
        <w:rPr>
          <w:sz w:val="20"/>
          <w:szCs w:val="20"/>
        </w:rPr>
        <w:t xml:space="preserve">Emily Ryo &amp; Ian Peacock, </w:t>
      </w:r>
      <w:r>
        <w:rPr>
          <w:i/>
          <w:iCs/>
          <w:sz w:val="20"/>
          <w:szCs w:val="20"/>
        </w:rPr>
        <w:t>Intergroup Boundaries and Removal Decisions</w:t>
      </w:r>
      <w:r>
        <w:rPr>
          <w:sz w:val="20"/>
          <w:szCs w:val="20"/>
        </w:rPr>
        <w:t xml:space="preserve">, </w:t>
      </w:r>
      <w:r>
        <w:rPr>
          <w:smallCaps/>
          <w:sz w:val="20"/>
          <w:szCs w:val="20"/>
        </w:rPr>
        <w:t>J.L. Econ. &amp; Org.</w:t>
      </w:r>
      <w:r>
        <w:rPr>
          <w:sz w:val="20"/>
          <w:szCs w:val="20"/>
        </w:rPr>
        <w:t xml:space="preserve"> (advance article 2025), https://doi.org/10.1093/jleo/ewaf012 (finding that Chinese nationals experienced significantly higher removal rates during the early COVID-19 pandemic period, consistent with event stigma theory, and that East and Southeast Asian respondents also experienced elevated removal rates through associative stigma; examining how the COVID-19 pandemic and Matter of A-B- as exogenous shocks that heightened the salience of intergroup boundaries altered immigration judge decision-making); </w:t>
      </w:r>
      <w:r>
        <w:rPr>
          <w:i/>
          <w:iCs/>
          <w:sz w:val="20"/>
          <w:szCs w:val="20"/>
        </w:rPr>
        <w:t xml:space="preserve">see also </w:t>
      </w:r>
      <w:r>
        <w:rPr>
          <w:sz w:val="20"/>
          <w:szCs w:val="20"/>
        </w:rPr>
        <w:t xml:space="preserve">Ian Peacock &amp; Emily Ryo, </w:t>
      </w:r>
      <w:r>
        <w:rPr>
          <w:i/>
          <w:iCs/>
          <w:sz w:val="20"/>
          <w:szCs w:val="20"/>
        </w:rPr>
        <w:t>A Study of Pandemic and Stigma Effects in Removal Proceedings</w:t>
      </w:r>
      <w:r>
        <w:rPr>
          <w:sz w:val="20"/>
          <w:szCs w:val="20"/>
        </w:rPr>
        <w:t xml:space="preserve">, 19 </w:t>
      </w:r>
      <w:r>
        <w:rPr>
          <w:smallCaps/>
          <w:sz w:val="20"/>
          <w:szCs w:val="20"/>
        </w:rPr>
        <w:t>J. Empirical Legal Studies</w:t>
      </w:r>
      <w:r>
        <w:rPr>
          <w:sz w:val="20"/>
          <w:szCs w:val="20"/>
        </w:rPr>
        <w:t xml:space="preserve"> 560, 561–63 (2022) (providing complementary analysis of the pandemic's effects on removal rates for Chinese and East and Southeast Asian respondents).</w:t>
      </w:r>
    </w:p>
  </w:footnote>
  <w:footnote w:id="56">
    <w:p w14:paraId="482461EC" w14:textId="77777777" w:rsidR="00D76C6E" w:rsidRDefault="00D76C6E" w:rsidP="00D76C6E">
      <w:pPr>
        <w:ind w:firstLine="360"/>
      </w:pPr>
      <w:r>
        <w:rPr>
          <w:rStyle w:val="FootnoteReference"/>
          <w:rFonts w:eastAsiaTheme="majorEastAsia"/>
        </w:rPr>
        <w:footnoteRef/>
      </w:r>
      <w:r>
        <w:rPr>
          <w:i/>
          <w:iCs/>
          <w:sz w:val="20"/>
          <w:szCs w:val="20"/>
        </w:rPr>
        <w:t xml:space="preserve">See </w:t>
      </w:r>
      <w:r>
        <w:rPr>
          <w:sz w:val="20"/>
          <w:szCs w:val="20"/>
        </w:rPr>
        <w:t xml:space="preserve">Catherine Y. Kim &amp; Amy E. Semet, </w:t>
      </w:r>
      <w:r>
        <w:rPr>
          <w:i/>
          <w:iCs/>
          <w:sz w:val="20"/>
          <w:szCs w:val="20"/>
        </w:rPr>
        <w:t>An Empirical Study of Political Control over Immigration Adjudication</w:t>
      </w:r>
      <w:r>
        <w:rPr>
          <w:sz w:val="20"/>
          <w:szCs w:val="20"/>
        </w:rPr>
        <w:t xml:space="preserve">, 108 </w:t>
      </w:r>
      <w:r>
        <w:rPr>
          <w:smallCaps/>
          <w:sz w:val="20"/>
          <w:szCs w:val="20"/>
        </w:rPr>
        <w:t>Geo. L.J.</w:t>
      </w:r>
      <w:r>
        <w:rPr>
          <w:sz w:val="20"/>
          <w:szCs w:val="20"/>
        </w:rPr>
        <w:t xml:space="preserve"> 579, 585–90 (2020) (documenting that presidential administration at time of decision is a statistically significant predictor of removal rates, operating through enforcement priorities, prosecutorial discretion policies, and institutional directives); </w:t>
      </w:r>
      <w:r>
        <w:rPr>
          <w:i/>
          <w:iCs/>
          <w:sz w:val="20"/>
          <w:szCs w:val="20"/>
        </w:rPr>
        <w:t xml:space="preserve">see also </w:t>
      </w:r>
      <w:r>
        <w:rPr>
          <w:sz w:val="20"/>
          <w:szCs w:val="20"/>
        </w:rPr>
        <w:t xml:space="preserve">Hausman, Ho, Krass &amp; McDonough, </w:t>
      </w:r>
      <w:r>
        <w:rPr>
          <w:i/>
          <w:iCs/>
          <w:sz w:val="20"/>
          <w:szCs w:val="20"/>
        </w:rPr>
        <w:t xml:space="preserve">supra </w:t>
      </w:r>
      <w:r w:rsidRPr="00053AFE">
        <w:rPr>
          <w:sz w:val="20"/>
          <w:szCs w:val="20"/>
        </w:rPr>
        <w:t>note 27,</w:t>
      </w:r>
      <w:r>
        <w:rPr>
          <w:sz w:val="20"/>
          <w:szCs w:val="20"/>
        </w:rPr>
        <w:t xml:space="preserve"> at 683–87 (identifying three mechanisms through which the executive controls immigration adjudication: capacity-building, selection, and precedential rulemaking).</w:t>
      </w:r>
    </w:p>
  </w:footnote>
  <w:footnote w:id="57">
    <w:p w14:paraId="04F22693" w14:textId="77777777" w:rsidR="00D76C6E" w:rsidRDefault="00D76C6E" w:rsidP="00D76C6E">
      <w:pPr>
        <w:ind w:firstLine="360"/>
      </w:pPr>
      <w:r>
        <w:rPr>
          <w:rStyle w:val="FootnoteReference"/>
          <w:rFonts w:eastAsiaTheme="majorEastAsia"/>
        </w:rPr>
        <w:footnoteRef/>
      </w:r>
      <w:r>
        <w:rPr>
          <w:i/>
          <w:iCs/>
          <w:sz w:val="20"/>
          <w:szCs w:val="20"/>
        </w:rPr>
        <w:t xml:space="preserve">See </w:t>
      </w:r>
      <w:r>
        <w:rPr>
          <w:sz w:val="20"/>
          <w:szCs w:val="20"/>
        </w:rPr>
        <w:t xml:space="preserve">Kim &amp; Semet, </w:t>
      </w:r>
      <w:r>
        <w:rPr>
          <w:i/>
          <w:iCs/>
          <w:sz w:val="20"/>
          <w:szCs w:val="20"/>
        </w:rPr>
        <w:t xml:space="preserve">supra </w:t>
      </w:r>
      <w:r w:rsidRPr="00053AFE">
        <w:rPr>
          <w:sz w:val="20"/>
          <w:szCs w:val="20"/>
        </w:rPr>
        <w:t>note 56, at</w:t>
      </w:r>
      <w:r>
        <w:rPr>
          <w:sz w:val="20"/>
          <w:szCs w:val="20"/>
        </w:rPr>
        <w:t xml:space="preserve"> 611–15 (finding that the presidential administration currently in power is as strong a predictor of removal rates as judge-level characteristics, and that judges across the system adjusted their decisions in response to administration-level shifts); </w:t>
      </w:r>
      <w:r>
        <w:rPr>
          <w:i/>
          <w:iCs/>
          <w:sz w:val="20"/>
          <w:szCs w:val="20"/>
        </w:rPr>
        <w:t xml:space="preserve">see also </w:t>
      </w:r>
      <w:r>
        <w:rPr>
          <w:sz w:val="20"/>
          <w:szCs w:val="20"/>
        </w:rPr>
        <w:t xml:space="preserve">Miller, Keith &amp; Holmes, </w:t>
      </w:r>
      <w:r>
        <w:rPr>
          <w:i/>
          <w:iCs/>
          <w:sz w:val="20"/>
          <w:szCs w:val="20"/>
        </w:rPr>
        <w:t xml:space="preserve">supra </w:t>
      </w:r>
      <w:r w:rsidRPr="00053AFE">
        <w:rPr>
          <w:sz w:val="20"/>
          <w:szCs w:val="20"/>
        </w:rPr>
        <w:t>note 50,</w:t>
      </w:r>
      <w:r>
        <w:rPr>
          <w:sz w:val="20"/>
          <w:szCs w:val="20"/>
        </w:rPr>
        <w:t xml:space="preserve"> at 78–82 (documenting that changes in the ideological composition of the BIA—driven by presidential appointments—influenced IJ asylum grant rates, providing evidence of system-level responsiveness to political principals).</w:t>
      </w:r>
    </w:p>
  </w:footnote>
  <w:footnote w:id="58">
    <w:p w14:paraId="58BE9444" w14:textId="77777777" w:rsidR="00D76C6E" w:rsidRDefault="00D76C6E" w:rsidP="00D76C6E">
      <w:pPr>
        <w:ind w:firstLine="360"/>
      </w:pPr>
      <w:r>
        <w:rPr>
          <w:rStyle w:val="FootnoteReference"/>
          <w:rFonts w:eastAsiaTheme="majorEastAsia"/>
        </w:rPr>
        <w:footnoteRef/>
      </w:r>
      <w:r>
        <w:rPr>
          <w:i/>
          <w:iCs/>
          <w:sz w:val="20"/>
          <w:szCs w:val="20"/>
        </w:rPr>
        <w:t xml:space="preserve">See </w:t>
      </w:r>
      <w:r>
        <w:rPr>
          <w:sz w:val="20"/>
          <w:szCs w:val="20"/>
        </w:rPr>
        <w:t>Matter of Castro-Tum, 27 I. &amp; N. Dec. 271 (A.G. 2018) (restricting immigration judges' authority to administratively close cases, concluding that IJs lack inherent authority to close cases absent express regulatory authorization). The Castro-Tum decision was subsequently vacated in Garland v. Aleman Gonzalez, 596 U.S. 543 (2022), which addressed related questions of administrative closure in the circuit court context.</w:t>
      </w:r>
    </w:p>
  </w:footnote>
  <w:footnote w:id="59">
    <w:p w14:paraId="224ADDC1" w14:textId="3EDDEDEF" w:rsidR="00D76C6E" w:rsidRDefault="00D76C6E" w:rsidP="00D76C6E">
      <w:pPr>
        <w:ind w:firstLine="360"/>
      </w:pPr>
      <w:r>
        <w:rPr>
          <w:rStyle w:val="FootnoteReference"/>
          <w:rFonts w:eastAsiaTheme="majorEastAsia"/>
        </w:rPr>
        <w:footnoteRef/>
      </w:r>
      <w:r>
        <w:rPr>
          <w:sz w:val="20"/>
          <w:szCs w:val="20"/>
        </w:rPr>
        <w:t>The Trump administration</w:t>
      </w:r>
      <w:r w:rsidR="00053AFE">
        <w:rPr>
          <w:sz w:val="20"/>
          <w:szCs w:val="20"/>
        </w:rPr>
        <w:t>’</w:t>
      </w:r>
      <w:r>
        <w:rPr>
          <w:sz w:val="20"/>
          <w:szCs w:val="20"/>
        </w:rPr>
        <w:t xml:space="preserve">s use of AG certification authority generated a series of precedential decisions that restricted asylum eligibility and other forms of relief. </w:t>
      </w:r>
      <w:r>
        <w:rPr>
          <w:i/>
          <w:iCs/>
          <w:sz w:val="20"/>
          <w:szCs w:val="20"/>
        </w:rPr>
        <w:t xml:space="preserve">See </w:t>
      </w:r>
      <w:r>
        <w:rPr>
          <w:sz w:val="20"/>
          <w:szCs w:val="20"/>
        </w:rPr>
        <w:t xml:space="preserve">Matter of A-B-, 27 I. &amp; N. Dec. 316 (A.G. 2018) (restricting asylum for victims of domestic and gang violence); Matter of L-E-A-, 27 I. &amp; N. Dec. 581 (A.G. 2019) (restricting cognizable particular social group claims); Matter of Castro-Tum, 27 I. &amp; N. Dec. 271 (A.G. 2018) (eliminating administrative closure authority). </w:t>
      </w:r>
      <w:r>
        <w:rPr>
          <w:i/>
          <w:iCs/>
          <w:sz w:val="20"/>
          <w:szCs w:val="20"/>
        </w:rPr>
        <w:t xml:space="preserve">See generally </w:t>
      </w:r>
      <w:r>
        <w:rPr>
          <w:sz w:val="20"/>
          <w:szCs w:val="20"/>
        </w:rPr>
        <w:t xml:space="preserve">Hausman, Ho, Krass &amp; McDonough, </w:t>
      </w:r>
      <w:r>
        <w:rPr>
          <w:i/>
          <w:iCs/>
          <w:sz w:val="20"/>
          <w:szCs w:val="20"/>
        </w:rPr>
        <w:t>supra note 27</w:t>
      </w:r>
      <w:r>
        <w:rPr>
          <w:sz w:val="20"/>
          <w:szCs w:val="20"/>
        </w:rPr>
        <w:t>, at 700–09 (analyzing the aggregate effects of AG precedential decisions on removal rates across all immigration courts).</w:t>
      </w:r>
    </w:p>
  </w:footnote>
  <w:footnote w:id="60">
    <w:p w14:paraId="2D2A01EB" w14:textId="77777777" w:rsidR="00D76C6E" w:rsidRDefault="00D76C6E" w:rsidP="00D76C6E">
      <w:pPr>
        <w:ind w:firstLine="360"/>
      </w:pPr>
      <w:r>
        <w:rPr>
          <w:rStyle w:val="FootnoteReference"/>
          <w:rFonts w:eastAsiaTheme="majorEastAsia"/>
        </w:rPr>
        <w:footnoteRef/>
      </w:r>
      <w:r>
        <w:rPr>
          <w:i/>
          <w:iCs/>
          <w:sz w:val="20"/>
          <w:szCs w:val="20"/>
        </w:rPr>
        <w:t xml:space="preserve">See </w:t>
      </w:r>
      <w:r>
        <w:rPr>
          <w:sz w:val="20"/>
          <w:szCs w:val="20"/>
        </w:rPr>
        <w:t xml:space="preserve">Hausman, Ho, Krass &amp; McDonough, </w:t>
      </w:r>
      <w:r>
        <w:rPr>
          <w:i/>
          <w:iCs/>
          <w:sz w:val="20"/>
          <w:szCs w:val="20"/>
        </w:rPr>
        <w:t xml:space="preserve">supra </w:t>
      </w:r>
      <w:r w:rsidRPr="008479B7">
        <w:rPr>
          <w:sz w:val="20"/>
          <w:szCs w:val="20"/>
        </w:rPr>
        <w:t>note 27,</w:t>
      </w:r>
      <w:r>
        <w:rPr>
          <w:sz w:val="20"/>
          <w:szCs w:val="20"/>
        </w:rPr>
        <w:t xml:space="preserve"> at 682–86 (characterizing the Trump administration's multi-pronged approach to immigration court reform as an attempt to transform the immigration judiciary into a more enforcement-oriented body); Blasingame, Boyd, Carlos &amp; Ornstein, </w:t>
      </w:r>
      <w:r>
        <w:rPr>
          <w:i/>
          <w:iCs/>
          <w:sz w:val="20"/>
          <w:szCs w:val="20"/>
        </w:rPr>
        <w:t xml:space="preserve">supra </w:t>
      </w:r>
      <w:r w:rsidRPr="003A574F">
        <w:rPr>
          <w:sz w:val="20"/>
          <w:szCs w:val="20"/>
        </w:rPr>
        <w:t>note 53,</w:t>
      </w:r>
      <w:r>
        <w:rPr>
          <w:sz w:val="20"/>
          <w:szCs w:val="20"/>
        </w:rPr>
        <w:t xml:space="preserve"> at 1695–98 (documenting that case completion quotas measurably altered immigration judge decision-making patterns).</w:t>
      </w:r>
    </w:p>
  </w:footnote>
  <w:footnote w:id="61">
    <w:p w14:paraId="12592AE1" w14:textId="77777777" w:rsidR="00D76C6E" w:rsidRDefault="00D76C6E" w:rsidP="00D76C6E">
      <w:pPr>
        <w:ind w:firstLine="360"/>
      </w:pPr>
      <w:r>
        <w:rPr>
          <w:rStyle w:val="FootnoteReference"/>
          <w:rFonts w:eastAsiaTheme="majorEastAsia"/>
        </w:rPr>
        <w:footnoteRef/>
      </w:r>
      <w:r>
        <w:rPr>
          <w:i/>
          <w:iCs/>
          <w:sz w:val="20"/>
          <w:szCs w:val="20"/>
        </w:rPr>
        <w:t xml:space="preserve">See </w:t>
      </w:r>
      <w:r>
        <w:rPr>
          <w:sz w:val="20"/>
          <w:szCs w:val="20"/>
        </w:rPr>
        <w:t xml:space="preserve">Karen Musalo, Anna O. Law, Annie Daher, Katharine M. Donato &amp; Chelsea Meiners, </w:t>
      </w:r>
      <w:r>
        <w:rPr>
          <w:i/>
          <w:iCs/>
          <w:sz w:val="20"/>
          <w:szCs w:val="20"/>
        </w:rPr>
        <w:t>With Fear, Favor, and Flawed Analysis: Decision-Making in U.S. Immigration Courts</w:t>
      </w:r>
      <w:r>
        <w:rPr>
          <w:sz w:val="20"/>
          <w:szCs w:val="20"/>
        </w:rPr>
        <w:t xml:space="preserve">, 65 </w:t>
      </w:r>
      <w:r>
        <w:rPr>
          <w:smallCaps/>
          <w:sz w:val="20"/>
          <w:szCs w:val="20"/>
        </w:rPr>
        <w:t>B.C. L. Rev.</w:t>
      </w:r>
      <w:r>
        <w:rPr>
          <w:sz w:val="20"/>
          <w:szCs w:val="20"/>
        </w:rPr>
        <w:t xml:space="preserve"> 2743, 2745–52 (2024) (analyzing over 500 IJ decisions in humanitarian relief cases and documenting that IJs frequently denied protection on the basis of highly restrictive interpretations of determinative legal elements even where credibility was unquestioned; that male IJs and IJs with enforcement backgrounds showed systematically higher denial rates; and recommending structural reforms including creation of Article I immigration courts as the most reliable means of insulating adjudicators from executive pressure).</w:t>
      </w:r>
    </w:p>
  </w:footnote>
  <w:footnote w:id="62">
    <w:p w14:paraId="01CEBAEE" w14:textId="77777777" w:rsidR="00D76C6E" w:rsidRDefault="00D76C6E" w:rsidP="00D76C6E">
      <w:pPr>
        <w:ind w:firstLine="360"/>
      </w:pPr>
      <w:r>
        <w:rPr>
          <w:rStyle w:val="FootnoteReference"/>
          <w:rFonts w:eastAsiaTheme="majorEastAsia"/>
        </w:rPr>
        <w:footnoteRef/>
      </w:r>
      <w:r>
        <w:rPr>
          <w:i/>
          <w:iCs/>
          <w:sz w:val="20"/>
          <w:szCs w:val="20"/>
        </w:rPr>
        <w:t xml:space="preserve">See </w:t>
      </w:r>
      <w:r>
        <w:rPr>
          <w:sz w:val="20"/>
          <w:szCs w:val="20"/>
        </w:rPr>
        <w:t xml:space="preserve">Family, </w:t>
      </w:r>
      <w:r>
        <w:rPr>
          <w:i/>
          <w:iCs/>
          <w:sz w:val="20"/>
          <w:szCs w:val="20"/>
        </w:rPr>
        <w:t>supra note 30</w:t>
      </w:r>
      <w:r>
        <w:rPr>
          <w:sz w:val="20"/>
          <w:szCs w:val="20"/>
        </w:rPr>
        <w:t xml:space="preserve"> (manuscript at 10–16) (documenting the second Trump administration's systematic removal of approximately 140 immigration judges in early 2025 and arguing that mass termination of career adjudicators for their adjudicatory outcomes—as opposed to individual misconduct or performance deficiency—represents a constitutionally unprecedented form of executive control over adjudication that cannot be justified by unitary executive theory; distinguishing the removal of adjudicators from the removal of policymaking officers who more naturally fall within the executive's supervisory authority).</w:t>
      </w:r>
    </w:p>
  </w:footnote>
  <w:footnote w:id="63">
    <w:p w14:paraId="72E5F0FC" w14:textId="0E25B2AA" w:rsidR="00D76C6E" w:rsidRDefault="00D76C6E" w:rsidP="00D76C6E">
      <w:pPr>
        <w:ind w:firstLine="360"/>
      </w:pPr>
      <w:r>
        <w:rPr>
          <w:rStyle w:val="FootnoteReference"/>
          <w:rFonts w:eastAsiaTheme="majorEastAsia"/>
        </w:rPr>
        <w:footnoteRef/>
      </w:r>
      <w:r>
        <w:rPr>
          <w:i/>
          <w:iCs/>
          <w:sz w:val="20"/>
          <w:szCs w:val="20"/>
        </w:rPr>
        <w:t xml:space="preserve">See </w:t>
      </w:r>
      <w:r>
        <w:rPr>
          <w:sz w:val="20"/>
          <w:szCs w:val="20"/>
        </w:rPr>
        <w:t xml:space="preserve">Aaron L. Nielson, Christopher J. Walker &amp; </w:t>
      </w:r>
      <w:r w:rsidR="003A574F">
        <w:rPr>
          <w:sz w:val="20"/>
          <w:szCs w:val="20"/>
        </w:rPr>
        <w:t>Melissa</w:t>
      </w:r>
      <w:r>
        <w:rPr>
          <w:sz w:val="20"/>
          <w:szCs w:val="20"/>
        </w:rPr>
        <w:t xml:space="preserve"> Wasserman, </w:t>
      </w:r>
      <w:r>
        <w:rPr>
          <w:i/>
          <w:iCs/>
          <w:sz w:val="20"/>
          <w:szCs w:val="20"/>
        </w:rPr>
        <w:t>Saving Agency Adjudication</w:t>
      </w:r>
      <w:r>
        <w:rPr>
          <w:sz w:val="20"/>
          <w:szCs w:val="20"/>
        </w:rPr>
        <w:t xml:space="preserve">, 103 </w:t>
      </w:r>
      <w:r>
        <w:rPr>
          <w:smallCaps/>
          <w:sz w:val="20"/>
          <w:szCs w:val="20"/>
        </w:rPr>
        <w:t>Tex. L. Rev.</w:t>
      </w:r>
      <w:r>
        <w:rPr>
          <w:sz w:val="20"/>
          <w:szCs w:val="20"/>
        </w:rPr>
        <w:t xml:space="preserve"> __ (2025) (manuscript at 4–9) (documenting that the immigration court backlog—exceeding 3.6 million pending cases as of 2024—is both a symptom and a cause of institutional dysfunction; arguing that systematic underfunding, inadequate law clerk support, and administrative capacity gaps explain a significant share of adjudicatory outcome heterogeneity; proposing structural reforms including investments in administrative capacity as prerequisites for achieving fairer and more consistent adjudicatory outcomes).</w:t>
      </w:r>
    </w:p>
  </w:footnote>
  <w:footnote w:id="64">
    <w:p w14:paraId="7A5ADA0C" w14:textId="77777777" w:rsidR="00D76C6E" w:rsidRDefault="00D76C6E" w:rsidP="00D76C6E">
      <w:pPr>
        <w:ind w:firstLine="360"/>
      </w:pPr>
      <w:r>
        <w:rPr>
          <w:rStyle w:val="FootnoteReference"/>
          <w:rFonts w:eastAsiaTheme="majorEastAsia"/>
        </w:rPr>
        <w:footnoteRef/>
      </w:r>
      <w:r>
        <w:rPr>
          <w:i/>
          <w:iCs/>
          <w:sz w:val="20"/>
          <w:szCs w:val="20"/>
        </w:rPr>
        <w:t xml:space="preserve">See </w:t>
      </w:r>
      <w:r>
        <w:rPr>
          <w:sz w:val="20"/>
          <w:szCs w:val="20"/>
        </w:rPr>
        <w:t xml:space="preserve">Jeffrey A. Segal &amp; Harold J. Spaeth, </w:t>
      </w:r>
      <w:r>
        <w:rPr>
          <w:smallCaps/>
          <w:sz w:val="20"/>
          <w:szCs w:val="20"/>
        </w:rPr>
        <w:t>The Supreme Court and the Attitudinal Model Revisited</w:t>
      </w:r>
      <w:r>
        <w:rPr>
          <w:sz w:val="20"/>
          <w:szCs w:val="20"/>
        </w:rPr>
        <w:t xml:space="preserve"> 86–92 (Cambridge Univ. Press 2002) (presenting the canonical account of the attitudinal model of judicial decision-making, under which judges decide cases based on their sincere ideological preferences constrained by case facts). </w:t>
      </w:r>
      <w:r>
        <w:rPr>
          <w:i/>
          <w:iCs/>
          <w:sz w:val="20"/>
          <w:szCs w:val="20"/>
        </w:rPr>
        <w:t xml:space="preserve">See also </w:t>
      </w:r>
      <w:r>
        <w:rPr>
          <w:sz w:val="20"/>
          <w:szCs w:val="20"/>
        </w:rPr>
        <w:t xml:space="preserve">Lee Epstein &amp; Jack Knight, </w:t>
      </w:r>
      <w:r>
        <w:rPr>
          <w:smallCaps/>
          <w:sz w:val="20"/>
          <w:szCs w:val="20"/>
        </w:rPr>
        <w:t>The Choices Justices Make</w:t>
      </w:r>
      <w:r>
        <w:rPr>
          <w:sz w:val="20"/>
          <w:szCs w:val="20"/>
        </w:rPr>
        <w:t xml:space="preserve"> 10–16 (1998) (applying a strategic account to Supreme Court voting behavior).</w:t>
      </w:r>
    </w:p>
  </w:footnote>
  <w:footnote w:id="65">
    <w:p w14:paraId="0A6C01B6" w14:textId="77777777" w:rsidR="00D76C6E" w:rsidRDefault="00D76C6E" w:rsidP="00D76C6E">
      <w:pPr>
        <w:ind w:firstLine="360"/>
      </w:pPr>
      <w:r>
        <w:rPr>
          <w:rStyle w:val="FootnoteReference"/>
          <w:rFonts w:eastAsiaTheme="majorEastAsia"/>
        </w:rPr>
        <w:footnoteRef/>
      </w:r>
      <w:r>
        <w:rPr>
          <w:i/>
          <w:iCs/>
          <w:sz w:val="20"/>
          <w:szCs w:val="20"/>
        </w:rPr>
        <w:t xml:space="preserve">See </w:t>
      </w:r>
      <w:r>
        <w:rPr>
          <w:sz w:val="20"/>
          <w:szCs w:val="20"/>
        </w:rPr>
        <w:t xml:space="preserve">Miller, Keith &amp; Holmes, </w:t>
      </w:r>
      <w:r>
        <w:rPr>
          <w:i/>
          <w:iCs/>
          <w:sz w:val="20"/>
          <w:szCs w:val="20"/>
        </w:rPr>
        <w:t xml:space="preserve">supra </w:t>
      </w:r>
      <w:r w:rsidRPr="003A574F">
        <w:rPr>
          <w:sz w:val="20"/>
          <w:szCs w:val="20"/>
        </w:rPr>
        <w:t>note 50,</w:t>
      </w:r>
      <w:r>
        <w:rPr>
          <w:sz w:val="20"/>
          <w:szCs w:val="20"/>
        </w:rPr>
        <w:t xml:space="preserve"> at 34–40 (documenting that IJs appointed under Republican attorneys general are more likely to deny asylum than those appointed under Democratic attorneys general, consistent with an ideological appointment model); Hausman, Ho, Krass &amp; McDonough, </w:t>
      </w:r>
      <w:r>
        <w:rPr>
          <w:i/>
          <w:iCs/>
          <w:sz w:val="20"/>
          <w:szCs w:val="20"/>
        </w:rPr>
        <w:t xml:space="preserve">supra </w:t>
      </w:r>
      <w:r w:rsidRPr="003A574F">
        <w:rPr>
          <w:sz w:val="20"/>
          <w:szCs w:val="20"/>
        </w:rPr>
        <w:t>note 27,</w:t>
      </w:r>
      <w:r>
        <w:rPr>
          <w:sz w:val="20"/>
          <w:szCs w:val="20"/>
        </w:rPr>
        <w:t xml:space="preserve"> at 690–95 (examining the selection mechanism in Trump-era appointments and finding that the administration sought to appoint judges with enforcement-oriented backgrounds).</w:t>
      </w:r>
    </w:p>
  </w:footnote>
  <w:footnote w:id="66">
    <w:p w14:paraId="6C8A66A0" w14:textId="77777777" w:rsidR="00D76C6E" w:rsidRDefault="00D76C6E" w:rsidP="00D76C6E">
      <w:pPr>
        <w:ind w:firstLine="360"/>
      </w:pPr>
      <w:r>
        <w:rPr>
          <w:rStyle w:val="FootnoteReference"/>
          <w:rFonts w:eastAsiaTheme="majorEastAsia"/>
        </w:rPr>
        <w:footnoteRef/>
      </w:r>
      <w:r>
        <w:rPr>
          <w:i/>
          <w:iCs/>
          <w:sz w:val="20"/>
          <w:szCs w:val="20"/>
        </w:rPr>
        <w:t xml:space="preserve">See </w:t>
      </w:r>
      <w:r>
        <w:rPr>
          <w:sz w:val="20"/>
          <w:szCs w:val="20"/>
        </w:rPr>
        <w:t xml:space="preserve">Ingrid </w:t>
      </w:r>
      <w:proofErr w:type="spellStart"/>
      <w:r>
        <w:rPr>
          <w:sz w:val="20"/>
          <w:szCs w:val="20"/>
        </w:rPr>
        <w:t>Eagly</w:t>
      </w:r>
      <w:proofErr w:type="spellEnd"/>
      <w:r>
        <w:rPr>
          <w:sz w:val="20"/>
          <w:szCs w:val="20"/>
        </w:rPr>
        <w:t xml:space="preserve"> &amp; Steven Shafer, </w:t>
      </w:r>
      <w:r>
        <w:rPr>
          <w:i/>
          <w:iCs/>
          <w:sz w:val="20"/>
          <w:szCs w:val="20"/>
        </w:rPr>
        <w:t>Detained Immigration Courts</w:t>
      </w:r>
      <w:r>
        <w:rPr>
          <w:sz w:val="20"/>
          <w:szCs w:val="20"/>
        </w:rPr>
        <w:t xml:space="preserve">, 110 </w:t>
      </w:r>
      <w:r>
        <w:rPr>
          <w:smallCaps/>
          <w:sz w:val="20"/>
          <w:szCs w:val="20"/>
        </w:rPr>
        <w:t>Va. L. Rev.</w:t>
      </w:r>
      <w:r>
        <w:rPr>
          <w:sz w:val="20"/>
          <w:szCs w:val="20"/>
        </w:rPr>
        <w:t xml:space="preserve"> 691, 710–14 (2024) (documenting that the Trump-era judicial hiring surge disproportionately staffed detained immigration courts with judges more likely to have enforcement backgrounds); EOIR FY 2024 Statistics, </w:t>
      </w:r>
      <w:r>
        <w:rPr>
          <w:i/>
          <w:iCs/>
          <w:sz w:val="20"/>
          <w:szCs w:val="20"/>
        </w:rPr>
        <w:t xml:space="preserve">supra </w:t>
      </w:r>
      <w:r w:rsidRPr="003A574F">
        <w:rPr>
          <w:sz w:val="20"/>
          <w:szCs w:val="20"/>
        </w:rPr>
        <w:t>note 8,</w:t>
      </w:r>
      <w:r>
        <w:rPr>
          <w:sz w:val="20"/>
          <w:szCs w:val="20"/>
        </w:rPr>
        <w:t xml:space="preserve"> at A-1 (reporting that the size of the immigration judge corps increased from 289 to over 600 during the Trump administration).</w:t>
      </w:r>
    </w:p>
  </w:footnote>
  <w:footnote w:id="67">
    <w:p w14:paraId="148FFB38" w14:textId="77777777" w:rsidR="00D76C6E" w:rsidRDefault="00D76C6E" w:rsidP="00D76C6E">
      <w:pPr>
        <w:ind w:firstLine="360"/>
      </w:pPr>
      <w:r>
        <w:rPr>
          <w:rStyle w:val="FootnoteReference"/>
          <w:rFonts w:eastAsiaTheme="majorEastAsia"/>
        </w:rPr>
        <w:footnoteRef/>
      </w:r>
      <w:r>
        <w:rPr>
          <w:i/>
          <w:iCs/>
          <w:sz w:val="20"/>
          <w:szCs w:val="20"/>
        </w:rPr>
        <w:t xml:space="preserve">See </w:t>
      </w:r>
      <w:r>
        <w:rPr>
          <w:sz w:val="20"/>
          <w:szCs w:val="20"/>
        </w:rPr>
        <w:t xml:space="preserve">Ramji-Nogales et al., </w:t>
      </w:r>
      <w:r>
        <w:rPr>
          <w:i/>
          <w:iCs/>
          <w:sz w:val="20"/>
          <w:szCs w:val="20"/>
        </w:rPr>
        <w:t xml:space="preserve">supra </w:t>
      </w:r>
      <w:r w:rsidRPr="003A574F">
        <w:rPr>
          <w:sz w:val="20"/>
          <w:szCs w:val="20"/>
        </w:rPr>
        <w:t>note 6,</w:t>
      </w:r>
      <w:r>
        <w:rPr>
          <w:sz w:val="20"/>
          <w:szCs w:val="20"/>
        </w:rPr>
        <w:t xml:space="preserve"> at 47–48 (finding that IJs with prior government immigration enforcement backgrounds are less likely to grant asylum, consistent with a prosecutorial orientation that persists after appointment).</w:t>
      </w:r>
    </w:p>
  </w:footnote>
  <w:footnote w:id="68">
    <w:p w14:paraId="72A546D1" w14:textId="77777777" w:rsidR="00D76C6E" w:rsidRDefault="00D76C6E" w:rsidP="00D76C6E">
      <w:pPr>
        <w:ind w:firstLine="360"/>
      </w:pPr>
      <w:r>
        <w:rPr>
          <w:rStyle w:val="FootnoteReference"/>
          <w:rFonts w:eastAsiaTheme="majorEastAsia"/>
        </w:rPr>
        <w:footnoteRef/>
      </w:r>
      <w:r>
        <w:rPr>
          <w:i/>
          <w:iCs/>
          <w:sz w:val="20"/>
          <w:szCs w:val="20"/>
        </w:rPr>
        <w:t xml:space="preserve">See </w:t>
      </w:r>
      <w:r>
        <w:rPr>
          <w:sz w:val="20"/>
          <w:szCs w:val="20"/>
        </w:rPr>
        <w:t xml:space="preserve">Kim &amp; Semet, </w:t>
      </w:r>
      <w:r>
        <w:rPr>
          <w:i/>
          <w:iCs/>
          <w:sz w:val="20"/>
          <w:szCs w:val="20"/>
        </w:rPr>
        <w:t xml:space="preserve">supra </w:t>
      </w:r>
      <w:r w:rsidRPr="003A574F">
        <w:rPr>
          <w:sz w:val="20"/>
          <w:szCs w:val="20"/>
        </w:rPr>
        <w:t>note 56,</w:t>
      </w:r>
      <w:r>
        <w:rPr>
          <w:sz w:val="20"/>
          <w:szCs w:val="20"/>
        </w:rPr>
        <w:t xml:space="preserve"> at 585–88 (describing enforcement priorities, prosecutorial discretion policies, and docket management strategies as the primary channels through which presidential administrations shape removal rates); </w:t>
      </w:r>
      <w:r>
        <w:rPr>
          <w:i/>
          <w:iCs/>
          <w:sz w:val="20"/>
          <w:szCs w:val="20"/>
        </w:rPr>
        <w:t xml:space="preserve">see also </w:t>
      </w:r>
      <w:r>
        <w:rPr>
          <w:sz w:val="20"/>
          <w:szCs w:val="20"/>
        </w:rPr>
        <w:t>DHS, Guidelines for the Enforcement of Civil Immigration Law (Sept. 30, 2021) (Mayorkas Memorandum) (establishing prosecutorial discretion guidelines that substantially narrowed the population of noncitizens subject to active removal efforts during the Biden administration).</w:t>
      </w:r>
    </w:p>
  </w:footnote>
  <w:footnote w:id="69">
    <w:p w14:paraId="499AB7F6" w14:textId="1DD8CB6A" w:rsidR="00D76C6E" w:rsidRDefault="00D76C6E" w:rsidP="00D76C6E">
      <w:pPr>
        <w:ind w:firstLine="360"/>
      </w:pPr>
      <w:r>
        <w:rPr>
          <w:rStyle w:val="FootnoteReference"/>
          <w:rFonts w:eastAsiaTheme="majorEastAsia"/>
        </w:rPr>
        <w:footnoteRef/>
      </w:r>
      <w:r>
        <w:rPr>
          <w:i/>
          <w:iCs/>
          <w:sz w:val="20"/>
          <w:szCs w:val="20"/>
        </w:rPr>
        <w:t xml:space="preserve">See </w:t>
      </w:r>
      <w:r>
        <w:rPr>
          <w:sz w:val="20"/>
          <w:szCs w:val="20"/>
        </w:rPr>
        <w:t xml:space="preserve">Hausman, Ho, Krass &amp; McDonough, </w:t>
      </w:r>
      <w:r>
        <w:rPr>
          <w:i/>
          <w:iCs/>
          <w:sz w:val="20"/>
          <w:szCs w:val="20"/>
        </w:rPr>
        <w:t xml:space="preserve">supra </w:t>
      </w:r>
      <w:r w:rsidRPr="003A574F">
        <w:rPr>
          <w:sz w:val="20"/>
          <w:szCs w:val="20"/>
        </w:rPr>
        <w:t>note 27</w:t>
      </w:r>
      <w:r>
        <w:rPr>
          <w:sz w:val="20"/>
          <w:szCs w:val="20"/>
        </w:rPr>
        <w:t xml:space="preserve">, at 683–87 (documenting that administrative capacity-building altered the composition and pace of the immigration docket in ways that affected aggregate removal rates independently of IJ ideology); </w:t>
      </w:r>
      <w:r>
        <w:rPr>
          <w:i/>
          <w:iCs/>
          <w:sz w:val="20"/>
          <w:szCs w:val="20"/>
        </w:rPr>
        <w:t xml:space="preserve">see also </w:t>
      </w:r>
      <w:r>
        <w:rPr>
          <w:sz w:val="20"/>
          <w:szCs w:val="20"/>
        </w:rPr>
        <w:t xml:space="preserve">Blasingame, Boyd, Carlos &amp; Ornstein, </w:t>
      </w:r>
      <w:r>
        <w:rPr>
          <w:i/>
          <w:iCs/>
          <w:sz w:val="20"/>
          <w:szCs w:val="20"/>
        </w:rPr>
        <w:t xml:space="preserve">supra </w:t>
      </w:r>
      <w:r w:rsidRPr="003A574F">
        <w:rPr>
          <w:sz w:val="20"/>
          <w:szCs w:val="20"/>
        </w:rPr>
        <w:t>note 53,</w:t>
      </w:r>
      <w:r>
        <w:rPr>
          <w:sz w:val="20"/>
          <w:szCs w:val="20"/>
        </w:rPr>
        <w:t xml:space="preserve"> at 1695–1703</w:t>
      </w:r>
      <w:r w:rsidR="003A574F">
        <w:rPr>
          <w:sz w:val="20"/>
          <w:szCs w:val="20"/>
        </w:rPr>
        <w:t xml:space="preserve"> </w:t>
      </w:r>
      <w:r>
        <w:rPr>
          <w:sz w:val="20"/>
          <w:szCs w:val="20"/>
        </w:rPr>
        <w:t>(showing that case completion quotas altered the speed and character of immigration adjudication, generating measurable changes in removal outcomes across all cohorts).</w:t>
      </w:r>
    </w:p>
  </w:footnote>
  <w:footnote w:id="70">
    <w:p w14:paraId="4F9031C2" w14:textId="77777777" w:rsidR="00D76C6E" w:rsidRDefault="00D76C6E" w:rsidP="00D76C6E">
      <w:pPr>
        <w:ind w:firstLine="360"/>
      </w:pPr>
      <w:r>
        <w:rPr>
          <w:rStyle w:val="FootnoteReference"/>
          <w:rFonts w:eastAsiaTheme="majorEastAsia"/>
        </w:rPr>
        <w:footnoteRef/>
      </w:r>
      <w:r>
        <w:rPr>
          <w:i/>
          <w:iCs/>
          <w:sz w:val="20"/>
          <w:szCs w:val="20"/>
        </w:rPr>
        <w:t xml:space="preserve">See </w:t>
      </w:r>
      <w:r>
        <w:rPr>
          <w:sz w:val="20"/>
          <w:szCs w:val="20"/>
        </w:rPr>
        <w:t xml:space="preserve">Kim &amp; Semet, </w:t>
      </w:r>
      <w:r>
        <w:rPr>
          <w:i/>
          <w:iCs/>
          <w:sz w:val="20"/>
          <w:szCs w:val="20"/>
        </w:rPr>
        <w:t xml:space="preserve">supra </w:t>
      </w:r>
      <w:r w:rsidRPr="003A574F">
        <w:rPr>
          <w:sz w:val="20"/>
          <w:szCs w:val="20"/>
        </w:rPr>
        <w:t>note 56,</w:t>
      </w:r>
      <w:r>
        <w:rPr>
          <w:sz w:val="20"/>
          <w:szCs w:val="20"/>
        </w:rPr>
        <w:t xml:space="preserve"> at 590–95 (providing evidence that era-level effects—driven by system-wide policy changes—explain a larger share of outcome variance than judge-level characteristics in large EOIR datasets); </w:t>
      </w:r>
      <w:r>
        <w:rPr>
          <w:i/>
          <w:iCs/>
          <w:sz w:val="20"/>
          <w:szCs w:val="20"/>
        </w:rPr>
        <w:t xml:space="preserve">see also </w:t>
      </w:r>
      <w:r>
        <w:rPr>
          <w:sz w:val="20"/>
          <w:szCs w:val="20"/>
        </w:rPr>
        <w:t xml:space="preserve">Hausman, Ho, Krass &amp; McDonough, </w:t>
      </w:r>
      <w:r>
        <w:rPr>
          <w:i/>
          <w:iCs/>
          <w:sz w:val="20"/>
          <w:szCs w:val="20"/>
        </w:rPr>
        <w:t xml:space="preserve">supra </w:t>
      </w:r>
      <w:r w:rsidRPr="003A574F">
        <w:rPr>
          <w:sz w:val="20"/>
          <w:szCs w:val="20"/>
        </w:rPr>
        <w:t>note 27,</w:t>
      </w:r>
      <w:r>
        <w:rPr>
          <w:sz w:val="20"/>
          <w:szCs w:val="20"/>
        </w:rPr>
        <w:t xml:space="preserve"> at 706–09 (quantifying the aggregate effect of AG precedential decisions on removal rates across all immigration courts, finding that a single decision can shift removal probabilities across hundreds of thousands of pending cases).</w:t>
      </w:r>
    </w:p>
  </w:footnote>
  <w:footnote w:id="71">
    <w:p w14:paraId="69D1ADB3" w14:textId="77777777" w:rsidR="00D76C6E" w:rsidRDefault="00D76C6E" w:rsidP="00D76C6E">
      <w:pPr>
        <w:ind w:firstLine="360"/>
      </w:pPr>
      <w:r>
        <w:rPr>
          <w:rStyle w:val="FootnoteReference"/>
          <w:rFonts w:eastAsiaTheme="majorEastAsia"/>
        </w:rPr>
        <w:footnoteRef/>
      </w:r>
      <w:r>
        <w:rPr>
          <w:sz w:val="20"/>
          <w:szCs w:val="20"/>
        </w:rPr>
        <w:t xml:space="preserve">Immigration courts represent the largest volume adjudicatory system in the United States, adjudicating over 3.6 million cases currently pending in the immigration court backlog. </w:t>
      </w:r>
      <w:r>
        <w:rPr>
          <w:i/>
          <w:iCs/>
          <w:sz w:val="20"/>
          <w:szCs w:val="20"/>
        </w:rPr>
        <w:t xml:space="preserve">See </w:t>
      </w:r>
      <w:r>
        <w:rPr>
          <w:sz w:val="20"/>
          <w:szCs w:val="20"/>
        </w:rPr>
        <w:t xml:space="preserve">EOIR FY 2024 Statistics, </w:t>
      </w:r>
      <w:r>
        <w:rPr>
          <w:i/>
          <w:iCs/>
          <w:sz w:val="20"/>
          <w:szCs w:val="20"/>
        </w:rPr>
        <w:t xml:space="preserve">supra </w:t>
      </w:r>
      <w:r w:rsidRPr="003A574F">
        <w:rPr>
          <w:sz w:val="20"/>
          <w:szCs w:val="20"/>
        </w:rPr>
        <w:t>note 8.</w:t>
      </w:r>
      <w:r>
        <w:rPr>
          <w:sz w:val="20"/>
          <w:szCs w:val="20"/>
        </w:rPr>
        <w:t xml:space="preserve"> The scale of the system means that even modest policy adjustments—shifts in enforcement priorities, changes in prosecutorial discretion guidelines, or alterations to docket management procedures—can produce large aggregate changes in outcomes across thousands of judges and millions of cases annually. </w:t>
      </w:r>
      <w:r>
        <w:rPr>
          <w:i/>
          <w:iCs/>
          <w:sz w:val="20"/>
          <w:szCs w:val="20"/>
        </w:rPr>
        <w:t xml:space="preserve">See </w:t>
      </w:r>
      <w:r>
        <w:rPr>
          <w:sz w:val="20"/>
          <w:szCs w:val="20"/>
        </w:rPr>
        <w:t xml:space="preserve">Hausman et al., </w:t>
      </w:r>
      <w:r>
        <w:rPr>
          <w:i/>
          <w:iCs/>
          <w:sz w:val="20"/>
          <w:szCs w:val="20"/>
        </w:rPr>
        <w:t xml:space="preserve">supra </w:t>
      </w:r>
      <w:r w:rsidRPr="003A574F">
        <w:rPr>
          <w:sz w:val="20"/>
          <w:szCs w:val="20"/>
        </w:rPr>
        <w:t>note 27,</w:t>
      </w:r>
      <w:r>
        <w:rPr>
          <w:sz w:val="20"/>
          <w:szCs w:val="20"/>
        </w:rPr>
        <w:t xml:space="preserve"> at 706–09 (quantifying the aggregate effect of AG precedential decisions on removal rates system-wide).</w:t>
      </w:r>
    </w:p>
  </w:footnote>
  <w:footnote w:id="72">
    <w:p w14:paraId="2C019E25" w14:textId="77777777" w:rsidR="00D76C6E" w:rsidRDefault="00D76C6E" w:rsidP="00D76C6E">
      <w:pPr>
        <w:ind w:firstLine="360"/>
      </w:pPr>
      <w:r>
        <w:rPr>
          <w:rStyle w:val="FootnoteReference"/>
          <w:rFonts w:eastAsiaTheme="majorEastAsia"/>
        </w:rPr>
        <w:footnoteRef/>
      </w:r>
      <w:r>
        <w:rPr>
          <w:sz w:val="20"/>
          <w:szCs w:val="20"/>
        </w:rPr>
        <w:t xml:space="preserve">DHS, Guidelines for the Enforcement of Civil Immigration Law (Sept. 30, 2021) (Mayorkas Memorandum establishing prosecutorial discretion guidelines directing ICE to prioritize enforcement against individuals who pose a threat to national security, public safety, or border security, and deprioritizing enforcement against others). </w:t>
      </w:r>
      <w:r>
        <w:rPr>
          <w:i/>
          <w:iCs/>
          <w:sz w:val="20"/>
          <w:szCs w:val="20"/>
        </w:rPr>
        <w:t xml:space="preserve">See also </w:t>
      </w:r>
      <w:r>
        <w:rPr>
          <w:sz w:val="20"/>
          <w:szCs w:val="20"/>
        </w:rPr>
        <w:t>DHS, Enforcement Priorities (Jan. 20, 2025) (rescinding Biden-era enforcement priorities upon Trump's return to office).</w:t>
      </w:r>
    </w:p>
  </w:footnote>
  <w:footnote w:id="73">
    <w:p w14:paraId="551CBD6B" w14:textId="77777777" w:rsidR="00D76C6E" w:rsidRDefault="00D76C6E" w:rsidP="00D76C6E">
      <w:pPr>
        <w:ind w:firstLine="360"/>
      </w:pPr>
      <w:r>
        <w:rPr>
          <w:rStyle w:val="FootnoteReference"/>
          <w:rFonts w:eastAsiaTheme="majorEastAsia"/>
        </w:rPr>
        <w:footnoteRef/>
      </w:r>
      <w:r>
        <w:rPr>
          <w:i/>
          <w:iCs/>
          <w:sz w:val="20"/>
          <w:szCs w:val="20"/>
        </w:rPr>
        <w:t xml:space="preserve">See </w:t>
      </w:r>
      <w:r>
        <w:rPr>
          <w:sz w:val="20"/>
          <w:szCs w:val="20"/>
        </w:rPr>
        <w:t xml:space="preserve">Kim &amp; Semet, </w:t>
      </w:r>
      <w:r>
        <w:rPr>
          <w:i/>
          <w:iCs/>
          <w:sz w:val="20"/>
          <w:szCs w:val="20"/>
        </w:rPr>
        <w:t xml:space="preserve">supra </w:t>
      </w:r>
      <w:r w:rsidRPr="003A574F">
        <w:rPr>
          <w:sz w:val="20"/>
          <w:szCs w:val="20"/>
        </w:rPr>
        <w:t>note 56, at</w:t>
      </w:r>
      <w:r>
        <w:rPr>
          <w:sz w:val="20"/>
          <w:szCs w:val="20"/>
        </w:rPr>
        <w:t xml:space="preserve"> 611–15 (providing evidence that judges appointed by different administrations converge in behavior during unified administration periods, suggesting that policy regime effects dominate over appointment cohort effects at the system level); </w:t>
      </w:r>
      <w:r>
        <w:rPr>
          <w:i/>
          <w:iCs/>
          <w:sz w:val="20"/>
          <w:szCs w:val="20"/>
        </w:rPr>
        <w:t xml:space="preserve">see also </w:t>
      </w:r>
      <w:r>
        <w:rPr>
          <w:sz w:val="20"/>
          <w:szCs w:val="20"/>
        </w:rPr>
        <w:t xml:space="preserve">Miller, Keith &amp; Holmes, </w:t>
      </w:r>
      <w:r>
        <w:rPr>
          <w:i/>
          <w:iCs/>
          <w:sz w:val="20"/>
          <w:szCs w:val="20"/>
        </w:rPr>
        <w:t xml:space="preserve">supra </w:t>
      </w:r>
      <w:r w:rsidRPr="003A574F">
        <w:rPr>
          <w:sz w:val="20"/>
          <w:szCs w:val="20"/>
        </w:rPr>
        <w:t>note 50,</w:t>
      </w:r>
      <w:r>
        <w:rPr>
          <w:sz w:val="20"/>
          <w:szCs w:val="20"/>
        </w:rPr>
        <w:t xml:space="preserve"> at 78–82 (finding that BIA composition—a system-level variable controlled by the executive—is a stronger predictor of IJ grant rates than individual IJ characteristics in many specifications).</w:t>
      </w:r>
    </w:p>
  </w:footnote>
  <w:footnote w:id="74">
    <w:p w14:paraId="4A9B92C1" w14:textId="77777777" w:rsidR="00D76C6E" w:rsidRDefault="00D76C6E" w:rsidP="00D76C6E">
      <w:pPr>
        <w:ind w:firstLine="360"/>
      </w:pPr>
      <w:r>
        <w:rPr>
          <w:rStyle w:val="FootnoteReference"/>
          <w:rFonts w:eastAsiaTheme="majorEastAsia"/>
        </w:rPr>
        <w:footnoteRef/>
      </w:r>
      <w:r>
        <w:rPr>
          <w:i/>
          <w:iCs/>
          <w:sz w:val="20"/>
          <w:szCs w:val="20"/>
        </w:rPr>
        <w:t xml:space="preserve">See </w:t>
      </w:r>
      <w:r>
        <w:rPr>
          <w:sz w:val="20"/>
          <w:szCs w:val="20"/>
        </w:rPr>
        <w:t xml:space="preserve">Blasingame et al., </w:t>
      </w:r>
      <w:r>
        <w:rPr>
          <w:i/>
          <w:iCs/>
          <w:sz w:val="20"/>
          <w:szCs w:val="20"/>
        </w:rPr>
        <w:t xml:space="preserve">supra </w:t>
      </w:r>
      <w:r w:rsidRPr="001F2F5E">
        <w:rPr>
          <w:sz w:val="20"/>
          <w:szCs w:val="20"/>
        </w:rPr>
        <w:t>note 53,</w:t>
      </w:r>
      <w:r>
        <w:rPr>
          <w:sz w:val="20"/>
          <w:szCs w:val="20"/>
        </w:rPr>
        <w:t xml:space="preserve"> at 1695–98 (documenting that the Trump administration's case completion quotas required immigration judges to complete a specified number of cases per year, creating institutional pressure to resolve cases quickly, and finding that judges assigned higher caseloads under the quota system were more likely to issue removal orders). </w:t>
      </w:r>
      <w:r>
        <w:rPr>
          <w:i/>
          <w:iCs/>
          <w:sz w:val="20"/>
          <w:szCs w:val="20"/>
        </w:rPr>
        <w:t xml:space="preserve">See also </w:t>
      </w:r>
      <w:r>
        <w:rPr>
          <w:sz w:val="20"/>
          <w:szCs w:val="20"/>
        </w:rPr>
        <w:t>EOIR, Immigration Judge Performance Plan (FY 2018) (establishing that immigration judges were expected to complete at least 700 cases per year).</w:t>
      </w:r>
    </w:p>
  </w:footnote>
  <w:footnote w:id="75">
    <w:p w14:paraId="4D59CAA2" w14:textId="64296156" w:rsidR="00D76C6E" w:rsidRDefault="00D76C6E" w:rsidP="00D76C6E">
      <w:pPr>
        <w:ind w:firstLine="360"/>
      </w:pPr>
      <w:r>
        <w:rPr>
          <w:rStyle w:val="FootnoteReference"/>
          <w:rFonts w:eastAsiaTheme="majorEastAsia"/>
        </w:rPr>
        <w:footnoteRef/>
      </w:r>
      <w:r>
        <w:rPr>
          <w:i/>
          <w:iCs/>
          <w:sz w:val="20"/>
          <w:szCs w:val="20"/>
        </w:rPr>
        <w:t xml:space="preserve">See </w:t>
      </w:r>
      <w:r>
        <w:rPr>
          <w:sz w:val="20"/>
          <w:szCs w:val="20"/>
        </w:rPr>
        <w:t>Matter of Castro-Tum, 27 I. &amp; N. Dec. 271 (A.G. 2018) (eliminating IJs</w:t>
      </w:r>
      <w:r w:rsidR="001F2F5E">
        <w:rPr>
          <w:sz w:val="20"/>
          <w:szCs w:val="20"/>
        </w:rPr>
        <w:t>’</w:t>
      </w:r>
      <w:r>
        <w:rPr>
          <w:sz w:val="20"/>
          <w:szCs w:val="20"/>
        </w:rPr>
        <w:t xml:space="preserve"> inherent authority to administratively close cases, subsequently vacated in relevant part by Garland v. Aleman Gonzalez, 596 U.S. 543 (2022)); </w:t>
      </w:r>
      <w:r>
        <w:rPr>
          <w:i/>
          <w:iCs/>
          <w:sz w:val="20"/>
          <w:szCs w:val="20"/>
        </w:rPr>
        <w:t xml:space="preserve">see also </w:t>
      </w:r>
      <w:r>
        <w:rPr>
          <w:sz w:val="20"/>
          <w:szCs w:val="20"/>
        </w:rPr>
        <w:t>Matter of W-Y-C- &amp; H-O-B-, 27 I. &amp; N. Dec. 489 (BIA 2018) (restricting the BIA</w:t>
      </w:r>
      <w:r w:rsidR="001F2F5E">
        <w:rPr>
          <w:sz w:val="20"/>
          <w:szCs w:val="20"/>
        </w:rPr>
        <w:t>’</w:t>
      </w:r>
      <w:r>
        <w:rPr>
          <w:sz w:val="20"/>
          <w:szCs w:val="20"/>
        </w:rPr>
        <w:t>s authority to administratively close cases on remand, consistent with the Trump administration's broader policy of limiting administrative closure as a form of prosecutorial discretion).</w:t>
      </w:r>
    </w:p>
  </w:footnote>
  <w:footnote w:id="76">
    <w:p w14:paraId="08BF7E80" w14:textId="77777777" w:rsidR="00D76C6E" w:rsidRDefault="00D76C6E" w:rsidP="00D76C6E">
      <w:pPr>
        <w:ind w:firstLine="360"/>
      </w:pPr>
      <w:r>
        <w:rPr>
          <w:rStyle w:val="FootnoteReference"/>
          <w:rFonts w:eastAsiaTheme="majorEastAsia"/>
        </w:rPr>
        <w:footnoteRef/>
      </w:r>
      <w:r>
        <w:rPr>
          <w:sz w:val="20"/>
          <w:szCs w:val="20"/>
        </w:rPr>
        <w:t xml:space="preserve">Appellate Procedures and Decisional Finality in Immigration Proceedings, 85 Fed. Reg. 81588 (Dec. 16, 2020) (codifying restrictions on administrative closure in formal rulemaking; subsequently enjoined and partially vacated). </w:t>
      </w:r>
      <w:r>
        <w:rPr>
          <w:i/>
          <w:iCs/>
          <w:sz w:val="20"/>
          <w:szCs w:val="20"/>
        </w:rPr>
        <w:t xml:space="preserve">See also </w:t>
      </w:r>
      <w:r>
        <w:rPr>
          <w:sz w:val="20"/>
          <w:szCs w:val="20"/>
        </w:rPr>
        <w:t>Matter of W-Y-C- &amp; H-O-B-, 27 I. &amp; N. Dec. 489 (BIA 2018) (restricting BIA's authority to administratively close cases on remand).</w:t>
      </w:r>
    </w:p>
  </w:footnote>
  <w:footnote w:id="77">
    <w:p w14:paraId="35649937" w14:textId="77777777" w:rsidR="00D76C6E" w:rsidRDefault="00D76C6E" w:rsidP="00D76C6E">
      <w:pPr>
        <w:ind w:firstLine="360"/>
      </w:pPr>
      <w:r>
        <w:rPr>
          <w:rStyle w:val="FootnoteReference"/>
          <w:rFonts w:eastAsiaTheme="majorEastAsia"/>
        </w:rPr>
        <w:footnoteRef/>
      </w:r>
      <w:r>
        <w:rPr>
          <w:i/>
          <w:iCs/>
          <w:sz w:val="20"/>
          <w:szCs w:val="20"/>
        </w:rPr>
        <w:t xml:space="preserve">See </w:t>
      </w:r>
      <w:r>
        <w:rPr>
          <w:sz w:val="20"/>
          <w:szCs w:val="20"/>
        </w:rPr>
        <w:t xml:space="preserve">Matter of A-B-, 27 I. &amp; N. Dec. 316 (A.G. 2018); Matter of L-E-A-, 27 I. &amp; N. Dec. 581 (A.G. 2019); Matter of Castro-Tum, 27 I. &amp; N. Dec. 271 (A.G. 2018); </w:t>
      </w:r>
      <w:r>
        <w:rPr>
          <w:i/>
          <w:iCs/>
          <w:sz w:val="20"/>
          <w:szCs w:val="20"/>
        </w:rPr>
        <w:t xml:space="preserve">see also </w:t>
      </w:r>
      <w:r>
        <w:rPr>
          <w:sz w:val="20"/>
          <w:szCs w:val="20"/>
        </w:rPr>
        <w:t xml:space="preserve">Hausman, Ho, Krass &amp; McDonough, </w:t>
      </w:r>
      <w:r w:rsidRPr="001F2F5E">
        <w:rPr>
          <w:sz w:val="20"/>
          <w:szCs w:val="20"/>
        </w:rPr>
        <w:t>supra note 27,</w:t>
      </w:r>
      <w:r>
        <w:rPr>
          <w:sz w:val="20"/>
          <w:szCs w:val="20"/>
        </w:rPr>
        <w:t xml:space="preserve"> at 700–09 (finding that Attorney General precedential decisions had larger aggregate effects on removal rates than either judicial selection or capacity-building, making precedential rulemaking the most powerful tool of executive control over immigration adjudication).</w:t>
      </w:r>
    </w:p>
  </w:footnote>
  <w:footnote w:id="78">
    <w:p w14:paraId="6F56ACF7" w14:textId="77777777" w:rsidR="00D76C6E" w:rsidRDefault="00D76C6E" w:rsidP="00D76C6E">
      <w:pPr>
        <w:ind w:firstLine="360"/>
      </w:pPr>
      <w:r>
        <w:rPr>
          <w:rStyle w:val="FootnoteReference"/>
          <w:rFonts w:eastAsiaTheme="majorEastAsia"/>
        </w:rPr>
        <w:footnoteRef/>
      </w:r>
      <w:r>
        <w:rPr>
          <w:i/>
          <w:iCs/>
          <w:sz w:val="20"/>
          <w:szCs w:val="20"/>
        </w:rPr>
        <w:t xml:space="preserve">See </w:t>
      </w:r>
      <w:r>
        <w:rPr>
          <w:sz w:val="20"/>
          <w:szCs w:val="20"/>
        </w:rPr>
        <w:t xml:space="preserve">Hausman, Ho, Krass &amp; McDonough, </w:t>
      </w:r>
      <w:r>
        <w:rPr>
          <w:i/>
          <w:iCs/>
          <w:sz w:val="20"/>
          <w:szCs w:val="20"/>
        </w:rPr>
        <w:t xml:space="preserve">supra </w:t>
      </w:r>
      <w:r w:rsidRPr="001F2F5E">
        <w:rPr>
          <w:sz w:val="20"/>
          <w:szCs w:val="20"/>
        </w:rPr>
        <w:t>note 27,</w:t>
      </w:r>
      <w:r>
        <w:rPr>
          <w:sz w:val="20"/>
          <w:szCs w:val="20"/>
        </w:rPr>
        <w:t xml:space="preserve"> at 682–83 (characterizing the Trump administration's comprehensive reform agenda as an attempt to transform the immigration court system into a more enforcement-oriented adjudicatory body); </w:t>
      </w:r>
      <w:r>
        <w:rPr>
          <w:i/>
          <w:iCs/>
          <w:sz w:val="20"/>
          <w:szCs w:val="20"/>
        </w:rPr>
        <w:t xml:space="preserve">see also </w:t>
      </w:r>
      <w:r>
        <w:rPr>
          <w:sz w:val="20"/>
          <w:szCs w:val="20"/>
        </w:rPr>
        <w:t xml:space="preserve">Blasingame, Boyd, Carlos &amp; Ornstein, </w:t>
      </w:r>
      <w:r>
        <w:rPr>
          <w:i/>
          <w:iCs/>
          <w:sz w:val="20"/>
          <w:szCs w:val="20"/>
        </w:rPr>
        <w:t xml:space="preserve">supra </w:t>
      </w:r>
      <w:r w:rsidRPr="001F2F5E">
        <w:rPr>
          <w:sz w:val="20"/>
          <w:szCs w:val="20"/>
        </w:rPr>
        <w:t>note 53,</w:t>
      </w:r>
      <w:r>
        <w:rPr>
          <w:sz w:val="20"/>
          <w:szCs w:val="20"/>
        </w:rPr>
        <w:t xml:space="preserve"> at 1688–90 (describing the Trump administration's institutional interventions as a 'court transformation project' aimed at reshaping the norms and incentives governing immigration judge decision-making); Karen Musalo et al., </w:t>
      </w:r>
      <w:r>
        <w:rPr>
          <w:i/>
          <w:iCs/>
          <w:sz w:val="20"/>
          <w:szCs w:val="20"/>
        </w:rPr>
        <w:t>supra note 62</w:t>
      </w:r>
      <w:r>
        <w:rPr>
          <w:sz w:val="20"/>
          <w:szCs w:val="20"/>
        </w:rPr>
        <w:t>, at 2743–50 (documenting that adjudicators in the EOIR system during this period exhibited patterns consistent with a systematic enforcement orientation).</w:t>
      </w:r>
    </w:p>
  </w:footnote>
  <w:footnote w:id="79">
    <w:p w14:paraId="6B3685B3" w14:textId="77777777" w:rsidR="00D76C6E" w:rsidRDefault="00D76C6E" w:rsidP="00D76C6E">
      <w:pPr>
        <w:ind w:firstLine="360"/>
      </w:pPr>
      <w:r>
        <w:rPr>
          <w:rStyle w:val="FootnoteReference"/>
          <w:rFonts w:eastAsiaTheme="majorEastAsia"/>
        </w:rPr>
        <w:footnoteRef/>
      </w:r>
      <w:r>
        <w:rPr>
          <w:i/>
          <w:iCs/>
          <w:sz w:val="20"/>
          <w:szCs w:val="20"/>
        </w:rPr>
        <w:t xml:space="preserve">See </w:t>
      </w:r>
      <w:r>
        <w:rPr>
          <w:sz w:val="20"/>
          <w:szCs w:val="20"/>
        </w:rPr>
        <w:t xml:space="preserve">Miller, Keith &amp; Holmes, </w:t>
      </w:r>
      <w:r>
        <w:rPr>
          <w:i/>
          <w:iCs/>
          <w:sz w:val="20"/>
          <w:szCs w:val="20"/>
        </w:rPr>
        <w:t xml:space="preserve">supra </w:t>
      </w:r>
      <w:r w:rsidRPr="00C2609A">
        <w:rPr>
          <w:sz w:val="20"/>
          <w:szCs w:val="20"/>
        </w:rPr>
        <w:t>note 50,</w:t>
      </w:r>
      <w:r>
        <w:rPr>
          <w:sz w:val="20"/>
          <w:szCs w:val="20"/>
        </w:rPr>
        <w:t xml:space="preserve"> at 34–40 (finding that ideological differences across IJ cohorts persist after controlling for case characteristics, consistent with the appointment-ideology hypothesis); </w:t>
      </w:r>
      <w:r>
        <w:rPr>
          <w:i/>
          <w:iCs/>
          <w:sz w:val="20"/>
          <w:szCs w:val="20"/>
        </w:rPr>
        <w:t xml:space="preserve">see also </w:t>
      </w:r>
      <w:r>
        <w:rPr>
          <w:sz w:val="20"/>
          <w:szCs w:val="20"/>
        </w:rPr>
        <w:t xml:space="preserve">Ramji-Nogales, Schoenholtz &amp; Schrag, </w:t>
      </w:r>
      <w:r>
        <w:rPr>
          <w:i/>
          <w:iCs/>
          <w:sz w:val="20"/>
          <w:szCs w:val="20"/>
        </w:rPr>
        <w:t xml:space="preserve">supra </w:t>
      </w:r>
      <w:r w:rsidRPr="00C2609A">
        <w:rPr>
          <w:sz w:val="20"/>
          <w:szCs w:val="20"/>
        </w:rPr>
        <w:t>note 6,</w:t>
      </w:r>
      <w:r>
        <w:rPr>
          <w:sz w:val="20"/>
          <w:szCs w:val="20"/>
        </w:rPr>
        <w:t xml:space="preserve"> at 340–42 (finding that judge identity explains a large share of asylum outcome variance, consistent with a view that individual adjudicator characteristics drive outcomes).</w:t>
      </w:r>
    </w:p>
  </w:footnote>
  <w:footnote w:id="80">
    <w:p w14:paraId="25B41B8A" w14:textId="77777777" w:rsidR="00D76C6E" w:rsidRDefault="00D76C6E" w:rsidP="00D76C6E">
      <w:pPr>
        <w:ind w:firstLine="360"/>
      </w:pPr>
      <w:r>
        <w:rPr>
          <w:rStyle w:val="FootnoteReference"/>
          <w:rFonts w:eastAsiaTheme="majorEastAsia"/>
        </w:rPr>
        <w:footnoteRef/>
      </w:r>
      <w:r>
        <w:rPr>
          <w:i/>
          <w:iCs/>
          <w:sz w:val="20"/>
          <w:szCs w:val="20"/>
        </w:rPr>
        <w:t xml:space="preserve">See </w:t>
      </w:r>
      <w:r>
        <w:rPr>
          <w:sz w:val="20"/>
          <w:szCs w:val="20"/>
        </w:rPr>
        <w:t xml:space="preserve">Kim &amp; Semet, </w:t>
      </w:r>
      <w:r>
        <w:rPr>
          <w:i/>
          <w:iCs/>
          <w:sz w:val="20"/>
          <w:szCs w:val="20"/>
        </w:rPr>
        <w:t xml:space="preserve">supra </w:t>
      </w:r>
      <w:r w:rsidRPr="00C2609A">
        <w:rPr>
          <w:sz w:val="20"/>
          <w:szCs w:val="20"/>
        </w:rPr>
        <w:t xml:space="preserve">note 56, </w:t>
      </w:r>
      <w:r>
        <w:rPr>
          <w:sz w:val="20"/>
          <w:szCs w:val="20"/>
        </w:rPr>
        <w:t xml:space="preserve">at 611–15 (finding that system-wide era effects are as large or larger than cohort effects in most specifications, consistent with the administrative policy hypothesis); </w:t>
      </w:r>
      <w:r>
        <w:rPr>
          <w:i/>
          <w:iCs/>
          <w:sz w:val="20"/>
          <w:szCs w:val="20"/>
        </w:rPr>
        <w:t xml:space="preserve">see also </w:t>
      </w:r>
      <w:r>
        <w:rPr>
          <w:sz w:val="20"/>
          <w:szCs w:val="20"/>
        </w:rPr>
        <w:t xml:space="preserve">Hausman, Ho, Krass &amp; McDonough, </w:t>
      </w:r>
      <w:r>
        <w:rPr>
          <w:i/>
          <w:iCs/>
          <w:sz w:val="20"/>
          <w:szCs w:val="20"/>
        </w:rPr>
        <w:t xml:space="preserve">supra </w:t>
      </w:r>
      <w:r w:rsidRPr="00C2609A">
        <w:rPr>
          <w:sz w:val="20"/>
          <w:szCs w:val="20"/>
        </w:rPr>
        <w:t>note 27,</w:t>
      </w:r>
      <w:r>
        <w:rPr>
          <w:sz w:val="20"/>
          <w:szCs w:val="20"/>
        </w:rPr>
        <w:t xml:space="preserve"> at 706–09 (finding that AG precedential decisions shifted removal rates across all immigration courts simultaneously, regardless of the appointing administration of the deciding judge).</w:t>
      </w:r>
    </w:p>
  </w:footnote>
  <w:footnote w:id="81">
    <w:p w14:paraId="09914C30" w14:textId="77777777" w:rsidR="00D76C6E" w:rsidRDefault="00D76C6E" w:rsidP="00D76C6E">
      <w:pPr>
        <w:ind w:firstLine="360"/>
      </w:pPr>
      <w:r>
        <w:rPr>
          <w:rStyle w:val="FootnoteReference"/>
          <w:rFonts w:eastAsiaTheme="majorEastAsia"/>
        </w:rPr>
        <w:footnoteRef/>
      </w:r>
      <w:r>
        <w:rPr>
          <w:i/>
          <w:iCs/>
          <w:sz w:val="20"/>
          <w:szCs w:val="20"/>
        </w:rPr>
        <w:t xml:space="preserve">See </w:t>
      </w:r>
      <w:r>
        <w:rPr>
          <w:sz w:val="20"/>
          <w:szCs w:val="20"/>
        </w:rPr>
        <w:t xml:space="preserve">Blasingame, Boyd, Carlos &amp; Ornstein, </w:t>
      </w:r>
      <w:r>
        <w:rPr>
          <w:i/>
          <w:iCs/>
          <w:sz w:val="20"/>
          <w:szCs w:val="20"/>
        </w:rPr>
        <w:t xml:space="preserve">supra </w:t>
      </w:r>
      <w:r w:rsidRPr="00C2609A">
        <w:rPr>
          <w:sz w:val="20"/>
          <w:szCs w:val="20"/>
        </w:rPr>
        <w:t>note 53,</w:t>
      </w:r>
      <w:r>
        <w:rPr>
          <w:sz w:val="20"/>
          <w:szCs w:val="20"/>
        </w:rPr>
        <w:t xml:space="preserve"> </w:t>
      </w:r>
      <w:proofErr w:type="gramStart"/>
      <w:r>
        <w:rPr>
          <w:sz w:val="20"/>
          <w:szCs w:val="20"/>
        </w:rPr>
        <w:t>at</w:t>
      </w:r>
      <w:proofErr w:type="gramEnd"/>
      <w:r>
        <w:rPr>
          <w:sz w:val="20"/>
          <w:szCs w:val="20"/>
        </w:rPr>
        <w:t xml:space="preserve"> 1700–04 (finding that institutional reforms had heterogeneous effects across judge cohorts, with newer judges more responsive to institutional pressure than longer-tenured judges, which is consistent with the institutional transformation hypothesis). The institutional transformation hypothesis generates a stronger version of the cohort effect: it predicts that the combination of judicial selection and institutional change produces larger behavioral differences than selection alone would.</w:t>
      </w:r>
    </w:p>
  </w:footnote>
  <w:footnote w:id="82">
    <w:p w14:paraId="262472C1" w14:textId="77777777" w:rsidR="00D76C6E" w:rsidRDefault="00D76C6E" w:rsidP="00D76C6E">
      <w:pPr>
        <w:ind w:firstLine="360"/>
      </w:pPr>
      <w:r>
        <w:rPr>
          <w:rStyle w:val="FootnoteReference"/>
          <w:rFonts w:eastAsiaTheme="majorEastAsia"/>
        </w:rPr>
        <w:footnoteRef/>
      </w:r>
      <w:r>
        <w:rPr>
          <w:sz w:val="20"/>
          <w:szCs w:val="20"/>
        </w:rPr>
        <w:t>EOIR, EOIR Data Sets, https://www.justice.gov/eoir/foia-library-0 (last visited [DATE]). EOIR makes available monthly case-level data files going back to 1951. This Article uses the May 2025 casefile.</w:t>
      </w:r>
    </w:p>
  </w:footnote>
  <w:footnote w:id="83">
    <w:p w14:paraId="5F531B1F" w14:textId="12F08964" w:rsidR="00D76C6E" w:rsidRDefault="00D76C6E" w:rsidP="00D76C6E">
      <w:pPr>
        <w:ind w:firstLine="360"/>
      </w:pPr>
      <w:r>
        <w:rPr>
          <w:rStyle w:val="FootnoteReference"/>
          <w:rFonts w:eastAsiaTheme="majorEastAsia"/>
        </w:rPr>
        <w:footnoteRef/>
      </w:r>
      <w:r>
        <w:rPr>
          <w:sz w:val="20"/>
          <w:szCs w:val="20"/>
        </w:rPr>
        <w:t xml:space="preserve">EOIR press releases announcing judge investitures are archived at https://www.justice.gov/eoir/press-room. </w:t>
      </w:r>
      <w:r w:rsidR="00C2609A">
        <w:rPr>
          <w:sz w:val="20"/>
          <w:szCs w:val="20"/>
        </w:rPr>
        <w:t xml:space="preserve">I and a team of Ras individually coded the sheets. I then used ChatGPT and Claude to confirm my </w:t>
      </w:r>
      <w:proofErr w:type="spellStart"/>
      <w:r w:rsidR="00C2609A">
        <w:rPr>
          <w:sz w:val="20"/>
          <w:szCs w:val="20"/>
        </w:rPr>
        <w:t>codings</w:t>
      </w:r>
      <w:proofErr w:type="spellEnd"/>
      <w:r w:rsidR="00C2609A">
        <w:rPr>
          <w:sz w:val="20"/>
          <w:szCs w:val="20"/>
        </w:rPr>
        <w:t xml:space="preserve">. Any discrepancies were then reviewed. Early judges often did not have forms, so I looked at obituaries and law firm websites to confirm the data. </w:t>
      </w:r>
      <w:r w:rsidR="00D1166A">
        <w:rPr>
          <w:sz w:val="20"/>
          <w:szCs w:val="20"/>
        </w:rPr>
        <w:t xml:space="preserve">In addition, appointment data for judges appointed post-2003 could be confirmed by the Judge Lookup Table using the </w:t>
      </w:r>
      <w:proofErr w:type="spellStart"/>
      <w:r w:rsidR="00D1166A">
        <w:rPr>
          <w:sz w:val="20"/>
          <w:szCs w:val="20"/>
        </w:rPr>
        <w:t>datcreatedon</w:t>
      </w:r>
      <w:proofErr w:type="spellEnd"/>
      <w:r w:rsidR="00D1166A">
        <w:rPr>
          <w:sz w:val="20"/>
          <w:szCs w:val="20"/>
        </w:rPr>
        <w:t xml:space="preserve"> label, as the table listed the date in which the IJ entered the EOIR system. This date was usually within a month or two of when they were appointed and presumably hearing cases. </w:t>
      </w:r>
    </w:p>
  </w:footnote>
  <w:footnote w:id="84">
    <w:p w14:paraId="12445945" w14:textId="77777777" w:rsidR="00D76C6E" w:rsidRDefault="00D76C6E" w:rsidP="00D76C6E">
      <w:pPr>
        <w:ind w:firstLine="360"/>
      </w:pPr>
      <w:r>
        <w:rPr>
          <w:rStyle w:val="FootnoteReference"/>
          <w:rFonts w:eastAsiaTheme="majorEastAsia"/>
        </w:rPr>
        <w:footnoteRef/>
      </w:r>
      <w:r>
        <w:rPr>
          <w:sz w:val="20"/>
          <w:szCs w:val="20"/>
        </w:rPr>
        <w:t>Rider cases are companion cases in which additional family members are processed together with the lead respondent. They were excluded because including them would violate the statistical independence assumption: the IJ tends to make consistent decisions across members of the same family unit.</w:t>
      </w:r>
    </w:p>
  </w:footnote>
  <w:footnote w:id="85">
    <w:p w14:paraId="62971855" w14:textId="18737F92" w:rsidR="00CA33D0" w:rsidRDefault="00CA33D0" w:rsidP="00CA33D0">
      <w:pPr>
        <w:pStyle w:val="FootnoteText"/>
        <w:ind w:firstLine="360"/>
      </w:pPr>
      <w:r>
        <w:rPr>
          <w:rStyle w:val="FootnoteReference"/>
        </w:rPr>
        <w:footnoteRef/>
      </w:r>
      <w:r>
        <w:t xml:space="preserve">As detailed in the Appendix, I also analyzed the last decision as a robustness check. </w:t>
      </w:r>
    </w:p>
  </w:footnote>
  <w:footnote w:id="86">
    <w:p w14:paraId="632159D9" w14:textId="77777777" w:rsidR="00D76C6E" w:rsidRPr="00CA33D0" w:rsidRDefault="00D76C6E" w:rsidP="00D76C6E">
      <w:pPr>
        <w:ind w:firstLine="360"/>
      </w:pPr>
      <w:r>
        <w:rPr>
          <w:rStyle w:val="FootnoteReference"/>
          <w:rFonts w:eastAsiaTheme="majorEastAsia"/>
        </w:rPr>
        <w:footnoteRef/>
      </w:r>
      <w:r>
        <w:rPr>
          <w:sz w:val="20"/>
          <w:szCs w:val="20"/>
        </w:rPr>
        <w:t xml:space="preserve">Cases in which the noncitizen was removed in absentia—i.e., without appearing at the merits hearing—were excluded from the main analysis. </w:t>
      </w:r>
      <w:r w:rsidRPr="00CA33D0">
        <w:rPr>
          <w:i/>
          <w:iCs/>
          <w:sz w:val="20"/>
          <w:szCs w:val="20"/>
        </w:rPr>
        <w:t>In absentia</w:t>
      </w:r>
      <w:r>
        <w:rPr>
          <w:sz w:val="20"/>
          <w:szCs w:val="20"/>
        </w:rPr>
        <w:t xml:space="preserve"> removals are strongly predicted by notice and representation status rather than case merits. </w:t>
      </w:r>
      <w:r>
        <w:rPr>
          <w:i/>
          <w:iCs/>
          <w:sz w:val="20"/>
          <w:szCs w:val="20"/>
        </w:rPr>
        <w:t xml:space="preserve">See </w:t>
      </w:r>
      <w:proofErr w:type="gramStart"/>
      <w:r>
        <w:rPr>
          <w:i/>
          <w:iCs/>
          <w:sz w:val="20"/>
          <w:szCs w:val="20"/>
        </w:rPr>
        <w:t xml:space="preserve">infra </w:t>
      </w:r>
      <w:r w:rsidRPr="00CA33D0">
        <w:rPr>
          <w:sz w:val="20"/>
          <w:szCs w:val="20"/>
        </w:rPr>
        <w:t>Part VI</w:t>
      </w:r>
      <w:proofErr w:type="gramEnd"/>
      <w:r w:rsidRPr="00CA33D0">
        <w:rPr>
          <w:sz w:val="20"/>
          <w:szCs w:val="20"/>
        </w:rPr>
        <w:t>.G.</w:t>
      </w:r>
    </w:p>
  </w:footnote>
  <w:footnote w:id="87">
    <w:p w14:paraId="1180B300" w14:textId="13BBD25C" w:rsidR="00D76C6E" w:rsidRDefault="00D76C6E" w:rsidP="00D76C6E">
      <w:pPr>
        <w:ind w:firstLine="360"/>
      </w:pPr>
      <w:r>
        <w:rPr>
          <w:rStyle w:val="FootnoteReference"/>
          <w:rFonts w:eastAsiaTheme="majorEastAsia"/>
        </w:rPr>
        <w:footnoteRef/>
      </w:r>
      <w:r>
        <w:rPr>
          <w:sz w:val="20"/>
          <w:szCs w:val="20"/>
        </w:rPr>
        <w:t>The key dependent variable was coded as removal (1) if the decision code indicated removal, exclusion, deportation, or voluntary departure, and as non-removal (0) if the decision code indicated relief from removal, termination of proceedings</w:t>
      </w:r>
      <w:r w:rsidR="00491F7A">
        <w:rPr>
          <w:sz w:val="20"/>
          <w:szCs w:val="20"/>
        </w:rPr>
        <w:t xml:space="preserve"> or dismissed, and in alternative specifications,</w:t>
      </w:r>
      <w:r>
        <w:rPr>
          <w:sz w:val="20"/>
          <w:szCs w:val="20"/>
        </w:rPr>
        <w:t xml:space="preserve"> administrative closure.</w:t>
      </w:r>
    </w:p>
  </w:footnote>
  <w:footnote w:id="88">
    <w:p w14:paraId="115FC053" w14:textId="77777777" w:rsidR="00D76C6E" w:rsidRDefault="00D76C6E" w:rsidP="00D76C6E">
      <w:pPr>
        <w:ind w:firstLine="360"/>
      </w:pPr>
      <w:r>
        <w:rPr>
          <w:rStyle w:val="FootnoteReference"/>
          <w:rFonts w:eastAsiaTheme="majorEastAsia"/>
        </w:rPr>
        <w:footnoteRef/>
      </w:r>
      <w:r>
        <w:rPr>
          <w:sz w:val="20"/>
          <w:szCs w:val="20"/>
        </w:rPr>
        <w:t>Although voluntary departure does not constitute a formal order of removal, it nonetheless requires the noncitizen to depart the United States. Alternative specifications coding voluntary departure as relief yielded qualitatively similar results.</w:t>
      </w:r>
    </w:p>
  </w:footnote>
  <w:footnote w:id="89">
    <w:p w14:paraId="2161E1E8" w14:textId="77777777" w:rsidR="00D76C6E" w:rsidRDefault="00D76C6E" w:rsidP="00D76C6E">
      <w:pPr>
        <w:ind w:firstLine="360"/>
      </w:pPr>
      <w:r>
        <w:rPr>
          <w:rStyle w:val="FootnoteReference"/>
          <w:rFonts w:eastAsiaTheme="majorEastAsia"/>
        </w:rPr>
        <w:footnoteRef/>
      </w:r>
      <w:r>
        <w:rPr>
          <w:sz w:val="20"/>
          <w:szCs w:val="20"/>
        </w:rPr>
        <w:t>Administrative closure suspends proceedings without a final disposition and was used in various circumstances—including as a form of prosecutorial discretion during the Obama and Biden administrations.</w:t>
      </w:r>
    </w:p>
  </w:footnote>
  <w:footnote w:id="90">
    <w:p w14:paraId="43244C22" w14:textId="77777777" w:rsidR="00D76C6E" w:rsidRDefault="00D76C6E" w:rsidP="00D76C6E">
      <w:pPr>
        <w:ind w:firstLine="360"/>
      </w:pPr>
      <w:r>
        <w:rPr>
          <w:rStyle w:val="FootnoteReference"/>
          <w:rFonts w:eastAsiaTheme="majorEastAsia"/>
        </w:rPr>
        <w:footnoteRef/>
      </w:r>
      <w:r>
        <w:rPr>
          <w:sz w:val="20"/>
          <w:szCs w:val="20"/>
        </w:rPr>
        <w:t>Cases in which the noncitizen entered a stipulated order of removal were also excluded. Such cases reflect an agreement between the parties rather than an independent adjudicatory decision.</w:t>
      </w:r>
    </w:p>
  </w:footnote>
  <w:footnote w:id="91">
    <w:p w14:paraId="62899FCC" w14:textId="77777777" w:rsidR="00D76C6E" w:rsidRDefault="00D76C6E" w:rsidP="00D76C6E">
      <w:pPr>
        <w:ind w:firstLine="360"/>
      </w:pPr>
      <w:r>
        <w:rPr>
          <w:rStyle w:val="FootnoteReference"/>
          <w:rFonts w:eastAsiaTheme="majorEastAsia"/>
        </w:rPr>
        <w:footnoteRef/>
      </w:r>
      <w:r>
        <w:rPr>
          <w:i/>
          <w:iCs/>
          <w:sz w:val="20"/>
          <w:szCs w:val="20"/>
        </w:rPr>
        <w:t xml:space="preserve">See </w:t>
      </w:r>
      <w:proofErr w:type="spellStart"/>
      <w:r>
        <w:rPr>
          <w:sz w:val="20"/>
          <w:szCs w:val="20"/>
        </w:rPr>
        <w:t>Eagly</w:t>
      </w:r>
      <w:proofErr w:type="spellEnd"/>
      <w:r>
        <w:rPr>
          <w:sz w:val="20"/>
          <w:szCs w:val="20"/>
        </w:rPr>
        <w:t xml:space="preserve"> &amp; Shafer, </w:t>
      </w:r>
      <w:r>
        <w:rPr>
          <w:i/>
          <w:iCs/>
          <w:sz w:val="20"/>
          <w:szCs w:val="20"/>
        </w:rPr>
        <w:t xml:space="preserve">supra </w:t>
      </w:r>
      <w:r w:rsidRPr="004517AE">
        <w:rPr>
          <w:sz w:val="20"/>
          <w:szCs w:val="20"/>
        </w:rPr>
        <w:t>note 4,</w:t>
      </w:r>
      <w:r>
        <w:rPr>
          <w:sz w:val="20"/>
          <w:szCs w:val="20"/>
        </w:rPr>
        <w:t xml:space="preserve"> at 4–6; Emily Ryo, </w:t>
      </w:r>
      <w:r>
        <w:rPr>
          <w:i/>
          <w:iCs/>
          <w:sz w:val="20"/>
          <w:szCs w:val="20"/>
        </w:rPr>
        <w:t xml:space="preserve">supra </w:t>
      </w:r>
      <w:r w:rsidRPr="004517AE">
        <w:rPr>
          <w:sz w:val="20"/>
          <w:szCs w:val="20"/>
        </w:rPr>
        <w:t>note 5,</w:t>
      </w:r>
      <w:r>
        <w:rPr>
          <w:sz w:val="20"/>
          <w:szCs w:val="20"/>
        </w:rPr>
        <w:t xml:space="preserve"> at 155–57. Multiple prior studies have identified representation as the single most powerful predictor of favorable outcomes in immigration court.</w:t>
      </w:r>
    </w:p>
  </w:footnote>
  <w:footnote w:id="92">
    <w:p w14:paraId="54C44115" w14:textId="77777777" w:rsidR="00D76C6E" w:rsidRDefault="00D76C6E" w:rsidP="00D76C6E">
      <w:pPr>
        <w:ind w:firstLine="360"/>
      </w:pPr>
      <w:r>
        <w:rPr>
          <w:rStyle w:val="FootnoteReference"/>
          <w:rFonts w:eastAsiaTheme="majorEastAsia"/>
        </w:rPr>
        <w:footnoteRef/>
      </w:r>
      <w:r>
        <w:rPr>
          <w:sz w:val="20"/>
          <w:szCs w:val="20"/>
        </w:rPr>
        <w:t>8 C.F.R. § 1003.17(a) (2023) (requiring counsel to file an EOIR-28 Notice of Entry of Appearance). A noncitizen was coded as represented if an EOIR-28 form was filed before the proceeding completion date or if an attorney code was present in the Attorney Table.</w:t>
      </w:r>
    </w:p>
  </w:footnote>
  <w:footnote w:id="93">
    <w:p w14:paraId="080192A8" w14:textId="50F7D9E2" w:rsidR="00D76C6E" w:rsidRDefault="00D76C6E" w:rsidP="00D76C6E">
      <w:pPr>
        <w:ind w:firstLine="360"/>
      </w:pPr>
      <w:r>
        <w:rPr>
          <w:rStyle w:val="FootnoteReference"/>
          <w:rFonts w:eastAsiaTheme="majorEastAsia"/>
        </w:rPr>
        <w:footnoteRef/>
      </w:r>
      <w:r>
        <w:rPr>
          <w:sz w:val="20"/>
          <w:szCs w:val="20"/>
        </w:rPr>
        <w:t xml:space="preserve">The asylum type variable </w:t>
      </w:r>
      <w:r w:rsidR="005C17D3">
        <w:rPr>
          <w:sz w:val="20"/>
          <w:szCs w:val="20"/>
        </w:rPr>
        <w:t xml:space="preserve">was primarily coded using data from </w:t>
      </w:r>
      <w:r>
        <w:rPr>
          <w:sz w:val="20"/>
          <w:szCs w:val="20"/>
        </w:rPr>
        <w:t>the Applications Table</w:t>
      </w:r>
      <w:r w:rsidR="005C17D3">
        <w:rPr>
          <w:sz w:val="20"/>
          <w:szCs w:val="20"/>
        </w:rPr>
        <w:t xml:space="preserve"> (</w:t>
      </w:r>
      <w:proofErr w:type="spellStart"/>
      <w:r w:rsidR="005C17D3">
        <w:rPr>
          <w:sz w:val="20"/>
          <w:szCs w:val="20"/>
        </w:rPr>
        <w:t>Tbl_Court_AppIn</w:t>
      </w:r>
      <w:proofErr w:type="spellEnd"/>
      <w:r w:rsidR="005C17D3">
        <w:rPr>
          <w:sz w:val="20"/>
          <w:szCs w:val="20"/>
        </w:rPr>
        <w:t>)</w:t>
      </w:r>
      <w:r>
        <w:rPr>
          <w:sz w:val="20"/>
          <w:szCs w:val="20"/>
        </w:rPr>
        <w:t>.</w:t>
      </w:r>
      <w:r w:rsidR="005C17D3">
        <w:rPr>
          <w:sz w:val="20"/>
          <w:szCs w:val="20"/>
        </w:rPr>
        <w:t xml:space="preserve"> The Appendix describes the very detailed process used to construct the asylum variables, including the affirmative and defensive asylum variables. </w:t>
      </w:r>
    </w:p>
  </w:footnote>
  <w:footnote w:id="94">
    <w:p w14:paraId="3F63EA35" w14:textId="4F6E8F0A" w:rsidR="00D76C6E" w:rsidRDefault="00D76C6E" w:rsidP="00D76C6E">
      <w:pPr>
        <w:ind w:firstLine="360"/>
      </w:pPr>
      <w:r>
        <w:rPr>
          <w:rStyle w:val="FootnoteReference"/>
          <w:rFonts w:eastAsiaTheme="majorEastAsia"/>
        </w:rPr>
        <w:footnoteRef/>
      </w:r>
      <w:r>
        <w:rPr>
          <w:sz w:val="20"/>
          <w:szCs w:val="20"/>
        </w:rPr>
        <w:t xml:space="preserve"> </w:t>
      </w:r>
      <w:r>
        <w:rPr>
          <w:i/>
          <w:iCs/>
          <w:sz w:val="20"/>
          <w:szCs w:val="20"/>
        </w:rPr>
        <w:t xml:space="preserve">See </w:t>
      </w:r>
      <w:r>
        <w:rPr>
          <w:sz w:val="20"/>
          <w:szCs w:val="20"/>
        </w:rPr>
        <w:t>8 U.S.C. § 1158(a)(2)(B) (2018) (one-year filing requirement).</w:t>
      </w:r>
    </w:p>
  </w:footnote>
  <w:footnote w:id="95">
    <w:p w14:paraId="771CCF6A" w14:textId="77777777" w:rsidR="00D76C6E" w:rsidRDefault="00D76C6E" w:rsidP="00D76C6E">
      <w:pPr>
        <w:ind w:firstLine="360"/>
      </w:pPr>
      <w:r>
        <w:rPr>
          <w:rStyle w:val="FootnoteReference"/>
          <w:rFonts w:eastAsiaTheme="majorEastAsia"/>
        </w:rPr>
        <w:footnoteRef/>
      </w:r>
      <w:r>
        <w:rPr>
          <w:sz w:val="20"/>
          <w:szCs w:val="20"/>
        </w:rPr>
        <w:t>Asylum applications must ordinarily be filed within one year of entry. 8 U.S.C. § 1158(a)(2)(B) (2018).</w:t>
      </w:r>
    </w:p>
  </w:footnote>
  <w:footnote w:id="96">
    <w:p w14:paraId="274DFF62" w14:textId="77777777" w:rsidR="00D76C6E" w:rsidRDefault="00D76C6E" w:rsidP="00D76C6E">
      <w:pPr>
        <w:ind w:firstLine="360"/>
      </w:pPr>
      <w:r>
        <w:rPr>
          <w:rStyle w:val="FootnoteReference"/>
          <w:rFonts w:eastAsiaTheme="majorEastAsia"/>
        </w:rPr>
        <w:footnoteRef/>
      </w:r>
      <w:r>
        <w:rPr>
          <w:i/>
          <w:iCs/>
          <w:sz w:val="20"/>
          <w:szCs w:val="20"/>
        </w:rPr>
        <w:t xml:space="preserve">See </w:t>
      </w:r>
      <w:r>
        <w:rPr>
          <w:sz w:val="20"/>
          <w:szCs w:val="20"/>
        </w:rPr>
        <w:t xml:space="preserve">Ramji-Nogales et al., </w:t>
      </w:r>
      <w:r>
        <w:rPr>
          <w:i/>
          <w:iCs/>
          <w:sz w:val="20"/>
          <w:szCs w:val="20"/>
        </w:rPr>
        <w:t xml:space="preserve">supra </w:t>
      </w:r>
      <w:r w:rsidRPr="003C78F0">
        <w:rPr>
          <w:sz w:val="20"/>
          <w:szCs w:val="20"/>
        </w:rPr>
        <w:t>note 6,</w:t>
      </w:r>
      <w:r>
        <w:rPr>
          <w:sz w:val="20"/>
          <w:szCs w:val="20"/>
        </w:rPr>
        <w:t xml:space="preserve"> at 340–42 (documenting country-of-origin effects on asylum grant rates); GAO, Asylum: Actions Needed to Better Ensure Full Adherence to Key Procedures, GAO-20-250, at 26–27, 86–92 (2020).</w:t>
      </w:r>
    </w:p>
  </w:footnote>
  <w:footnote w:id="97">
    <w:p w14:paraId="764B1F66" w14:textId="77777777" w:rsidR="00D76C6E" w:rsidRDefault="00D76C6E" w:rsidP="00D76C6E">
      <w:pPr>
        <w:ind w:firstLine="360"/>
      </w:pPr>
      <w:r>
        <w:rPr>
          <w:rStyle w:val="FootnoteReference"/>
          <w:rFonts w:eastAsiaTheme="majorEastAsia"/>
        </w:rPr>
        <w:footnoteRef/>
      </w:r>
      <w:r>
        <w:rPr>
          <w:sz w:val="20"/>
          <w:szCs w:val="20"/>
        </w:rPr>
        <w:t xml:space="preserve">Mariano Castillo, </w:t>
      </w:r>
      <w:r w:rsidRPr="003C78F0">
        <w:rPr>
          <w:i/>
          <w:iCs/>
          <w:sz w:val="20"/>
          <w:szCs w:val="20"/>
        </w:rPr>
        <w:t>Immigration: More Central Americans Apprehended than Mexicans</w:t>
      </w:r>
      <w:r>
        <w:rPr>
          <w:sz w:val="20"/>
          <w:szCs w:val="20"/>
        </w:rPr>
        <w:t>, CNN, Dec. 19, 2014 (reporting that migrants from El Salvador, Guatemala, and Honduras made up 49% of border apprehensions in 2014).</w:t>
      </w:r>
    </w:p>
  </w:footnote>
  <w:footnote w:id="98">
    <w:p w14:paraId="3B00933A" w14:textId="2537ECE6" w:rsidR="00D76C6E" w:rsidRDefault="00D76C6E" w:rsidP="00D76C6E">
      <w:pPr>
        <w:ind w:firstLine="360"/>
      </w:pPr>
      <w:r>
        <w:rPr>
          <w:rStyle w:val="FootnoteReference"/>
          <w:rFonts w:eastAsiaTheme="majorEastAsia"/>
        </w:rPr>
        <w:footnoteRef/>
      </w:r>
      <w:r>
        <w:rPr>
          <w:sz w:val="20"/>
          <w:szCs w:val="20"/>
        </w:rPr>
        <w:t xml:space="preserve">The language variable was obtained from the Case Table. If language was missing from the Case Table, the Schedule Table was consulted. Missing language data was imputed as the modal category (Spanish). </w:t>
      </w:r>
    </w:p>
  </w:footnote>
  <w:footnote w:id="99">
    <w:p w14:paraId="201CE5A0" w14:textId="2403E9B5" w:rsidR="00D76C6E" w:rsidRDefault="00D76C6E" w:rsidP="00D76C6E">
      <w:pPr>
        <w:ind w:firstLine="360"/>
      </w:pPr>
      <w:r>
        <w:rPr>
          <w:rStyle w:val="FootnoteReference"/>
          <w:rFonts w:eastAsiaTheme="majorEastAsia"/>
        </w:rPr>
        <w:footnoteRef/>
      </w:r>
      <w:r>
        <w:rPr>
          <w:sz w:val="20"/>
          <w:szCs w:val="20"/>
        </w:rPr>
        <w:t xml:space="preserve"> </w:t>
      </w:r>
      <w:r>
        <w:rPr>
          <w:i/>
          <w:iCs/>
          <w:sz w:val="20"/>
          <w:szCs w:val="20"/>
        </w:rPr>
        <w:t xml:space="preserve">See </w:t>
      </w:r>
      <w:r>
        <w:rPr>
          <w:sz w:val="20"/>
          <w:szCs w:val="20"/>
        </w:rPr>
        <w:t xml:space="preserve">Miller, Keith &amp; Holmes, </w:t>
      </w:r>
      <w:r>
        <w:rPr>
          <w:i/>
          <w:iCs/>
          <w:sz w:val="20"/>
          <w:szCs w:val="20"/>
        </w:rPr>
        <w:t xml:space="preserve">supra </w:t>
      </w:r>
      <w:r w:rsidRPr="003C78F0">
        <w:rPr>
          <w:sz w:val="20"/>
          <w:szCs w:val="20"/>
        </w:rPr>
        <w:t>note 50,</w:t>
      </w:r>
      <w:r>
        <w:rPr>
          <w:sz w:val="20"/>
          <w:szCs w:val="20"/>
        </w:rPr>
        <w:t xml:space="preserve"> at 71 (finding that non-English speakers were approximately one to two percentage points less likely to be granted asylum); </w:t>
      </w:r>
      <w:r>
        <w:rPr>
          <w:i/>
          <w:iCs/>
          <w:sz w:val="20"/>
          <w:szCs w:val="20"/>
        </w:rPr>
        <w:t xml:space="preserve">see also </w:t>
      </w:r>
      <w:r>
        <w:rPr>
          <w:sz w:val="20"/>
          <w:szCs w:val="20"/>
        </w:rPr>
        <w:t xml:space="preserve">Deborah E. Anker, </w:t>
      </w:r>
      <w:r>
        <w:rPr>
          <w:i/>
          <w:iCs/>
          <w:sz w:val="20"/>
          <w:szCs w:val="20"/>
        </w:rPr>
        <w:t>Determining Asylum Claims in the United States: A Case Study on the Implementation of Legal Norms in an Unstructured Adjudicatory Environment</w:t>
      </w:r>
      <w:r>
        <w:rPr>
          <w:sz w:val="20"/>
          <w:szCs w:val="20"/>
        </w:rPr>
        <w:t xml:space="preserve">, 19 </w:t>
      </w:r>
      <w:r>
        <w:rPr>
          <w:smallCaps/>
          <w:sz w:val="20"/>
          <w:szCs w:val="20"/>
        </w:rPr>
        <w:t>N.Y.U. Rev. L. &amp; Soc. Change</w:t>
      </w:r>
      <w:r>
        <w:rPr>
          <w:sz w:val="20"/>
          <w:szCs w:val="20"/>
        </w:rPr>
        <w:t xml:space="preserve"> 433, 450–51 (1991).</w:t>
      </w:r>
      <w:r w:rsidR="004517AE">
        <w:rPr>
          <w:sz w:val="20"/>
          <w:szCs w:val="20"/>
        </w:rPr>
        <w:t xml:space="preserve"> Immigration courts are required to provide certified </w:t>
      </w:r>
      <w:proofErr w:type="gramStart"/>
      <w:r w:rsidR="004517AE">
        <w:rPr>
          <w:sz w:val="20"/>
          <w:szCs w:val="20"/>
        </w:rPr>
        <w:t>interpreters, but</w:t>
      </w:r>
      <w:proofErr w:type="gramEnd"/>
      <w:r w:rsidR="004517AE">
        <w:rPr>
          <w:sz w:val="20"/>
          <w:szCs w:val="20"/>
        </w:rPr>
        <w:t xml:space="preserve"> are not required to provide interpreters for all languages. 8 C.F.R. § 1003.42(c) (2023).</w:t>
      </w:r>
    </w:p>
  </w:footnote>
  <w:footnote w:id="100">
    <w:p w14:paraId="4FE2ABBF" w14:textId="77777777" w:rsidR="00D76C6E" w:rsidRDefault="00D76C6E" w:rsidP="00D76C6E">
      <w:pPr>
        <w:ind w:firstLine="360"/>
      </w:pPr>
      <w:r>
        <w:rPr>
          <w:rStyle w:val="FootnoteReference"/>
          <w:rFonts w:eastAsiaTheme="majorEastAsia"/>
        </w:rPr>
        <w:footnoteRef/>
      </w:r>
      <w:r>
        <w:rPr>
          <w:sz w:val="20"/>
          <w:szCs w:val="20"/>
        </w:rPr>
        <w:t>Lead and rider case indicators were obtained from separate tables in the EOIR dataset and merged by case ID.</w:t>
      </w:r>
    </w:p>
  </w:footnote>
  <w:footnote w:id="101">
    <w:p w14:paraId="45E39BE6" w14:textId="77777777" w:rsidR="00D76C6E" w:rsidRDefault="00D76C6E" w:rsidP="00D76C6E">
      <w:pPr>
        <w:ind w:firstLine="360"/>
      </w:pPr>
      <w:r>
        <w:rPr>
          <w:rStyle w:val="FootnoteReference"/>
          <w:rFonts w:eastAsiaTheme="majorEastAsia"/>
        </w:rPr>
        <w:footnoteRef/>
      </w:r>
      <w:r>
        <w:rPr>
          <w:sz w:val="20"/>
          <w:szCs w:val="20"/>
        </w:rPr>
        <w:t xml:space="preserve">Juveniles were coded using the EOIR Juvenile Table, following the coding methodology employed by </w:t>
      </w:r>
      <w:proofErr w:type="spellStart"/>
      <w:r>
        <w:rPr>
          <w:sz w:val="20"/>
          <w:szCs w:val="20"/>
        </w:rPr>
        <w:t>Eagly</w:t>
      </w:r>
      <w:proofErr w:type="spellEnd"/>
      <w:r>
        <w:rPr>
          <w:sz w:val="20"/>
          <w:szCs w:val="20"/>
        </w:rPr>
        <w:t xml:space="preserve">. </w:t>
      </w:r>
      <w:r>
        <w:rPr>
          <w:i/>
          <w:iCs/>
          <w:sz w:val="20"/>
          <w:szCs w:val="20"/>
        </w:rPr>
        <w:t xml:space="preserve">See </w:t>
      </w:r>
      <w:proofErr w:type="spellStart"/>
      <w:r>
        <w:rPr>
          <w:sz w:val="20"/>
          <w:szCs w:val="20"/>
        </w:rPr>
        <w:t>Eagly</w:t>
      </w:r>
      <w:proofErr w:type="spellEnd"/>
      <w:r>
        <w:rPr>
          <w:sz w:val="20"/>
          <w:szCs w:val="20"/>
        </w:rPr>
        <w:t xml:space="preserve"> &amp; Shafer, </w:t>
      </w:r>
      <w:r>
        <w:rPr>
          <w:i/>
          <w:iCs/>
          <w:sz w:val="20"/>
          <w:szCs w:val="20"/>
        </w:rPr>
        <w:t xml:space="preserve">supra </w:t>
      </w:r>
      <w:r w:rsidRPr="004517AE">
        <w:rPr>
          <w:sz w:val="20"/>
          <w:szCs w:val="20"/>
        </w:rPr>
        <w:t>note 4,</w:t>
      </w:r>
      <w:r>
        <w:rPr>
          <w:sz w:val="20"/>
          <w:szCs w:val="20"/>
        </w:rPr>
        <w:t xml:space="preserve"> at 20 n.78.</w:t>
      </w:r>
    </w:p>
  </w:footnote>
  <w:footnote w:id="102">
    <w:p w14:paraId="47E09468" w14:textId="77777777" w:rsidR="00D76C6E" w:rsidRDefault="00D76C6E" w:rsidP="00D76C6E">
      <w:pPr>
        <w:ind w:firstLine="360"/>
      </w:pPr>
      <w:r>
        <w:rPr>
          <w:rStyle w:val="FootnoteReference"/>
          <w:rFonts w:eastAsiaTheme="majorEastAsia"/>
        </w:rPr>
        <w:footnoteRef/>
      </w:r>
      <w:r>
        <w:rPr>
          <w:i/>
          <w:iCs/>
          <w:sz w:val="20"/>
          <w:szCs w:val="20"/>
        </w:rPr>
        <w:t xml:space="preserve">See </w:t>
      </w:r>
      <w:proofErr w:type="spellStart"/>
      <w:r>
        <w:rPr>
          <w:sz w:val="20"/>
          <w:szCs w:val="20"/>
        </w:rPr>
        <w:t>Eagly</w:t>
      </w:r>
      <w:proofErr w:type="spellEnd"/>
      <w:r>
        <w:rPr>
          <w:sz w:val="20"/>
          <w:szCs w:val="20"/>
        </w:rPr>
        <w:t xml:space="preserve"> &amp; Shafer, </w:t>
      </w:r>
      <w:r>
        <w:rPr>
          <w:i/>
          <w:iCs/>
          <w:sz w:val="20"/>
          <w:szCs w:val="20"/>
        </w:rPr>
        <w:t xml:space="preserve">supra </w:t>
      </w:r>
      <w:r w:rsidRPr="004517AE">
        <w:rPr>
          <w:sz w:val="20"/>
          <w:szCs w:val="20"/>
        </w:rPr>
        <w:t>note 39, at</w:t>
      </w:r>
      <w:r>
        <w:rPr>
          <w:sz w:val="20"/>
          <w:szCs w:val="20"/>
        </w:rPr>
        <w:t xml:space="preserve"> 710–14 (noting that detained immigration courts differ systematically from non-detained courts in docket composition, processing speed, and representation rates).</w:t>
      </w:r>
    </w:p>
  </w:footnote>
  <w:footnote w:id="103">
    <w:p w14:paraId="0DAA290F" w14:textId="77777777" w:rsidR="00D76C6E" w:rsidRDefault="00D76C6E" w:rsidP="00D76C6E">
      <w:pPr>
        <w:ind w:firstLine="360"/>
      </w:pPr>
      <w:r>
        <w:rPr>
          <w:rStyle w:val="FootnoteReference"/>
          <w:rFonts w:eastAsiaTheme="majorEastAsia"/>
        </w:rPr>
        <w:footnoteRef/>
      </w:r>
      <w:r>
        <w:rPr>
          <w:sz w:val="20"/>
          <w:szCs w:val="20"/>
        </w:rPr>
        <w:t>In re Guerra, 24 I. &amp; N. Dec. 37, 40 (BIA 2006) (listing the factors relevant to the removal determination, including evidence of rehabilitation, hardship to U.S.-citizen relatives, and community ties).</w:t>
      </w:r>
    </w:p>
  </w:footnote>
  <w:footnote w:id="104">
    <w:p w14:paraId="53F5DEAB" w14:textId="0B1ED7E2" w:rsidR="00D76C6E" w:rsidRDefault="00D76C6E" w:rsidP="00D76C6E">
      <w:pPr>
        <w:ind w:firstLine="360"/>
      </w:pPr>
      <w:r>
        <w:rPr>
          <w:rStyle w:val="FootnoteReference"/>
          <w:rFonts w:eastAsiaTheme="majorEastAsia"/>
        </w:rPr>
        <w:footnoteRef/>
      </w:r>
      <w:r>
        <w:rPr>
          <w:sz w:val="20"/>
          <w:szCs w:val="20"/>
        </w:rPr>
        <w:t xml:space="preserve">The EOIR dataset provides a column for </w:t>
      </w:r>
      <w:r w:rsidR="004517AE">
        <w:rPr>
          <w:sz w:val="20"/>
          <w:szCs w:val="20"/>
        </w:rPr>
        <w:t>“</w:t>
      </w:r>
      <w:r>
        <w:rPr>
          <w:sz w:val="20"/>
          <w:szCs w:val="20"/>
        </w:rPr>
        <w:t>criminal</w:t>
      </w:r>
      <w:proofErr w:type="gramStart"/>
      <w:r w:rsidR="004517AE">
        <w:rPr>
          <w:sz w:val="20"/>
          <w:szCs w:val="20"/>
        </w:rPr>
        <w:t>”</w:t>
      </w:r>
      <w:proofErr w:type="gramEnd"/>
      <w:r>
        <w:rPr>
          <w:sz w:val="20"/>
          <w:szCs w:val="20"/>
        </w:rPr>
        <w:t xml:space="preserve"> but the entries were incomplete and inconsistent.</w:t>
      </w:r>
    </w:p>
  </w:footnote>
  <w:footnote w:id="105">
    <w:p w14:paraId="68A6EA0B" w14:textId="77777777" w:rsidR="002F3924" w:rsidRDefault="002F3924" w:rsidP="002F3924">
      <w:pPr>
        <w:ind w:firstLine="360"/>
      </w:pPr>
      <w:r>
        <w:rPr>
          <w:rStyle w:val="FootnoteReference"/>
          <w:rFonts w:eastAsiaTheme="majorEastAsia"/>
        </w:rPr>
        <w:footnoteRef/>
      </w:r>
      <w:r>
        <w:rPr>
          <w:i/>
          <w:iCs/>
          <w:sz w:val="20"/>
          <w:szCs w:val="20"/>
        </w:rPr>
        <w:t xml:space="preserve">See </w:t>
      </w:r>
      <w:r>
        <w:rPr>
          <w:sz w:val="20"/>
          <w:szCs w:val="20"/>
        </w:rPr>
        <w:t xml:space="preserve">Ryo, </w:t>
      </w:r>
      <w:r>
        <w:rPr>
          <w:i/>
          <w:iCs/>
          <w:sz w:val="20"/>
          <w:szCs w:val="20"/>
        </w:rPr>
        <w:t xml:space="preserve">supra </w:t>
      </w:r>
      <w:r w:rsidRPr="004517AE">
        <w:rPr>
          <w:sz w:val="20"/>
          <w:szCs w:val="20"/>
        </w:rPr>
        <w:t>note 5</w:t>
      </w:r>
      <w:r>
        <w:rPr>
          <w:sz w:val="20"/>
          <w:szCs w:val="20"/>
        </w:rPr>
        <w:t xml:space="preserve">, at 155–57 (documenting the role of a criminal record in immigration bond decisions); </w:t>
      </w:r>
      <w:r>
        <w:rPr>
          <w:i/>
          <w:iCs/>
          <w:sz w:val="20"/>
          <w:szCs w:val="20"/>
        </w:rPr>
        <w:t xml:space="preserve">see also </w:t>
      </w:r>
      <w:r>
        <w:rPr>
          <w:sz w:val="20"/>
          <w:szCs w:val="20"/>
        </w:rPr>
        <w:t xml:space="preserve">Emily Ryo, </w:t>
      </w:r>
      <w:r>
        <w:rPr>
          <w:i/>
          <w:iCs/>
          <w:sz w:val="20"/>
          <w:szCs w:val="20"/>
        </w:rPr>
        <w:t>Understanding Immigration Detention: Causes, Conditions, and Consequences</w:t>
      </w:r>
      <w:r>
        <w:rPr>
          <w:sz w:val="20"/>
          <w:szCs w:val="20"/>
        </w:rPr>
        <w:t xml:space="preserve">, 1 </w:t>
      </w:r>
      <w:r>
        <w:rPr>
          <w:smallCaps/>
          <w:sz w:val="20"/>
          <w:szCs w:val="20"/>
        </w:rPr>
        <w:t>Ann. Rev. L. &amp; Soc. Sci.</w:t>
      </w:r>
      <w:r>
        <w:rPr>
          <w:sz w:val="20"/>
          <w:szCs w:val="20"/>
        </w:rPr>
        <w:t xml:space="preserve"> 97, 103 (2019).</w:t>
      </w:r>
    </w:p>
  </w:footnote>
  <w:footnote w:id="106">
    <w:p w14:paraId="3D75B603" w14:textId="6A01D2B7" w:rsidR="002F3924" w:rsidRPr="002F3924" w:rsidRDefault="002F3924" w:rsidP="002F3924">
      <w:pPr>
        <w:pStyle w:val="NormalWeb"/>
        <w:spacing w:before="0" w:beforeAutospacing="0" w:after="0" w:afterAutospacing="0"/>
        <w:ind w:firstLine="360"/>
        <w:rPr>
          <w:color w:val="000000"/>
          <w:sz w:val="20"/>
          <w:szCs w:val="20"/>
        </w:rPr>
      </w:pPr>
      <w:r>
        <w:rPr>
          <w:rStyle w:val="FootnoteReference"/>
        </w:rPr>
        <w:footnoteRef/>
      </w:r>
      <w:r>
        <w:t xml:space="preserve"> </w:t>
      </w:r>
      <w:r w:rsidRPr="002F3924">
        <w:rPr>
          <w:color w:val="000000"/>
          <w:sz w:val="20"/>
          <w:szCs w:val="20"/>
        </w:rPr>
        <w:t>Because EOIR coding practices vary across time and courts, I constructed multiple versions of the crime controls for robustness. The principal specification uses a broad criminal-ground indicator that captures any proceeding containing a criminal charge code or statutory reference associated with criminal conduct, regardless of whether the charge ultimately formed the basis for removal. Alternative specifications use narrower measures limited to proceedings in which the criminal ground appeared to be sustained or directly tied to the final adjudicatory outcome. These measures were constructed at the proceeding level and merged into the main analysis dataset without dropping observations.</w:t>
      </w:r>
    </w:p>
  </w:footnote>
  <w:footnote w:id="107">
    <w:p w14:paraId="41D9491E" w14:textId="394CAA08" w:rsidR="00D76C6E" w:rsidRDefault="00D76C6E" w:rsidP="004517AE">
      <w:pPr>
        <w:ind w:firstLine="360"/>
      </w:pPr>
      <w:r>
        <w:rPr>
          <w:rStyle w:val="FootnoteReference"/>
          <w:rFonts w:eastAsiaTheme="majorEastAsia"/>
        </w:rPr>
        <w:footnoteRef/>
      </w:r>
      <w:r>
        <w:rPr>
          <w:i/>
          <w:iCs/>
          <w:sz w:val="20"/>
          <w:szCs w:val="20"/>
        </w:rPr>
        <w:t xml:space="preserve">See </w:t>
      </w:r>
      <w:r>
        <w:rPr>
          <w:sz w:val="20"/>
          <w:szCs w:val="20"/>
        </w:rPr>
        <w:t xml:space="preserve">Jill D. Weinberg &amp; Laura Beth Nielsen, </w:t>
      </w:r>
      <w:r w:rsidRPr="004517AE">
        <w:rPr>
          <w:i/>
          <w:iCs/>
          <w:sz w:val="20"/>
          <w:szCs w:val="20"/>
        </w:rPr>
        <w:t xml:space="preserve">Examining Empathy: Discrimination, Experience, and Judicial </w:t>
      </w:r>
      <w:proofErr w:type="spellStart"/>
      <w:r w:rsidRPr="004517AE">
        <w:rPr>
          <w:i/>
          <w:iCs/>
          <w:sz w:val="20"/>
          <w:szCs w:val="20"/>
        </w:rPr>
        <w:t>Decisionmaking</w:t>
      </w:r>
      <w:proofErr w:type="spellEnd"/>
      <w:r>
        <w:rPr>
          <w:sz w:val="20"/>
          <w:szCs w:val="20"/>
        </w:rPr>
        <w:t xml:space="preserve">, 85 </w:t>
      </w:r>
      <w:r>
        <w:rPr>
          <w:smallCaps/>
          <w:sz w:val="20"/>
          <w:szCs w:val="20"/>
        </w:rPr>
        <w:t>S. Cal. L. Rev.</w:t>
      </w:r>
      <w:r>
        <w:rPr>
          <w:sz w:val="20"/>
          <w:szCs w:val="20"/>
        </w:rPr>
        <w:t xml:space="preserve"> 313, 315–17 (2012). Prior scholarship on asylum adjudication consistently finds that female IJs grant asylum at higher rates than male IJs. </w:t>
      </w:r>
      <w:r>
        <w:rPr>
          <w:i/>
          <w:iCs/>
          <w:sz w:val="20"/>
          <w:szCs w:val="20"/>
        </w:rPr>
        <w:t xml:space="preserve">See </w:t>
      </w:r>
      <w:r>
        <w:rPr>
          <w:sz w:val="20"/>
          <w:szCs w:val="20"/>
        </w:rPr>
        <w:t xml:space="preserve">Ramji-Nogales et al., </w:t>
      </w:r>
      <w:r>
        <w:rPr>
          <w:i/>
          <w:iCs/>
          <w:sz w:val="20"/>
          <w:szCs w:val="20"/>
        </w:rPr>
        <w:t xml:space="preserve">supra </w:t>
      </w:r>
      <w:r w:rsidRPr="004517AE">
        <w:rPr>
          <w:sz w:val="20"/>
          <w:szCs w:val="20"/>
        </w:rPr>
        <w:t>note 6,</w:t>
      </w:r>
      <w:r>
        <w:rPr>
          <w:sz w:val="20"/>
          <w:szCs w:val="20"/>
        </w:rPr>
        <w:t xml:space="preserve"> at 47–48</w:t>
      </w:r>
      <w:r w:rsidR="004517AE">
        <w:rPr>
          <w:sz w:val="20"/>
          <w:szCs w:val="20"/>
        </w:rPr>
        <w:t>; GAO, Asylum: Agencies Have Taken Some Steps to Ensure Procedural Protections for Asylum Seekers, GAO-17-438, at 36, 119 (2017) (female judges awarded asylum at 1.4 times the rate of male judges in defensive asylum cases).</w:t>
      </w:r>
    </w:p>
  </w:footnote>
  <w:footnote w:id="108">
    <w:p w14:paraId="1695A966" w14:textId="0B2F4BF9" w:rsidR="00D76C6E" w:rsidRDefault="00D76C6E" w:rsidP="0052757B">
      <w:pPr>
        <w:ind w:firstLine="360"/>
      </w:pPr>
      <w:r>
        <w:rPr>
          <w:rStyle w:val="FootnoteReference"/>
          <w:rFonts w:eastAsiaTheme="majorEastAsia"/>
        </w:rPr>
        <w:footnoteRef/>
      </w:r>
      <w:r>
        <w:rPr>
          <w:sz w:val="20"/>
          <w:szCs w:val="20"/>
        </w:rPr>
        <w:t xml:space="preserve"> Prior employment with INS, DOJ, or DHS was coded as 1; other </w:t>
      </w:r>
      <w:r w:rsidRPr="0052757B">
        <w:rPr>
          <w:sz w:val="20"/>
          <w:szCs w:val="20"/>
        </w:rPr>
        <w:t xml:space="preserve">prior employment was coded as 0. </w:t>
      </w:r>
      <w:r w:rsidR="004517AE" w:rsidRPr="0052757B">
        <w:rPr>
          <w:i/>
          <w:iCs/>
          <w:sz w:val="20"/>
          <w:szCs w:val="20"/>
        </w:rPr>
        <w:t xml:space="preserve">See </w:t>
      </w:r>
      <w:r w:rsidR="004517AE" w:rsidRPr="0052757B">
        <w:rPr>
          <w:sz w:val="20"/>
          <w:szCs w:val="20"/>
        </w:rPr>
        <w:t xml:space="preserve">Kim &amp; Semet, </w:t>
      </w:r>
      <w:r w:rsidR="004517AE" w:rsidRPr="0052757B">
        <w:rPr>
          <w:i/>
          <w:iCs/>
          <w:sz w:val="20"/>
          <w:szCs w:val="20"/>
        </w:rPr>
        <w:t xml:space="preserve">supra </w:t>
      </w:r>
      <w:r w:rsidR="004517AE" w:rsidRPr="0052757B">
        <w:rPr>
          <w:sz w:val="20"/>
          <w:szCs w:val="20"/>
        </w:rPr>
        <w:t xml:space="preserve">note 56, at 595–600 (finding that IJs with prior employment at the INS, DHS, or DOJ were </w:t>
      </w:r>
      <w:r w:rsidR="000D4F70" w:rsidRPr="0052757B">
        <w:rPr>
          <w:sz w:val="20"/>
          <w:szCs w:val="20"/>
        </w:rPr>
        <w:t xml:space="preserve">not </w:t>
      </w:r>
      <w:r w:rsidR="004517AE" w:rsidRPr="0052757B">
        <w:rPr>
          <w:sz w:val="20"/>
          <w:szCs w:val="20"/>
        </w:rPr>
        <w:t xml:space="preserve">more likely to order removal, even after controlling for appointing administration and case characteristics); </w:t>
      </w:r>
      <w:r w:rsidR="004517AE" w:rsidRPr="0052757B">
        <w:rPr>
          <w:i/>
          <w:iCs/>
          <w:sz w:val="20"/>
          <w:szCs w:val="20"/>
        </w:rPr>
        <w:t xml:space="preserve">see also </w:t>
      </w:r>
      <w:r w:rsidR="004517AE" w:rsidRPr="0052757B">
        <w:rPr>
          <w:sz w:val="20"/>
          <w:szCs w:val="20"/>
        </w:rPr>
        <w:t xml:space="preserve">Miller, Keith &amp; Holmes, </w:t>
      </w:r>
      <w:r w:rsidR="004517AE" w:rsidRPr="0052757B">
        <w:rPr>
          <w:i/>
          <w:iCs/>
          <w:sz w:val="20"/>
          <w:szCs w:val="20"/>
        </w:rPr>
        <w:t xml:space="preserve">supra </w:t>
      </w:r>
      <w:r w:rsidR="004517AE" w:rsidRPr="0052757B">
        <w:rPr>
          <w:sz w:val="20"/>
          <w:szCs w:val="20"/>
        </w:rPr>
        <w:t>note 50, at 110–15 (documenting that prosecutorial prior experience is associated with higher denial rates in asylum adjudication, consistent</w:t>
      </w:r>
      <w:r w:rsidR="004517AE">
        <w:rPr>
          <w:sz w:val="20"/>
          <w:szCs w:val="20"/>
        </w:rPr>
        <w:t xml:space="preserve"> with the hypothesis that enforcement-oriented career backgrounds produce enforcement-oriented adjudicators).</w:t>
      </w:r>
    </w:p>
  </w:footnote>
  <w:footnote w:id="109">
    <w:p w14:paraId="6DB23C4A" w14:textId="51E059ED" w:rsidR="00D76C6E" w:rsidRDefault="00D76C6E" w:rsidP="00D76C6E">
      <w:pPr>
        <w:ind w:firstLine="360"/>
      </w:pPr>
      <w:r>
        <w:rPr>
          <w:rStyle w:val="FootnoteReference"/>
          <w:rFonts w:eastAsiaTheme="majorEastAsia"/>
        </w:rPr>
        <w:footnoteRef/>
      </w:r>
      <w:r>
        <w:rPr>
          <w:sz w:val="20"/>
          <w:szCs w:val="20"/>
        </w:rPr>
        <w:t xml:space="preserve"> Chand, Schreckhise &amp; Bowers, </w:t>
      </w:r>
      <w:r w:rsidR="001F281F">
        <w:rPr>
          <w:i/>
          <w:iCs/>
          <w:sz w:val="20"/>
          <w:szCs w:val="20"/>
        </w:rPr>
        <w:t xml:space="preserve">supra </w:t>
      </w:r>
      <w:r w:rsidR="001F281F">
        <w:rPr>
          <w:sz w:val="20"/>
          <w:szCs w:val="20"/>
        </w:rPr>
        <w:t>note 50, at</w:t>
      </w:r>
      <w:r>
        <w:rPr>
          <w:sz w:val="20"/>
          <w:szCs w:val="20"/>
        </w:rPr>
        <w:t xml:space="preserve"> 186–88 (analyzing 107,306 asylum cases decided between 1997 and 2010 and finding that local political culture—measured by state-level presidential voting patterns and local political salience of immigration—significantly shapes asylum grant rates</w:t>
      </w:r>
      <w:r w:rsidR="001F281F">
        <w:rPr>
          <w:sz w:val="20"/>
          <w:szCs w:val="20"/>
        </w:rPr>
        <w:t>).</w:t>
      </w:r>
    </w:p>
  </w:footnote>
  <w:footnote w:id="110">
    <w:p w14:paraId="10341C99" w14:textId="77777777" w:rsidR="00D76C6E" w:rsidRDefault="00D76C6E" w:rsidP="00D76C6E">
      <w:pPr>
        <w:ind w:firstLine="360"/>
      </w:pPr>
      <w:r>
        <w:rPr>
          <w:rStyle w:val="FootnoteReference"/>
          <w:rFonts w:eastAsiaTheme="majorEastAsia"/>
        </w:rPr>
        <w:footnoteRef/>
      </w:r>
      <w:r>
        <w:rPr>
          <w:sz w:val="20"/>
          <w:szCs w:val="20"/>
        </w:rPr>
        <w:t>Immigration courts in one of the ten largest metropolitan areas (New York, Los Angeles, Chicago, Houston, Phoenix, Philadelphia, San Antonio, San Diego, Dallas, and San Jose) were coded as urban.</w:t>
      </w:r>
    </w:p>
  </w:footnote>
  <w:footnote w:id="111">
    <w:p w14:paraId="3A39E629" w14:textId="77777777" w:rsidR="00D76C6E" w:rsidRDefault="00D76C6E" w:rsidP="00D76C6E">
      <w:pPr>
        <w:ind w:firstLine="360"/>
      </w:pPr>
      <w:r>
        <w:rPr>
          <w:rStyle w:val="FootnoteReference"/>
          <w:rFonts w:eastAsiaTheme="majorEastAsia"/>
        </w:rPr>
        <w:footnoteRef/>
      </w:r>
      <w:r>
        <w:rPr>
          <w:sz w:val="20"/>
          <w:szCs w:val="20"/>
        </w:rPr>
        <w:t>The following base cities were coded as border-adjacent: San Diego, Otay Mesa, Imperial, El Paso, Port Isabel, Otero, and Harlingen.</w:t>
      </w:r>
    </w:p>
  </w:footnote>
  <w:footnote w:id="112">
    <w:p w14:paraId="6C9B75C9" w14:textId="77777777" w:rsidR="00D76C6E" w:rsidRDefault="00D76C6E" w:rsidP="00D76C6E">
      <w:pPr>
        <w:ind w:firstLine="360"/>
      </w:pPr>
      <w:r>
        <w:rPr>
          <w:rStyle w:val="FootnoteReference"/>
          <w:rFonts w:eastAsiaTheme="majorEastAsia"/>
        </w:rPr>
        <w:footnoteRef/>
      </w:r>
      <w:r>
        <w:rPr>
          <w:i/>
          <w:iCs/>
          <w:sz w:val="20"/>
          <w:szCs w:val="20"/>
        </w:rPr>
        <w:t xml:space="preserve">See </w:t>
      </w:r>
      <w:proofErr w:type="spellStart"/>
      <w:r>
        <w:rPr>
          <w:sz w:val="20"/>
          <w:szCs w:val="20"/>
        </w:rPr>
        <w:t>Eagly</w:t>
      </w:r>
      <w:proofErr w:type="spellEnd"/>
      <w:r>
        <w:rPr>
          <w:sz w:val="20"/>
          <w:szCs w:val="20"/>
        </w:rPr>
        <w:t xml:space="preserve"> &amp; Shafer, </w:t>
      </w:r>
      <w:r>
        <w:rPr>
          <w:i/>
          <w:iCs/>
          <w:sz w:val="20"/>
          <w:szCs w:val="20"/>
        </w:rPr>
        <w:t xml:space="preserve">supra </w:t>
      </w:r>
      <w:r w:rsidRPr="001F281F">
        <w:rPr>
          <w:sz w:val="20"/>
          <w:szCs w:val="20"/>
        </w:rPr>
        <w:t>note 39,</w:t>
      </w:r>
      <w:r>
        <w:rPr>
          <w:sz w:val="20"/>
          <w:szCs w:val="20"/>
        </w:rPr>
        <w:t xml:space="preserve"> at 731–42 (discussing the growth of videoconferencing in detained immigration courts and its documented effects on representation and outcomes); </w:t>
      </w:r>
      <w:r>
        <w:rPr>
          <w:i/>
          <w:iCs/>
          <w:sz w:val="20"/>
          <w:szCs w:val="20"/>
        </w:rPr>
        <w:t xml:space="preserve">see also </w:t>
      </w:r>
      <w:r>
        <w:rPr>
          <w:sz w:val="20"/>
          <w:szCs w:val="20"/>
        </w:rPr>
        <w:t xml:space="preserve">Dane Thorley &amp; Joshua Mitts, </w:t>
      </w:r>
      <w:r>
        <w:rPr>
          <w:i/>
          <w:iCs/>
          <w:sz w:val="20"/>
          <w:szCs w:val="20"/>
        </w:rPr>
        <w:t>Trial by Skype: A Causality-Oriented Replication</w:t>
      </w:r>
      <w:r>
        <w:rPr>
          <w:sz w:val="20"/>
          <w:szCs w:val="20"/>
        </w:rPr>
        <w:t xml:space="preserve">, </w:t>
      </w:r>
      <w:r>
        <w:rPr>
          <w:smallCaps/>
          <w:sz w:val="20"/>
          <w:szCs w:val="20"/>
        </w:rPr>
        <w:t>Int'l Rev. L. &amp; Econ.</w:t>
      </w:r>
      <w:r>
        <w:rPr>
          <w:sz w:val="20"/>
          <w:szCs w:val="20"/>
        </w:rPr>
        <w:t xml:space="preserve"> (2019) (examining videoconferencing effects on removal proceedings).</w:t>
      </w:r>
    </w:p>
  </w:footnote>
  <w:footnote w:id="113">
    <w:p w14:paraId="2302A000" w14:textId="77777777" w:rsidR="00D76C6E" w:rsidRDefault="00D76C6E" w:rsidP="00D76C6E">
      <w:pPr>
        <w:ind w:firstLine="360"/>
      </w:pPr>
      <w:r>
        <w:rPr>
          <w:rStyle w:val="FootnoteReference"/>
          <w:rFonts w:eastAsiaTheme="majorEastAsia"/>
        </w:rPr>
        <w:footnoteRef/>
      </w:r>
      <w:r>
        <w:rPr>
          <w:sz w:val="20"/>
          <w:szCs w:val="20"/>
        </w:rPr>
        <w:t xml:space="preserve">The three </w:t>
      </w:r>
      <w:proofErr w:type="spellStart"/>
      <w:r>
        <w:rPr>
          <w:sz w:val="20"/>
          <w:szCs w:val="20"/>
        </w:rPr>
        <w:t>estimands</w:t>
      </w:r>
      <w:proofErr w:type="spellEnd"/>
      <w:r>
        <w:rPr>
          <w:sz w:val="20"/>
          <w:szCs w:val="20"/>
        </w:rPr>
        <w:t xml:space="preserve"> map onto the classic two-way fixed-effects and difference-in-differences literature. </w:t>
      </w:r>
      <w:r>
        <w:rPr>
          <w:i/>
          <w:iCs/>
          <w:sz w:val="20"/>
          <w:szCs w:val="20"/>
        </w:rPr>
        <w:t xml:space="preserve">See generally </w:t>
      </w:r>
      <w:r>
        <w:rPr>
          <w:sz w:val="20"/>
          <w:szCs w:val="20"/>
        </w:rPr>
        <w:t xml:space="preserve">Alberto Abadie et al., When Should You Adjust Standard Errors for </w:t>
      </w:r>
      <w:proofErr w:type="gramStart"/>
      <w:r>
        <w:rPr>
          <w:sz w:val="20"/>
          <w:szCs w:val="20"/>
        </w:rPr>
        <w:t>Clustering?,</w:t>
      </w:r>
      <w:proofErr w:type="gramEnd"/>
      <w:r>
        <w:rPr>
          <w:sz w:val="20"/>
          <w:szCs w:val="20"/>
        </w:rPr>
        <w:t xml:space="preserve"> 138 </w:t>
      </w:r>
      <w:r>
        <w:rPr>
          <w:smallCaps/>
          <w:sz w:val="20"/>
          <w:szCs w:val="20"/>
        </w:rPr>
        <w:t>Q.J. Econ.</w:t>
      </w:r>
      <w:r>
        <w:rPr>
          <w:sz w:val="20"/>
          <w:szCs w:val="20"/>
        </w:rPr>
        <w:t xml:space="preserve"> 1 (2023). The triple-difference specification is commonly attributed to the Card-Krueger minimum-wage literature. </w:t>
      </w:r>
      <w:r>
        <w:rPr>
          <w:i/>
          <w:iCs/>
          <w:sz w:val="20"/>
          <w:szCs w:val="20"/>
        </w:rPr>
        <w:t xml:space="preserve">See </w:t>
      </w:r>
      <w:r>
        <w:rPr>
          <w:sz w:val="20"/>
          <w:szCs w:val="20"/>
        </w:rPr>
        <w:t xml:space="preserve">David Card &amp; Alan B. Krueger, </w:t>
      </w:r>
      <w:r>
        <w:rPr>
          <w:i/>
          <w:iCs/>
          <w:sz w:val="20"/>
          <w:szCs w:val="20"/>
        </w:rPr>
        <w:t>Minimum Wages and Employment: A Case Study of the Fast-Food Industry in New Jersey and Pennsylvania</w:t>
      </w:r>
      <w:r>
        <w:rPr>
          <w:sz w:val="20"/>
          <w:szCs w:val="20"/>
        </w:rPr>
        <w:t xml:space="preserve">, 84 </w:t>
      </w:r>
      <w:r>
        <w:rPr>
          <w:smallCaps/>
          <w:sz w:val="20"/>
          <w:szCs w:val="20"/>
        </w:rPr>
        <w:t>Am. Econ. Rev.</w:t>
      </w:r>
      <w:r>
        <w:rPr>
          <w:sz w:val="20"/>
          <w:szCs w:val="20"/>
        </w:rPr>
        <w:t xml:space="preserve"> 772, 772–73 (1994).</w:t>
      </w:r>
    </w:p>
  </w:footnote>
  <w:footnote w:id="114">
    <w:p w14:paraId="36C0DCC5" w14:textId="77777777" w:rsidR="00D76C6E" w:rsidRDefault="00D76C6E" w:rsidP="00D76C6E">
      <w:pPr>
        <w:ind w:firstLine="360"/>
      </w:pPr>
      <w:r>
        <w:rPr>
          <w:rStyle w:val="FootnoteReference"/>
          <w:rFonts w:eastAsiaTheme="majorEastAsia"/>
        </w:rPr>
        <w:footnoteRef/>
      </w:r>
      <w:r>
        <w:rPr>
          <w:sz w:val="20"/>
          <w:szCs w:val="20"/>
        </w:rPr>
        <w:t>The three-way interaction isolates the cohort-specific response to the change in administration by netting out both (a) common shocks that affected all judges (captured by the period indicator) and (b) time-invariant judge characteristics (captured by judge fixed effects).</w:t>
      </w:r>
    </w:p>
  </w:footnote>
  <w:footnote w:id="115">
    <w:p w14:paraId="1FE230F5" w14:textId="77777777" w:rsidR="00D76C6E" w:rsidRDefault="00D76C6E" w:rsidP="00D76C6E">
      <w:pPr>
        <w:ind w:firstLine="360"/>
      </w:pPr>
      <w:r>
        <w:rPr>
          <w:rStyle w:val="FootnoteReference"/>
          <w:rFonts w:eastAsiaTheme="majorEastAsia"/>
        </w:rPr>
        <w:footnoteRef/>
      </w:r>
      <w:r>
        <w:rPr>
          <w:sz w:val="20"/>
          <w:szCs w:val="20"/>
        </w:rPr>
        <w:t xml:space="preserve">Judge fixed effects absorb all time-invariant characteristics of a given judge, including her ideology, priors, and any cohort-level constant. </w:t>
      </w:r>
      <w:proofErr w:type="gramStart"/>
      <w:r>
        <w:rPr>
          <w:sz w:val="20"/>
          <w:szCs w:val="20"/>
        </w:rPr>
        <w:t>As a consequence</w:t>
      </w:r>
      <w:proofErr w:type="gramEnd"/>
      <w:r>
        <w:rPr>
          <w:sz w:val="20"/>
          <w:szCs w:val="20"/>
        </w:rPr>
        <w:t xml:space="preserve">, the main effect of cohort is absorbed by the judge fixed effects, and the cohort effect </w:t>
      </w:r>
      <w:proofErr w:type="gramStart"/>
      <w:r>
        <w:rPr>
          <w:sz w:val="20"/>
          <w:szCs w:val="20"/>
        </w:rPr>
        <w:t>in a given</w:t>
      </w:r>
      <w:proofErr w:type="gramEnd"/>
      <w:r>
        <w:rPr>
          <w:sz w:val="20"/>
          <w:szCs w:val="20"/>
        </w:rPr>
        <w:t xml:space="preserve"> period is identified only through the cohort-by-period interaction term.</w:t>
      </w:r>
    </w:p>
  </w:footnote>
  <w:footnote w:id="116">
    <w:p w14:paraId="437CF41B" w14:textId="77777777" w:rsidR="00D76C6E" w:rsidRDefault="00D76C6E" w:rsidP="00D76C6E">
      <w:pPr>
        <w:ind w:firstLine="360"/>
      </w:pPr>
      <w:r>
        <w:rPr>
          <w:rStyle w:val="FootnoteReference"/>
          <w:rFonts w:eastAsiaTheme="majorEastAsia"/>
        </w:rPr>
        <w:footnoteRef/>
      </w:r>
      <w:r>
        <w:rPr>
          <w:sz w:val="20"/>
          <w:szCs w:val="20"/>
        </w:rPr>
        <w:t>The parallel trends assumption requires that, in the absence of the Biden administration taking office, the trend in removal rates for Trump-cohort judges would have been the same as the trend for Obama/Biden-cohort judges.</w:t>
      </w:r>
    </w:p>
  </w:footnote>
  <w:footnote w:id="117">
    <w:p w14:paraId="2BAD8621" w14:textId="77777777" w:rsidR="00D76C6E" w:rsidRDefault="00D76C6E" w:rsidP="00D76C6E">
      <w:pPr>
        <w:ind w:firstLine="360"/>
      </w:pPr>
      <w:r>
        <w:rPr>
          <w:rStyle w:val="FootnoteReference"/>
          <w:rFonts w:eastAsiaTheme="majorEastAsia"/>
        </w:rPr>
        <w:footnoteRef/>
      </w:r>
      <w:r>
        <w:rPr>
          <w:sz w:val="20"/>
          <w:szCs w:val="20"/>
        </w:rPr>
        <w:t xml:space="preserve">The event study specification replaces the discrete period indicator with monthly bins relative to each inauguration date, yielding a plot of cohort-by-month coefficients. A flat pre-trend is a necessary (though not sufficient) condition for the parallel-trends assumption. </w:t>
      </w:r>
      <w:r>
        <w:rPr>
          <w:i/>
          <w:iCs/>
          <w:sz w:val="20"/>
          <w:szCs w:val="20"/>
        </w:rPr>
        <w:t xml:space="preserve">See </w:t>
      </w:r>
      <w:r>
        <w:rPr>
          <w:sz w:val="20"/>
          <w:szCs w:val="20"/>
        </w:rPr>
        <w:t xml:space="preserve">Jonathan Roth et al., </w:t>
      </w:r>
      <w:r>
        <w:rPr>
          <w:i/>
          <w:iCs/>
          <w:sz w:val="20"/>
          <w:szCs w:val="20"/>
        </w:rPr>
        <w:t>What's Trending in Difference-in-Differences? A Synthesis of the Recent Econometrics Literature</w:t>
      </w:r>
      <w:r>
        <w:rPr>
          <w:sz w:val="20"/>
          <w:szCs w:val="20"/>
        </w:rPr>
        <w:t xml:space="preserve">, 235 </w:t>
      </w:r>
      <w:r>
        <w:rPr>
          <w:smallCaps/>
          <w:sz w:val="20"/>
          <w:szCs w:val="20"/>
        </w:rPr>
        <w:t>J. Econometrics</w:t>
      </w:r>
      <w:r>
        <w:rPr>
          <w:sz w:val="20"/>
          <w:szCs w:val="20"/>
        </w:rPr>
        <w:t xml:space="preserve"> 2218, 2219–20 (2023).</w:t>
      </w:r>
    </w:p>
  </w:footnote>
  <w:footnote w:id="118">
    <w:p w14:paraId="3AFF5D0E" w14:textId="003C84C6" w:rsidR="00D76C6E" w:rsidRDefault="00D76C6E" w:rsidP="00D76C6E">
      <w:pPr>
        <w:ind w:firstLine="360"/>
      </w:pPr>
      <w:r>
        <w:rPr>
          <w:rStyle w:val="FootnoteReference"/>
          <w:rFonts w:eastAsiaTheme="majorEastAsia"/>
        </w:rPr>
        <w:footnoteRef/>
      </w:r>
      <w:r>
        <w:rPr>
          <w:sz w:val="20"/>
          <w:szCs w:val="20"/>
        </w:rPr>
        <w:t>A small number of decisions made by appointees of earlier presidents—Carter, Ford, and Nixon—were eliminated from the main analysis due to their small numbers.</w:t>
      </w:r>
    </w:p>
  </w:footnote>
  <w:footnote w:id="119">
    <w:p w14:paraId="10517C17" w14:textId="77777777" w:rsidR="00D76C6E" w:rsidRDefault="00D76C6E" w:rsidP="00D76C6E">
      <w:pPr>
        <w:ind w:firstLine="360"/>
      </w:pPr>
      <w:r>
        <w:rPr>
          <w:rStyle w:val="FootnoteReference"/>
          <w:rFonts w:eastAsiaTheme="majorEastAsia"/>
        </w:rPr>
        <w:footnoteRef/>
      </w:r>
      <w:r>
        <w:rPr>
          <w:sz w:val="20"/>
          <w:szCs w:val="20"/>
        </w:rPr>
        <w:t>Detained cases differ from non-detained cases in representation rates, docket pressure, case composition, and the identity of the IJ corps assigned to detained dockets.</w:t>
      </w:r>
    </w:p>
  </w:footnote>
  <w:footnote w:id="120">
    <w:p w14:paraId="211242D8" w14:textId="59A81850" w:rsidR="00D76C6E" w:rsidRDefault="00D76C6E" w:rsidP="00D76C6E">
      <w:pPr>
        <w:ind w:firstLine="360"/>
      </w:pPr>
      <w:r>
        <w:rPr>
          <w:rStyle w:val="FootnoteReference"/>
          <w:rFonts w:eastAsiaTheme="majorEastAsia"/>
        </w:rPr>
        <w:footnoteRef/>
      </w:r>
      <w:r>
        <w:rPr>
          <w:sz w:val="20"/>
          <w:szCs w:val="20"/>
        </w:rPr>
        <w:t>Restricting the sample to defensive asylum cases reduces heterogeneity in the underlying legal standard, since all cases in this subsample involve the same relief standard and general procedural posture.</w:t>
      </w:r>
    </w:p>
  </w:footnote>
  <w:footnote w:id="121">
    <w:p w14:paraId="549B0CB1" w14:textId="77777777" w:rsidR="00D76C6E" w:rsidRDefault="00D76C6E" w:rsidP="00D76C6E">
      <w:pPr>
        <w:ind w:firstLine="360"/>
      </w:pPr>
      <w:r>
        <w:rPr>
          <w:rStyle w:val="FootnoteReference"/>
          <w:rFonts w:eastAsiaTheme="majorEastAsia"/>
        </w:rPr>
        <w:footnoteRef/>
      </w:r>
      <w:r>
        <w:rPr>
          <w:sz w:val="20"/>
          <w:szCs w:val="20"/>
        </w:rPr>
        <w:t xml:space="preserve">The linear probability model (LPM) with fixed effects is the preferred baseline specification because marginal effects are directly interpretable and because the model accommodates high-dimensional fixed effects without incidental-parameters problems. </w:t>
      </w:r>
      <w:r>
        <w:rPr>
          <w:i/>
          <w:iCs/>
          <w:sz w:val="20"/>
          <w:szCs w:val="20"/>
        </w:rPr>
        <w:t xml:space="preserve">See </w:t>
      </w:r>
      <w:r>
        <w:rPr>
          <w:sz w:val="20"/>
          <w:szCs w:val="20"/>
        </w:rPr>
        <w:t xml:space="preserve">Abadie et al., </w:t>
      </w:r>
      <w:r>
        <w:rPr>
          <w:i/>
          <w:iCs/>
          <w:sz w:val="20"/>
          <w:szCs w:val="20"/>
        </w:rPr>
        <w:t xml:space="preserve">supra </w:t>
      </w:r>
      <w:r w:rsidRPr="000F5C01">
        <w:rPr>
          <w:sz w:val="20"/>
          <w:szCs w:val="20"/>
        </w:rPr>
        <w:t>note 135.</w:t>
      </w:r>
      <w:r>
        <w:rPr>
          <w:sz w:val="20"/>
          <w:szCs w:val="20"/>
        </w:rPr>
        <w:t xml:space="preserve"> Logit with average marginal effects is presented as a robustness check.</w:t>
      </w:r>
    </w:p>
  </w:footnote>
  <w:footnote w:id="122">
    <w:p w14:paraId="5B42D34B" w14:textId="77777777" w:rsidR="00D76C6E" w:rsidRDefault="00D76C6E" w:rsidP="00D76C6E">
      <w:pPr>
        <w:ind w:firstLine="360"/>
      </w:pPr>
      <w:r>
        <w:rPr>
          <w:rStyle w:val="FootnoteReference"/>
          <w:rFonts w:eastAsiaTheme="majorEastAsia"/>
        </w:rPr>
        <w:footnoteRef/>
      </w:r>
      <w:r>
        <w:rPr>
          <w:sz w:val="20"/>
          <w:szCs w:val="20"/>
        </w:rPr>
        <w:t xml:space="preserve">Two-way clustered standard errors (at the judge and </w:t>
      </w:r>
      <w:proofErr w:type="spellStart"/>
      <w:r>
        <w:rPr>
          <w:sz w:val="20"/>
          <w:szCs w:val="20"/>
        </w:rPr>
        <w:t>court×month</w:t>
      </w:r>
      <w:proofErr w:type="spellEnd"/>
      <w:r>
        <w:rPr>
          <w:sz w:val="20"/>
          <w:szCs w:val="20"/>
        </w:rPr>
        <w:t xml:space="preserve"> levels) were computed alongside the baseline judge-clustered specification. Results were qualitatively similar across clustering approaches.</w:t>
      </w:r>
    </w:p>
  </w:footnote>
  <w:footnote w:id="123">
    <w:p w14:paraId="7226592E" w14:textId="77777777" w:rsidR="00D76C6E" w:rsidRDefault="00D76C6E" w:rsidP="00D76C6E">
      <w:pPr>
        <w:ind w:firstLine="360"/>
      </w:pPr>
      <w:r>
        <w:rPr>
          <w:rStyle w:val="FootnoteReference"/>
          <w:rFonts w:eastAsiaTheme="majorEastAsia"/>
        </w:rPr>
        <w:footnoteRef/>
      </w:r>
      <w:r>
        <w:rPr>
          <w:i/>
          <w:iCs/>
          <w:sz w:val="20"/>
          <w:szCs w:val="20"/>
        </w:rPr>
        <w:t>See supra</w:t>
      </w:r>
      <w:r>
        <w:rPr>
          <w:sz w:val="20"/>
          <w:szCs w:val="20"/>
        </w:rPr>
        <w:t xml:space="preserve"> notes 1–2 (establishing the statutory framework and administrative authority governing immigration </w:t>
      </w:r>
      <w:proofErr w:type="gramStart"/>
      <w:r>
        <w:rPr>
          <w:sz w:val="20"/>
          <w:szCs w:val="20"/>
        </w:rPr>
        <w:t>adjudication, and</w:t>
      </w:r>
      <w:proofErr w:type="gramEnd"/>
      <w:r>
        <w:rPr>
          <w:sz w:val="20"/>
          <w:szCs w:val="20"/>
        </w:rPr>
        <w:t xml:space="preserve"> reiterating that immigration judges must exercise independent judgment on the record).</w:t>
      </w:r>
    </w:p>
  </w:footnote>
  <w:footnote w:id="124">
    <w:p w14:paraId="4438345E" w14:textId="77777777" w:rsidR="00D76C6E" w:rsidRDefault="00D76C6E" w:rsidP="00D76C6E">
      <w:pPr>
        <w:ind w:firstLine="360"/>
      </w:pPr>
      <w:r>
        <w:rPr>
          <w:rStyle w:val="FootnoteReference"/>
          <w:rFonts w:eastAsiaTheme="majorEastAsia"/>
        </w:rPr>
        <w:footnoteRef/>
      </w:r>
      <w:r>
        <w:rPr>
          <w:i/>
          <w:iCs/>
          <w:sz w:val="20"/>
          <w:szCs w:val="20"/>
        </w:rPr>
        <w:t>See supra</w:t>
      </w:r>
      <w:r>
        <w:rPr>
          <w:sz w:val="20"/>
          <w:szCs w:val="20"/>
        </w:rPr>
        <w:t xml:space="preserve"> notes 6, 34 (documenting the across-judge disparities that constituted the original impetus for empirical reform discourse).</w:t>
      </w:r>
    </w:p>
  </w:footnote>
  <w:footnote w:id="125">
    <w:p w14:paraId="3B3DE153" w14:textId="77777777" w:rsidR="00D76C6E" w:rsidRDefault="00D76C6E" w:rsidP="00D76C6E">
      <w:pPr>
        <w:ind w:firstLine="360"/>
      </w:pPr>
      <w:r>
        <w:rPr>
          <w:rStyle w:val="FootnoteReference"/>
          <w:rFonts w:eastAsiaTheme="majorEastAsia"/>
        </w:rPr>
        <w:footnoteRef/>
      </w:r>
      <w:r>
        <w:rPr>
          <w:i/>
          <w:iCs/>
          <w:sz w:val="20"/>
          <w:szCs w:val="20"/>
        </w:rPr>
        <w:t>See supra</w:t>
      </w:r>
      <w:r>
        <w:rPr>
          <w:sz w:val="20"/>
          <w:szCs w:val="20"/>
        </w:rPr>
        <w:t xml:space="preserve"> notes 24, 66; </w:t>
      </w:r>
      <w:r>
        <w:rPr>
          <w:i/>
          <w:iCs/>
          <w:sz w:val="20"/>
          <w:szCs w:val="20"/>
        </w:rPr>
        <w:t xml:space="preserve">see also </w:t>
      </w:r>
      <w:r>
        <w:rPr>
          <w:sz w:val="20"/>
          <w:szCs w:val="20"/>
        </w:rPr>
        <w:t xml:space="preserve">Stephen H. Legomsky, </w:t>
      </w:r>
      <w:r>
        <w:rPr>
          <w:i/>
          <w:iCs/>
          <w:sz w:val="20"/>
          <w:szCs w:val="20"/>
        </w:rPr>
        <w:t>Deportation and the War on Independence</w:t>
      </w:r>
      <w:r>
        <w:rPr>
          <w:sz w:val="20"/>
          <w:szCs w:val="20"/>
        </w:rPr>
        <w:t xml:space="preserve">, 91 </w:t>
      </w:r>
      <w:r>
        <w:rPr>
          <w:smallCaps/>
          <w:sz w:val="20"/>
          <w:szCs w:val="20"/>
        </w:rPr>
        <w:t>Cornell L. Rev.</w:t>
      </w:r>
      <w:r>
        <w:rPr>
          <w:sz w:val="20"/>
          <w:szCs w:val="20"/>
        </w:rPr>
        <w:t xml:space="preserve"> 369, 372–76 (2006); Stephen H. Legomsky, </w:t>
      </w:r>
      <w:r>
        <w:rPr>
          <w:i/>
          <w:iCs/>
          <w:sz w:val="20"/>
          <w:szCs w:val="20"/>
        </w:rPr>
        <w:t>Restructuring Immigration Adjudication</w:t>
      </w:r>
      <w:r>
        <w:rPr>
          <w:sz w:val="20"/>
          <w:szCs w:val="20"/>
        </w:rPr>
        <w:t xml:space="preserve">, 59 </w:t>
      </w:r>
      <w:r>
        <w:rPr>
          <w:smallCaps/>
          <w:sz w:val="20"/>
          <w:szCs w:val="20"/>
        </w:rPr>
        <w:t>Duke L.J.</w:t>
      </w:r>
      <w:r>
        <w:rPr>
          <w:sz w:val="20"/>
          <w:szCs w:val="20"/>
        </w:rPr>
        <w:t xml:space="preserve"> 1635, 1672–81 (2010).</w:t>
      </w:r>
    </w:p>
  </w:footnote>
  <w:footnote w:id="126">
    <w:p w14:paraId="4FFA0B90" w14:textId="77777777" w:rsidR="00D76C6E" w:rsidRDefault="00D76C6E" w:rsidP="00D76C6E">
      <w:pPr>
        <w:ind w:firstLine="360"/>
      </w:pPr>
      <w:r>
        <w:rPr>
          <w:rStyle w:val="FootnoteReference"/>
          <w:rFonts w:eastAsiaTheme="majorEastAsia"/>
        </w:rPr>
        <w:footnoteRef/>
      </w:r>
      <w:r>
        <w:rPr>
          <w:i/>
          <w:iCs/>
          <w:sz w:val="20"/>
          <w:szCs w:val="20"/>
        </w:rPr>
        <w:t>See supra</w:t>
      </w:r>
      <w:r>
        <w:rPr>
          <w:sz w:val="20"/>
          <w:szCs w:val="20"/>
        </w:rPr>
        <w:t xml:space="preserve"> note 24; Rachel E. Barkow, </w:t>
      </w:r>
      <w:r>
        <w:rPr>
          <w:i/>
          <w:iCs/>
          <w:sz w:val="20"/>
          <w:szCs w:val="20"/>
        </w:rPr>
        <w:t>Insulating Agencies: Avoiding Capture Through Institutional Design</w:t>
      </w:r>
      <w:r>
        <w:rPr>
          <w:sz w:val="20"/>
          <w:szCs w:val="20"/>
        </w:rPr>
        <w:t xml:space="preserve">, 89 </w:t>
      </w:r>
      <w:r>
        <w:rPr>
          <w:smallCaps/>
          <w:sz w:val="20"/>
          <w:szCs w:val="20"/>
        </w:rPr>
        <w:t>Tex. L. Rev.</w:t>
      </w:r>
      <w:r>
        <w:rPr>
          <w:sz w:val="20"/>
          <w:szCs w:val="20"/>
        </w:rPr>
        <w:t xml:space="preserve"> 15, 18–22 (2010).</w:t>
      </w:r>
    </w:p>
  </w:footnote>
  <w:footnote w:id="127">
    <w:p w14:paraId="469A680E" w14:textId="77777777" w:rsidR="00D76C6E" w:rsidRDefault="00D76C6E" w:rsidP="00D76C6E">
      <w:pPr>
        <w:ind w:firstLine="360"/>
      </w:pPr>
      <w:r>
        <w:rPr>
          <w:rStyle w:val="FootnoteReference"/>
          <w:rFonts w:eastAsiaTheme="majorEastAsia"/>
        </w:rPr>
        <w:footnoteRef/>
      </w:r>
      <w:r>
        <w:rPr>
          <w:i/>
          <w:iCs/>
          <w:sz w:val="20"/>
          <w:szCs w:val="20"/>
        </w:rPr>
        <w:t>See supra</w:t>
      </w:r>
      <w:r>
        <w:rPr>
          <w:sz w:val="20"/>
          <w:szCs w:val="20"/>
        </w:rPr>
        <w:t xml:space="preserve"> notes 28–29; Andrew B. Eisenberg &amp; Gillian E. Metzger, </w:t>
      </w:r>
      <w:r>
        <w:rPr>
          <w:i/>
          <w:iCs/>
          <w:sz w:val="20"/>
          <w:szCs w:val="20"/>
        </w:rPr>
        <w:t>Agency Head Review and Constitutional Structure</w:t>
      </w:r>
      <w:r>
        <w:rPr>
          <w:sz w:val="20"/>
          <w:szCs w:val="20"/>
        </w:rPr>
        <w:t xml:space="preserve">, 75 </w:t>
      </w:r>
      <w:r>
        <w:rPr>
          <w:smallCaps/>
          <w:sz w:val="20"/>
          <w:szCs w:val="20"/>
        </w:rPr>
        <w:t>Admin. L. Rev.</w:t>
      </w:r>
      <w:r>
        <w:rPr>
          <w:sz w:val="20"/>
          <w:szCs w:val="20"/>
        </w:rPr>
        <w:t xml:space="preserve"> 1, 14–22 (2023); Jennifer Nou, </w:t>
      </w:r>
      <w:r>
        <w:rPr>
          <w:i/>
          <w:iCs/>
          <w:sz w:val="20"/>
          <w:szCs w:val="20"/>
        </w:rPr>
        <w:t>Dismissing Decisional Independence</w:t>
      </w:r>
      <w:r>
        <w:rPr>
          <w:sz w:val="20"/>
          <w:szCs w:val="20"/>
        </w:rPr>
        <w:t xml:space="preserve">, 86 </w:t>
      </w:r>
      <w:r>
        <w:rPr>
          <w:smallCaps/>
          <w:sz w:val="20"/>
          <w:szCs w:val="20"/>
        </w:rPr>
        <w:t>U. Chi. L. Rev.</w:t>
      </w:r>
      <w:r>
        <w:rPr>
          <w:sz w:val="20"/>
          <w:szCs w:val="20"/>
        </w:rPr>
        <w:t xml:space="preserve"> 1187, 1193–98 (2019).</w:t>
      </w:r>
    </w:p>
  </w:footnote>
  <w:footnote w:id="128">
    <w:p w14:paraId="2C96CBA3" w14:textId="77777777" w:rsidR="00D76C6E" w:rsidRDefault="00D76C6E" w:rsidP="00D76C6E">
      <w:pPr>
        <w:ind w:firstLine="360"/>
      </w:pPr>
      <w:r>
        <w:rPr>
          <w:rStyle w:val="FootnoteReference"/>
          <w:rFonts w:eastAsiaTheme="majorEastAsia"/>
        </w:rPr>
        <w:footnoteRef/>
      </w:r>
      <w:r>
        <w:rPr>
          <w:i/>
          <w:iCs/>
          <w:sz w:val="20"/>
          <w:szCs w:val="20"/>
        </w:rPr>
        <w:t>See supra</w:t>
      </w:r>
      <w:r>
        <w:rPr>
          <w:sz w:val="20"/>
          <w:szCs w:val="20"/>
        </w:rPr>
        <w:t xml:space="preserve"> note 56; Catherine Y. Kim &amp; Amy E. Semet, </w:t>
      </w:r>
      <w:r>
        <w:rPr>
          <w:i/>
          <w:iCs/>
          <w:sz w:val="20"/>
          <w:szCs w:val="20"/>
        </w:rPr>
        <w:t>An Empirical Study of Political Control over Immigration Adjudication</w:t>
      </w:r>
      <w:r>
        <w:rPr>
          <w:sz w:val="20"/>
          <w:szCs w:val="20"/>
        </w:rPr>
        <w:t xml:space="preserve">, 108 </w:t>
      </w:r>
      <w:r>
        <w:rPr>
          <w:smallCaps/>
          <w:sz w:val="20"/>
          <w:szCs w:val="20"/>
        </w:rPr>
        <w:t>Geo. L.J.</w:t>
      </w:r>
      <w:r>
        <w:rPr>
          <w:sz w:val="20"/>
          <w:szCs w:val="20"/>
        </w:rPr>
        <w:t xml:space="preserve"> 579, 611–15 (2020).</w:t>
      </w:r>
    </w:p>
  </w:footnote>
  <w:footnote w:id="129">
    <w:p w14:paraId="300EEAEE" w14:textId="77777777" w:rsidR="00D76C6E" w:rsidRDefault="00D76C6E" w:rsidP="00D76C6E">
      <w:pPr>
        <w:ind w:firstLine="360"/>
      </w:pPr>
      <w:r>
        <w:rPr>
          <w:rStyle w:val="FootnoteReference"/>
          <w:rFonts w:eastAsiaTheme="majorEastAsia"/>
        </w:rPr>
        <w:footnoteRef/>
      </w:r>
      <w:r>
        <w:rPr>
          <w:i/>
          <w:iCs/>
          <w:sz w:val="20"/>
          <w:szCs w:val="20"/>
        </w:rPr>
        <w:t>See supra</w:t>
      </w:r>
      <w:r>
        <w:rPr>
          <w:sz w:val="20"/>
          <w:szCs w:val="20"/>
        </w:rPr>
        <w:t xml:space="preserve"> note 27; David K. Hausman, Daniel E. Ho, Mark S. Krass &amp; Anne M. McDonough, </w:t>
      </w:r>
      <w:r>
        <w:rPr>
          <w:i/>
          <w:iCs/>
          <w:sz w:val="20"/>
          <w:szCs w:val="20"/>
        </w:rPr>
        <w:t>Executive Control of Agency Adjudication: Capacity, Selection, and Precedential Rulemaking</w:t>
      </w:r>
      <w:r>
        <w:rPr>
          <w:sz w:val="20"/>
          <w:szCs w:val="20"/>
        </w:rPr>
        <w:t xml:space="preserve">, 39 </w:t>
      </w:r>
      <w:r>
        <w:rPr>
          <w:smallCaps/>
          <w:sz w:val="20"/>
          <w:szCs w:val="20"/>
        </w:rPr>
        <w:t>J.L. Econ. &amp; Org.</w:t>
      </w:r>
      <w:r>
        <w:rPr>
          <w:sz w:val="20"/>
          <w:szCs w:val="20"/>
        </w:rPr>
        <w:t xml:space="preserve"> 682, 683–87, 700–09 (2023).</w:t>
      </w:r>
    </w:p>
  </w:footnote>
  <w:footnote w:id="130">
    <w:p w14:paraId="47578793" w14:textId="77777777" w:rsidR="00D76C6E" w:rsidRDefault="00D76C6E" w:rsidP="00D76C6E">
      <w:pPr>
        <w:ind w:firstLine="360"/>
      </w:pPr>
      <w:r>
        <w:rPr>
          <w:rStyle w:val="FootnoteReference"/>
          <w:rFonts w:eastAsiaTheme="majorEastAsia"/>
        </w:rPr>
        <w:footnoteRef/>
      </w:r>
      <w:r>
        <w:rPr>
          <w:i/>
          <w:iCs/>
          <w:sz w:val="20"/>
          <w:szCs w:val="20"/>
        </w:rPr>
        <w:t>See supra</w:t>
      </w:r>
      <w:r>
        <w:rPr>
          <w:sz w:val="20"/>
          <w:szCs w:val="20"/>
        </w:rPr>
        <w:t xml:space="preserve"> notes 27, 31; Mariano-Florentino Cuéllar, </w:t>
      </w:r>
      <w:r>
        <w:rPr>
          <w:i/>
          <w:iCs/>
          <w:sz w:val="20"/>
          <w:szCs w:val="20"/>
        </w:rPr>
        <w:t>The New Presidential Adjudication</w:t>
      </w:r>
      <w:r>
        <w:rPr>
          <w:sz w:val="20"/>
          <w:szCs w:val="20"/>
        </w:rPr>
        <w:t xml:space="preserve">, </w:t>
      </w:r>
      <w:r>
        <w:rPr>
          <w:smallCaps/>
          <w:sz w:val="20"/>
          <w:szCs w:val="20"/>
        </w:rPr>
        <w:t>Yale L.J. Forum</w:t>
      </w:r>
      <w:r>
        <w:rPr>
          <w:sz w:val="20"/>
          <w:szCs w:val="20"/>
        </w:rPr>
        <w:t xml:space="preserve"> (2026).</w:t>
      </w:r>
    </w:p>
  </w:footnote>
  <w:footnote w:id="131">
    <w:p w14:paraId="03F8E773" w14:textId="77777777" w:rsidR="00D76C6E" w:rsidRDefault="00D76C6E" w:rsidP="00D76C6E">
      <w:pPr>
        <w:ind w:firstLine="360"/>
      </w:pPr>
      <w:r>
        <w:rPr>
          <w:rStyle w:val="FootnoteReference"/>
          <w:rFonts w:eastAsiaTheme="majorEastAsia"/>
        </w:rPr>
        <w:footnoteRef/>
      </w:r>
      <w:r>
        <w:rPr>
          <w:i/>
          <w:iCs/>
          <w:sz w:val="20"/>
          <w:szCs w:val="20"/>
        </w:rPr>
        <w:t>See supra</w:t>
      </w:r>
      <w:r>
        <w:rPr>
          <w:sz w:val="20"/>
          <w:szCs w:val="20"/>
        </w:rPr>
        <w:t xml:space="preserve"> notes 4, 39; Ingrid V. Eagly &amp; Steven Shafer, </w:t>
      </w:r>
      <w:r>
        <w:rPr>
          <w:i/>
          <w:iCs/>
          <w:sz w:val="20"/>
          <w:szCs w:val="20"/>
        </w:rPr>
        <w:t>A National Study of Access to Counsel in Immigration Court</w:t>
      </w:r>
      <w:r>
        <w:rPr>
          <w:sz w:val="20"/>
          <w:szCs w:val="20"/>
        </w:rPr>
        <w:t xml:space="preserve">, 164 </w:t>
      </w:r>
      <w:r>
        <w:rPr>
          <w:smallCaps/>
          <w:sz w:val="20"/>
          <w:szCs w:val="20"/>
        </w:rPr>
        <w:t>U. Pa. L. Rev.</w:t>
      </w:r>
      <w:r>
        <w:rPr>
          <w:sz w:val="20"/>
          <w:szCs w:val="20"/>
        </w:rPr>
        <w:t xml:space="preserve"> 1 (2015); Ingrid V. Eagly &amp; Steven Shafer, </w:t>
      </w:r>
      <w:r>
        <w:rPr>
          <w:i/>
          <w:iCs/>
          <w:sz w:val="20"/>
          <w:szCs w:val="20"/>
        </w:rPr>
        <w:t>Detained Immigration Courts</w:t>
      </w:r>
      <w:r>
        <w:rPr>
          <w:sz w:val="20"/>
          <w:szCs w:val="20"/>
        </w:rPr>
        <w:t xml:space="preserve">, 110 </w:t>
      </w:r>
      <w:r>
        <w:rPr>
          <w:smallCaps/>
          <w:sz w:val="20"/>
          <w:szCs w:val="20"/>
        </w:rPr>
        <w:t>Va. L. Rev.</w:t>
      </w:r>
      <w:r>
        <w:rPr>
          <w:sz w:val="20"/>
          <w:szCs w:val="20"/>
        </w:rPr>
        <w:t xml:space="preserve"> 691, 710–14 (2024).</w:t>
      </w:r>
    </w:p>
  </w:footnote>
  <w:footnote w:id="132">
    <w:p w14:paraId="7ED3E078" w14:textId="77777777" w:rsidR="00D76C6E" w:rsidRDefault="00D76C6E" w:rsidP="00D76C6E">
      <w:pPr>
        <w:ind w:firstLine="360"/>
      </w:pPr>
      <w:r>
        <w:rPr>
          <w:rStyle w:val="FootnoteReference"/>
          <w:rFonts w:eastAsiaTheme="majorEastAsia"/>
        </w:rPr>
        <w:footnoteRef/>
      </w:r>
      <w:r>
        <w:rPr>
          <w:i/>
          <w:iCs/>
          <w:sz w:val="20"/>
          <w:szCs w:val="20"/>
        </w:rPr>
        <w:t>See supra</w:t>
      </w:r>
      <w:r>
        <w:rPr>
          <w:sz w:val="20"/>
          <w:szCs w:val="20"/>
        </w:rPr>
        <w:t xml:space="preserve"> notes 5, 43; Emily Ryo, </w:t>
      </w:r>
      <w:r>
        <w:rPr>
          <w:i/>
          <w:iCs/>
          <w:sz w:val="20"/>
          <w:szCs w:val="20"/>
        </w:rPr>
        <w:t>Detained: A Study of Immigration Bond Hearings</w:t>
      </w:r>
      <w:r>
        <w:rPr>
          <w:sz w:val="20"/>
          <w:szCs w:val="20"/>
        </w:rPr>
        <w:t xml:space="preserve">, 50 </w:t>
      </w:r>
      <w:r>
        <w:rPr>
          <w:smallCaps/>
          <w:sz w:val="20"/>
          <w:szCs w:val="20"/>
        </w:rPr>
        <w:t>Law &amp; Soc’y Rev.</w:t>
      </w:r>
      <w:r>
        <w:rPr>
          <w:sz w:val="20"/>
          <w:szCs w:val="20"/>
        </w:rPr>
        <w:t xml:space="preserve"> 117 (2016); Emily Ryo &amp; Ian Peacock, </w:t>
      </w:r>
      <w:r>
        <w:rPr>
          <w:i/>
          <w:iCs/>
          <w:sz w:val="20"/>
          <w:szCs w:val="20"/>
        </w:rPr>
        <w:t>A National Study of Immigration Judges and Representation Effects in Removal Proceedings</w:t>
      </w:r>
      <w:r>
        <w:rPr>
          <w:sz w:val="20"/>
          <w:szCs w:val="20"/>
        </w:rPr>
        <w:t xml:space="preserve">, </w:t>
      </w:r>
      <w:r>
        <w:rPr>
          <w:smallCaps/>
          <w:sz w:val="20"/>
          <w:szCs w:val="20"/>
        </w:rPr>
        <w:t>J.L. Econ. &amp; Org.</w:t>
      </w:r>
      <w:r>
        <w:rPr>
          <w:sz w:val="20"/>
          <w:szCs w:val="20"/>
        </w:rPr>
        <w:t xml:space="preserve"> (advance publication 2025).</w:t>
      </w:r>
    </w:p>
  </w:footnote>
  <w:footnote w:id="133">
    <w:p w14:paraId="2157568E" w14:textId="77777777" w:rsidR="00D76C6E" w:rsidRDefault="00D76C6E" w:rsidP="00D76C6E">
      <w:pPr>
        <w:ind w:firstLine="360"/>
      </w:pPr>
      <w:r>
        <w:rPr>
          <w:rStyle w:val="FootnoteReference"/>
          <w:rFonts w:eastAsiaTheme="majorEastAsia"/>
        </w:rPr>
        <w:footnoteRef/>
      </w:r>
      <w:r>
        <w:rPr>
          <w:i/>
          <w:iCs/>
          <w:sz w:val="20"/>
          <w:szCs w:val="20"/>
        </w:rPr>
        <w:t>See supra</w:t>
      </w:r>
      <w:r>
        <w:rPr>
          <w:sz w:val="20"/>
          <w:szCs w:val="20"/>
        </w:rPr>
        <w:t xml:space="preserve"> notes 30, 39 (documenting that detention status and family detention settings generate substantial outcome disparities not reducible to case merits).</w:t>
      </w:r>
    </w:p>
  </w:footnote>
  <w:footnote w:id="134">
    <w:p w14:paraId="2EA03BE9" w14:textId="77777777" w:rsidR="00D76C6E" w:rsidRDefault="00D76C6E" w:rsidP="00D76C6E">
      <w:pPr>
        <w:ind w:firstLine="360"/>
      </w:pPr>
      <w:r>
        <w:rPr>
          <w:rStyle w:val="FootnoteReference"/>
          <w:rFonts w:eastAsiaTheme="majorEastAsia"/>
        </w:rPr>
        <w:footnoteRef/>
      </w:r>
      <w:r>
        <w:rPr>
          <w:i/>
          <w:iCs/>
          <w:sz w:val="20"/>
          <w:szCs w:val="20"/>
        </w:rPr>
        <w:t>See supra</w:t>
      </w:r>
      <w:r>
        <w:rPr>
          <w:sz w:val="20"/>
          <w:szCs w:val="20"/>
        </w:rPr>
        <w:t xml:space="preserve"> note 5; Emily Ryo, </w:t>
      </w:r>
      <w:r>
        <w:rPr>
          <w:i/>
          <w:iCs/>
          <w:sz w:val="20"/>
          <w:szCs w:val="20"/>
        </w:rPr>
        <w:t>Procedural Legitimacy and the Design of Removal Proceedings</w:t>
      </w:r>
      <w:r>
        <w:rPr>
          <w:sz w:val="20"/>
          <w:szCs w:val="20"/>
        </w:rPr>
        <w:t xml:space="preserve">, </w:t>
      </w:r>
      <w:r>
        <w:rPr>
          <w:smallCaps/>
          <w:sz w:val="20"/>
          <w:szCs w:val="20"/>
        </w:rPr>
        <w:t>Law &amp; Soc. Inquiry</w:t>
      </w:r>
      <w:r>
        <w:rPr>
          <w:sz w:val="20"/>
          <w:szCs w:val="20"/>
        </w:rPr>
        <w:t xml:space="preserve"> (forthcoming).</w:t>
      </w:r>
    </w:p>
  </w:footnote>
  <w:footnote w:id="135">
    <w:p w14:paraId="54272792" w14:textId="77777777" w:rsidR="00C450DA" w:rsidRDefault="00C450DA"/>
    <w:p w14:paraId="7D25E247" w14:textId="77777777" w:rsidR="00F76601" w:rsidRDefault="00F76601"/>
  </w:footnote>
  <w:footnote w:id="136">
    <w:p w14:paraId="3166C09E" w14:textId="77777777" w:rsidR="00D76C6E" w:rsidRDefault="00D76C6E" w:rsidP="00D76C6E">
      <w:pPr>
        <w:ind w:firstLine="360"/>
      </w:pPr>
      <w:r>
        <w:rPr>
          <w:rStyle w:val="FootnoteReference"/>
          <w:rFonts w:eastAsiaTheme="majorEastAsia"/>
        </w:rPr>
        <w:footnoteRef/>
      </w:r>
      <w:r>
        <w:rPr>
          <w:i/>
          <w:iCs/>
          <w:sz w:val="20"/>
          <w:szCs w:val="20"/>
        </w:rPr>
        <w:t>See supra</w:t>
      </w:r>
      <w:r>
        <w:rPr>
          <w:sz w:val="20"/>
          <w:szCs w:val="20"/>
        </w:rPr>
        <w:t xml:space="preserve"> note 30; Jillian Blake Family, </w:t>
      </w:r>
      <w:r>
        <w:rPr>
          <w:i/>
          <w:iCs/>
          <w:sz w:val="20"/>
          <w:szCs w:val="20"/>
        </w:rPr>
        <w:t>The Sky Is Falling: Immigration Court Independence and the Unitary Executive</w:t>
      </w:r>
      <w:r>
        <w:rPr>
          <w:sz w:val="20"/>
          <w:szCs w:val="20"/>
        </w:rPr>
        <w:t xml:space="preserve">, </w:t>
      </w:r>
      <w:r>
        <w:rPr>
          <w:smallCaps/>
          <w:sz w:val="20"/>
          <w:szCs w:val="20"/>
        </w:rPr>
        <w:t>Utah L. Rev.</w:t>
      </w:r>
      <w:r>
        <w:rPr>
          <w:sz w:val="20"/>
          <w:szCs w:val="20"/>
        </w:rPr>
        <w:t xml:space="preserve"> (forthcoming 2025) (manuscript at 3–16).</w:t>
      </w:r>
    </w:p>
  </w:footnote>
  <w:footnote w:id="137">
    <w:p w14:paraId="4DF84CC8" w14:textId="77777777" w:rsidR="00D76C6E" w:rsidRDefault="00D76C6E" w:rsidP="00D76C6E">
      <w:pPr>
        <w:ind w:firstLine="360"/>
      </w:pPr>
      <w:r>
        <w:rPr>
          <w:rStyle w:val="FootnoteReference"/>
          <w:rFonts w:eastAsiaTheme="majorEastAsia"/>
        </w:rPr>
        <w:footnoteRef/>
      </w:r>
      <w:r>
        <w:rPr>
          <w:i/>
          <w:iCs/>
          <w:sz w:val="20"/>
          <w:szCs w:val="20"/>
        </w:rPr>
        <w:t>See supra</w:t>
      </w:r>
      <w:r>
        <w:rPr>
          <w:sz w:val="20"/>
          <w:szCs w:val="20"/>
        </w:rPr>
        <w:t xml:space="preserve"> note 53; Elise N. Blasingame, Christina L. Boyd, Robert F. Carlos &amp; Joseph T. Ornstein, </w:t>
      </w:r>
      <w:r>
        <w:rPr>
          <w:i/>
          <w:iCs/>
          <w:sz w:val="20"/>
          <w:szCs w:val="20"/>
        </w:rPr>
        <w:t>How the Trump Administration’s Quota Policy Transformed Immigration Judging</w:t>
      </w:r>
      <w:r>
        <w:rPr>
          <w:sz w:val="20"/>
          <w:szCs w:val="20"/>
        </w:rPr>
        <w:t xml:space="preserve">, 118 </w:t>
      </w:r>
      <w:r>
        <w:rPr>
          <w:smallCaps/>
          <w:sz w:val="20"/>
          <w:szCs w:val="20"/>
        </w:rPr>
        <w:t>Am. Pol. Sci. Rev.</w:t>
      </w:r>
      <w:r>
        <w:rPr>
          <w:sz w:val="20"/>
          <w:szCs w:val="20"/>
        </w:rPr>
        <w:t xml:space="preserve"> 1688 (2024).</w:t>
      </w:r>
    </w:p>
  </w:footnote>
  <w:footnote w:id="138">
    <w:p w14:paraId="49A67743" w14:textId="77777777" w:rsidR="00D76C6E" w:rsidRDefault="00D76C6E" w:rsidP="00D76C6E">
      <w:pPr>
        <w:ind w:firstLine="360"/>
      </w:pPr>
      <w:r>
        <w:rPr>
          <w:rStyle w:val="FootnoteReference"/>
          <w:rFonts w:eastAsiaTheme="majorEastAsia"/>
        </w:rPr>
        <w:footnoteRef/>
      </w:r>
      <w:r>
        <w:rPr>
          <w:i/>
          <w:iCs/>
          <w:sz w:val="20"/>
          <w:szCs w:val="20"/>
        </w:rPr>
        <w:t>See supra</w:t>
      </w:r>
      <w:r>
        <w:rPr>
          <w:sz w:val="20"/>
          <w:szCs w:val="20"/>
        </w:rPr>
        <w:t xml:space="preserve"> note 36; Nicholas R. Bednar, </w:t>
      </w:r>
      <w:r>
        <w:rPr>
          <w:i/>
          <w:iCs/>
          <w:sz w:val="20"/>
          <w:szCs w:val="20"/>
        </w:rPr>
        <w:t>The Public Administration of Justice</w:t>
      </w:r>
      <w:r>
        <w:rPr>
          <w:sz w:val="20"/>
          <w:szCs w:val="20"/>
        </w:rPr>
        <w:t xml:space="preserve">, 44 </w:t>
      </w:r>
      <w:r>
        <w:rPr>
          <w:smallCaps/>
          <w:sz w:val="20"/>
          <w:szCs w:val="20"/>
        </w:rPr>
        <w:t>Cardozo L. Rev.</w:t>
      </w:r>
      <w:r>
        <w:rPr>
          <w:sz w:val="20"/>
          <w:szCs w:val="20"/>
        </w:rPr>
        <w:t xml:space="preserve"> 2139, 2145–47 (2023).</w:t>
      </w:r>
    </w:p>
  </w:footnote>
  <w:footnote w:id="139">
    <w:p w14:paraId="123A20AE" w14:textId="77777777" w:rsidR="00D76C6E" w:rsidRDefault="00D76C6E" w:rsidP="00D76C6E">
      <w:pPr>
        <w:ind w:firstLine="360"/>
      </w:pPr>
      <w:r>
        <w:rPr>
          <w:rStyle w:val="FootnoteReference"/>
          <w:rFonts w:eastAsiaTheme="majorEastAsia"/>
        </w:rPr>
        <w:footnoteRef/>
      </w:r>
      <w:r>
        <w:rPr>
          <w:i/>
          <w:iCs/>
          <w:sz w:val="20"/>
          <w:szCs w:val="20"/>
        </w:rPr>
        <w:t>See supra</w:t>
      </w:r>
      <w:r>
        <w:rPr>
          <w:sz w:val="20"/>
          <w:szCs w:val="20"/>
        </w:rPr>
        <w:t xml:space="preserve"> note 69; Aaron L. Nielson, Christopher J. Walker &amp; Zoe Wasserman, </w:t>
      </w:r>
      <w:r>
        <w:rPr>
          <w:i/>
          <w:iCs/>
          <w:sz w:val="20"/>
          <w:szCs w:val="20"/>
        </w:rPr>
        <w:t>Saving Agency Adjudication</w:t>
      </w:r>
      <w:r>
        <w:rPr>
          <w:sz w:val="20"/>
          <w:szCs w:val="20"/>
        </w:rPr>
        <w:t xml:space="preserve">, 103 </w:t>
      </w:r>
      <w:r>
        <w:rPr>
          <w:smallCaps/>
          <w:sz w:val="20"/>
          <w:szCs w:val="20"/>
        </w:rPr>
        <w:t>Tex. L. Rev.</w:t>
      </w:r>
      <w:r>
        <w:rPr>
          <w:sz w:val="20"/>
          <w:szCs w:val="20"/>
        </w:rPr>
        <w:t xml:space="preserve"> __ (2025) (manuscript at 4–9).</w:t>
      </w:r>
    </w:p>
  </w:footnote>
  <w:footnote w:id="140">
    <w:p w14:paraId="5B0476CC" w14:textId="77777777" w:rsidR="00D76C6E" w:rsidRDefault="00D76C6E" w:rsidP="00D76C6E">
      <w:pPr>
        <w:ind w:firstLine="360"/>
      </w:pPr>
      <w:r>
        <w:rPr>
          <w:rStyle w:val="FootnoteReference"/>
          <w:rFonts w:eastAsiaTheme="majorEastAsia"/>
        </w:rPr>
        <w:footnoteRef/>
      </w:r>
      <w:r>
        <w:rPr>
          <w:i/>
          <w:iCs/>
          <w:sz w:val="20"/>
          <w:szCs w:val="20"/>
        </w:rPr>
        <w:t>See supra</w:t>
      </w:r>
      <w:r>
        <w:rPr>
          <w:sz w:val="20"/>
          <w:szCs w:val="20"/>
        </w:rPr>
        <w:t xml:space="preserve"> notes 24, 66 (Legomsky’s proposals for structural reform of immigration adjudication); </w:t>
      </w:r>
      <w:r>
        <w:rPr>
          <w:i/>
          <w:iCs/>
          <w:sz w:val="20"/>
          <w:szCs w:val="20"/>
        </w:rPr>
        <w:t>see also supra</w:t>
      </w:r>
      <w:r>
        <w:rPr>
          <w:sz w:val="20"/>
          <w:szCs w:val="20"/>
        </w:rPr>
        <w:t xml:space="preserve"> note 69 (Nielson, Walker &amp; Wasserman’s analysis of adjudicatory capacity and institutional design).</w:t>
      </w:r>
    </w:p>
  </w:footnote>
  <w:footnote w:id="141">
    <w:p w14:paraId="554E43CE" w14:textId="77777777" w:rsidR="00D76C6E" w:rsidRDefault="00D76C6E" w:rsidP="00D76C6E">
      <w:pPr>
        <w:ind w:firstLine="360"/>
      </w:pPr>
      <w:r>
        <w:rPr>
          <w:rStyle w:val="FootnoteReference"/>
          <w:rFonts w:eastAsiaTheme="majorEastAsia"/>
        </w:rPr>
        <w:footnoteRef/>
      </w:r>
      <w:r>
        <w:rPr>
          <w:i/>
          <w:iCs/>
          <w:sz w:val="20"/>
          <w:szCs w:val="20"/>
        </w:rPr>
        <w:t>See supra</w:t>
      </w:r>
      <w:r>
        <w:rPr>
          <w:sz w:val="20"/>
          <w:szCs w:val="20"/>
        </w:rPr>
        <w:t xml:space="preserve"> note 65; David K. Hausman, </w:t>
      </w:r>
      <w:r>
        <w:rPr>
          <w:i/>
          <w:iCs/>
          <w:sz w:val="20"/>
          <w:szCs w:val="20"/>
        </w:rPr>
        <w:t>Risk Assessment as Policy in Immigration Detention Decisions</w:t>
      </w:r>
      <w:r>
        <w:rPr>
          <w:sz w:val="20"/>
          <w:szCs w:val="20"/>
        </w:rPr>
        <w:t xml:space="preserve">, 131 </w:t>
      </w:r>
      <w:r>
        <w:rPr>
          <w:smallCaps/>
          <w:sz w:val="20"/>
          <w:szCs w:val="20"/>
        </w:rPr>
        <w:t>Yale L.J.</w:t>
      </w:r>
      <w:r>
        <w:rPr>
          <w:sz w:val="20"/>
          <w:szCs w:val="20"/>
        </w:rPr>
        <w:t xml:space="preserve"> __ (2022).</w:t>
      </w:r>
    </w:p>
  </w:footnote>
  <w:footnote w:id="142">
    <w:p w14:paraId="368C0B8E" w14:textId="77777777" w:rsidR="00D76C6E" w:rsidRDefault="00D76C6E" w:rsidP="00D76C6E">
      <w:pPr>
        <w:ind w:firstLine="360"/>
      </w:pPr>
      <w:r>
        <w:rPr>
          <w:rStyle w:val="FootnoteReference"/>
          <w:rFonts w:eastAsiaTheme="majorEastAsia"/>
        </w:rPr>
        <w:footnoteRef/>
      </w:r>
      <w:r>
        <w:rPr>
          <w:i/>
          <w:iCs/>
          <w:sz w:val="20"/>
          <w:szCs w:val="20"/>
        </w:rPr>
        <w:t>See supra</w:t>
      </w:r>
      <w:r>
        <w:rPr>
          <w:sz w:val="20"/>
          <w:szCs w:val="20"/>
        </w:rPr>
        <w:t xml:space="preserve"> note 35; David Hausman, </w:t>
      </w:r>
      <w:r>
        <w:rPr>
          <w:i/>
          <w:iCs/>
          <w:sz w:val="20"/>
          <w:szCs w:val="20"/>
        </w:rPr>
        <w:t>The Failure of Immigration Appeals</w:t>
      </w:r>
      <w:r>
        <w:rPr>
          <w:sz w:val="20"/>
          <w:szCs w:val="20"/>
        </w:rPr>
        <w:t xml:space="preserve">, 164 </w:t>
      </w:r>
      <w:r>
        <w:rPr>
          <w:smallCaps/>
          <w:sz w:val="20"/>
          <w:szCs w:val="20"/>
        </w:rPr>
        <w:t>U. Pa. L. Rev.</w:t>
      </w:r>
      <w:r>
        <w:rPr>
          <w:sz w:val="20"/>
          <w:szCs w:val="20"/>
        </w:rPr>
        <w:t xml:space="preserve"> 1177, 1179–80 (2016).</w:t>
      </w:r>
    </w:p>
  </w:footnote>
  <w:footnote w:id="143">
    <w:p w14:paraId="35A418A2" w14:textId="39473693" w:rsidR="00D76C6E" w:rsidRDefault="00D76C6E" w:rsidP="00D76C6E">
      <w:pPr>
        <w:ind w:firstLine="360"/>
      </w:pPr>
      <w:r>
        <w:rPr>
          <w:rStyle w:val="FootnoteReference"/>
          <w:rFonts w:eastAsiaTheme="majorEastAsia"/>
        </w:rPr>
        <w:footnoteRef/>
      </w:r>
      <w:r>
        <w:rPr>
          <w:sz w:val="20"/>
          <w:szCs w:val="20"/>
        </w:rPr>
        <w:t xml:space="preserve">The data will be updated as decisions from the second Trump administration accumulate. As of this writing, the dataset extends through </w:t>
      </w:r>
      <w:r w:rsidR="000F5C01">
        <w:rPr>
          <w:sz w:val="20"/>
          <w:szCs w:val="20"/>
        </w:rPr>
        <w:t>February 2026</w:t>
      </w:r>
      <w:r>
        <w:rPr>
          <w:sz w:val="20"/>
          <w:szCs w:val="20"/>
        </w:rPr>
        <w:t xml:space="preserve">, providing approximately </w:t>
      </w:r>
      <w:r w:rsidR="000F5C01">
        <w:rPr>
          <w:sz w:val="20"/>
          <w:szCs w:val="20"/>
        </w:rPr>
        <w:t>one year</w:t>
      </w:r>
      <w:r>
        <w:rPr>
          <w:sz w:val="20"/>
          <w:szCs w:val="20"/>
        </w:rPr>
        <w:t xml:space="preserve"> of second-term data—sufficient for preliminary description but not yet sufficient for full event study analysis of the </w:t>
      </w:r>
      <w:r w:rsidR="000F5C01">
        <w:rPr>
          <w:sz w:val="20"/>
          <w:szCs w:val="20"/>
        </w:rPr>
        <w:t>second Trump administration</w:t>
      </w:r>
      <w:r>
        <w:rPr>
          <w:sz w:val="20"/>
          <w:szCs w:val="20"/>
        </w:rPr>
        <w:t>.</w:t>
      </w:r>
    </w:p>
  </w:footnote>
  <w:footnote w:id="144">
    <w:p w14:paraId="7351D4B7" w14:textId="77777777" w:rsidR="00D76C6E" w:rsidRDefault="00D76C6E" w:rsidP="00D76C6E">
      <w:pPr>
        <w:ind w:firstLine="360"/>
      </w:pPr>
      <w:r>
        <w:rPr>
          <w:rStyle w:val="FootnoteReference"/>
          <w:rFonts w:eastAsiaTheme="majorEastAsia"/>
        </w:rPr>
        <w:footnoteRef/>
      </w:r>
      <w:r>
        <w:rPr>
          <w:sz w:val="20"/>
          <w:szCs w:val="20"/>
        </w:rPr>
        <w:t>The findings also have implications for the broader empirical literature on judicial behavior. The evidence that immigration judges—who hold career civil service protections—respond to the political context of the current administration suggests that even structural insulation from direct political removal does not fully decouple adjudicators from the political environment in which they operate.</w:t>
      </w:r>
    </w:p>
  </w:footnote>
  <w:footnote w:id="145">
    <w:p w14:paraId="255A76D4" w14:textId="77777777" w:rsidR="00D76C6E" w:rsidRDefault="00D76C6E" w:rsidP="00D76C6E">
      <w:pPr>
        <w:ind w:firstLine="360"/>
      </w:pPr>
      <w:r>
        <w:rPr>
          <w:rStyle w:val="FootnoteReference"/>
          <w:rFonts w:eastAsiaTheme="majorEastAsia"/>
        </w:rPr>
        <w:footnoteRef/>
      </w:r>
      <w:r>
        <w:rPr>
          <w:sz w:val="20"/>
          <w:szCs w:val="20"/>
        </w:rPr>
        <w:t xml:space="preserve">Future analyses should examine BIA appeal rates and reversal rates as additional measures of leniency; in absentia removal rates as a structural outcome distinct from merits leniency; and the effect of changing prosecutorial discretion policies across administrations. </w:t>
      </w:r>
      <w:r>
        <w:rPr>
          <w:i/>
          <w:iCs/>
          <w:sz w:val="20"/>
          <w:szCs w:val="20"/>
        </w:rPr>
        <w:t xml:space="preserve">See </w:t>
      </w:r>
      <w:proofErr w:type="gramStart"/>
      <w:r>
        <w:rPr>
          <w:i/>
          <w:iCs/>
          <w:sz w:val="20"/>
          <w:szCs w:val="20"/>
        </w:rPr>
        <w:t>supra Part VI</w:t>
      </w:r>
      <w:proofErr w:type="gramEnd"/>
      <w:r>
        <w:rPr>
          <w:sz w:val="20"/>
          <w:szCs w:val="20"/>
        </w:rPr>
        <w:t>.G.</w:t>
      </w:r>
    </w:p>
  </w:footnote>
  <w:footnote w:id="146">
    <w:p w14:paraId="1A8D70B8" w14:textId="77777777" w:rsidR="00D76C6E" w:rsidRDefault="00D76C6E" w:rsidP="00D76C6E">
      <w:pPr>
        <w:ind w:firstLine="360"/>
      </w:pPr>
      <w:r>
        <w:rPr>
          <w:rStyle w:val="FootnoteReference"/>
          <w:rFonts w:eastAsiaTheme="majorEastAsia"/>
        </w:rPr>
        <w:footnoteRef/>
      </w:r>
      <w:r>
        <w:rPr>
          <w:i/>
          <w:iCs/>
          <w:sz w:val="20"/>
          <w:szCs w:val="20"/>
        </w:rPr>
        <w:t xml:space="preserve">See </w:t>
      </w:r>
      <w:proofErr w:type="spellStart"/>
      <w:r>
        <w:rPr>
          <w:sz w:val="20"/>
          <w:szCs w:val="20"/>
        </w:rPr>
        <w:t>Eagly</w:t>
      </w:r>
      <w:proofErr w:type="spellEnd"/>
      <w:r>
        <w:rPr>
          <w:sz w:val="20"/>
          <w:szCs w:val="20"/>
        </w:rPr>
        <w:t xml:space="preserve"> &amp; Shafer, </w:t>
      </w:r>
      <w:r>
        <w:rPr>
          <w:i/>
          <w:iCs/>
          <w:sz w:val="20"/>
          <w:szCs w:val="20"/>
        </w:rPr>
        <w:t xml:space="preserve">supra </w:t>
      </w:r>
      <w:r w:rsidRPr="000F5C01">
        <w:rPr>
          <w:sz w:val="20"/>
          <w:szCs w:val="20"/>
        </w:rPr>
        <w:t>note 4,</w:t>
      </w:r>
      <w:r>
        <w:rPr>
          <w:sz w:val="20"/>
          <w:szCs w:val="20"/>
        </w:rPr>
        <w:t xml:space="preserve"> at 4–6 (finding that represented respondents were approximately five times more likely to avoid removal than unrepresented respondents, and that representation rates varied dramatically by detention status and geography in ways unrelated to the merits of individual claims); Kim &amp; Semet, </w:t>
      </w:r>
      <w:r>
        <w:rPr>
          <w:i/>
          <w:iCs/>
          <w:sz w:val="20"/>
          <w:szCs w:val="20"/>
        </w:rPr>
        <w:t xml:space="preserve">supra </w:t>
      </w:r>
      <w:r w:rsidRPr="000F5C01">
        <w:rPr>
          <w:sz w:val="20"/>
          <w:szCs w:val="20"/>
        </w:rPr>
        <w:t>note 56,</w:t>
      </w:r>
      <w:r>
        <w:rPr>
          <w:sz w:val="20"/>
          <w:szCs w:val="20"/>
        </w:rPr>
        <w:t xml:space="preserve"> at 611–15 (finding that the presidential administration in power at the time of decision is as powerful a predictor of removal rates as most case-level characteristics); </w:t>
      </w:r>
      <w:proofErr w:type="spellStart"/>
      <w:r>
        <w:rPr>
          <w:sz w:val="20"/>
          <w:szCs w:val="20"/>
        </w:rPr>
        <w:t>Musalo</w:t>
      </w:r>
      <w:proofErr w:type="spellEnd"/>
      <w:r>
        <w:rPr>
          <w:sz w:val="20"/>
          <w:szCs w:val="20"/>
        </w:rPr>
        <w:t xml:space="preserve"> et al., </w:t>
      </w:r>
      <w:r>
        <w:rPr>
          <w:i/>
          <w:iCs/>
          <w:sz w:val="20"/>
          <w:szCs w:val="20"/>
        </w:rPr>
        <w:t xml:space="preserve">supra </w:t>
      </w:r>
      <w:r w:rsidRPr="000F5C01">
        <w:rPr>
          <w:sz w:val="20"/>
          <w:szCs w:val="20"/>
        </w:rPr>
        <w:t>note 62,</w:t>
      </w:r>
      <w:r>
        <w:rPr>
          <w:sz w:val="20"/>
          <w:szCs w:val="20"/>
        </w:rPr>
        <w:t xml:space="preserve"> at 2743–50 (documenting patterns consistent with systemic denial preferences in certain courts and periods).</w:t>
      </w:r>
    </w:p>
  </w:footnote>
  <w:footnote w:id="147">
    <w:p w14:paraId="3F2A042E" w14:textId="77777777" w:rsidR="00D76C6E" w:rsidRDefault="00D76C6E" w:rsidP="00D76C6E">
      <w:pPr>
        <w:ind w:firstLine="360"/>
      </w:pPr>
      <w:r>
        <w:rPr>
          <w:rStyle w:val="FootnoteReference"/>
          <w:rFonts w:eastAsiaTheme="majorEastAsia"/>
        </w:rPr>
        <w:footnoteRef/>
      </w:r>
      <w:r>
        <w:rPr>
          <w:sz w:val="20"/>
          <w:szCs w:val="20"/>
        </w:rPr>
        <w:t>Data and replication materials will be made available on the author's institutional webpage upon publication.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6E"/>
    <w:rsid w:val="00053AFE"/>
    <w:rsid w:val="000B5AAE"/>
    <w:rsid w:val="000D4F70"/>
    <w:rsid w:val="000E0F04"/>
    <w:rsid w:val="000F5C01"/>
    <w:rsid w:val="00136E01"/>
    <w:rsid w:val="001457FF"/>
    <w:rsid w:val="001F281F"/>
    <w:rsid w:val="001F2F5E"/>
    <w:rsid w:val="00261DF3"/>
    <w:rsid w:val="0029265E"/>
    <w:rsid w:val="002D4D59"/>
    <w:rsid w:val="002E2242"/>
    <w:rsid w:val="002F3924"/>
    <w:rsid w:val="002F735D"/>
    <w:rsid w:val="00305CD9"/>
    <w:rsid w:val="003325F3"/>
    <w:rsid w:val="003A574F"/>
    <w:rsid w:val="003C78F0"/>
    <w:rsid w:val="003E71BF"/>
    <w:rsid w:val="003E7852"/>
    <w:rsid w:val="004517AE"/>
    <w:rsid w:val="00453C27"/>
    <w:rsid w:val="00491F7A"/>
    <w:rsid w:val="004E5B6B"/>
    <w:rsid w:val="004F3826"/>
    <w:rsid w:val="004F6277"/>
    <w:rsid w:val="005132E6"/>
    <w:rsid w:val="005274D4"/>
    <w:rsid w:val="0052757B"/>
    <w:rsid w:val="0053745B"/>
    <w:rsid w:val="0056120D"/>
    <w:rsid w:val="005C17D3"/>
    <w:rsid w:val="005D409C"/>
    <w:rsid w:val="005D5CE4"/>
    <w:rsid w:val="005E372C"/>
    <w:rsid w:val="006145FD"/>
    <w:rsid w:val="0068436E"/>
    <w:rsid w:val="006B733F"/>
    <w:rsid w:val="0072337D"/>
    <w:rsid w:val="00743B5A"/>
    <w:rsid w:val="00751B7E"/>
    <w:rsid w:val="00780764"/>
    <w:rsid w:val="007F638E"/>
    <w:rsid w:val="0081754D"/>
    <w:rsid w:val="00842166"/>
    <w:rsid w:val="008479B7"/>
    <w:rsid w:val="00883EEA"/>
    <w:rsid w:val="008F5618"/>
    <w:rsid w:val="00903FA6"/>
    <w:rsid w:val="0094384C"/>
    <w:rsid w:val="0095083B"/>
    <w:rsid w:val="00964A54"/>
    <w:rsid w:val="0098727F"/>
    <w:rsid w:val="009C30EE"/>
    <w:rsid w:val="009C3DA7"/>
    <w:rsid w:val="00A450B2"/>
    <w:rsid w:val="00A512D4"/>
    <w:rsid w:val="00AD1CB7"/>
    <w:rsid w:val="00AE5FDC"/>
    <w:rsid w:val="00B175AC"/>
    <w:rsid w:val="00B50AEF"/>
    <w:rsid w:val="00B62D18"/>
    <w:rsid w:val="00BA4EEB"/>
    <w:rsid w:val="00BF090B"/>
    <w:rsid w:val="00BF44E8"/>
    <w:rsid w:val="00C2609A"/>
    <w:rsid w:val="00C450DA"/>
    <w:rsid w:val="00CA33D0"/>
    <w:rsid w:val="00D1166A"/>
    <w:rsid w:val="00D74FB9"/>
    <w:rsid w:val="00D76C6E"/>
    <w:rsid w:val="00DE143A"/>
    <w:rsid w:val="00E00FB0"/>
    <w:rsid w:val="00E050CB"/>
    <w:rsid w:val="00E10487"/>
    <w:rsid w:val="00E8612E"/>
    <w:rsid w:val="00EB12AF"/>
    <w:rsid w:val="00F17AAD"/>
    <w:rsid w:val="00F21A28"/>
    <w:rsid w:val="00F36E28"/>
    <w:rsid w:val="00F456C7"/>
    <w:rsid w:val="00F76601"/>
    <w:rsid w:val="00F83E0E"/>
    <w:rsid w:val="00F95C5A"/>
    <w:rsid w:val="00FD5395"/>
    <w:rsid w:val="00FF5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2B10B7"/>
  <w15:chartTrackingRefBased/>
  <w15:docId w15:val="{E4FE64CC-4859-6941-B98F-6A585BB6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C6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76C6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76C6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76C6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76C6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76C6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76C6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76C6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76C6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76C6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C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C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C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C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C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C6E"/>
    <w:rPr>
      <w:rFonts w:eastAsiaTheme="majorEastAsia" w:cstheme="majorBidi"/>
      <w:color w:val="272727" w:themeColor="text1" w:themeTint="D8"/>
    </w:rPr>
  </w:style>
  <w:style w:type="paragraph" w:styleId="Title">
    <w:name w:val="Title"/>
    <w:basedOn w:val="Normal"/>
    <w:next w:val="Normal"/>
    <w:link w:val="TitleChar"/>
    <w:uiPriority w:val="10"/>
    <w:qFormat/>
    <w:rsid w:val="00D76C6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76C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C6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76C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C6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76C6E"/>
    <w:rPr>
      <w:i/>
      <w:iCs/>
      <w:color w:val="404040" w:themeColor="text1" w:themeTint="BF"/>
    </w:rPr>
  </w:style>
  <w:style w:type="paragraph" w:styleId="ListParagraph">
    <w:name w:val="List Paragraph"/>
    <w:basedOn w:val="Normal"/>
    <w:uiPriority w:val="34"/>
    <w:qFormat/>
    <w:rsid w:val="00D76C6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76C6E"/>
    <w:rPr>
      <w:i/>
      <w:iCs/>
      <w:color w:val="0F4761" w:themeColor="accent1" w:themeShade="BF"/>
    </w:rPr>
  </w:style>
  <w:style w:type="paragraph" w:styleId="IntenseQuote">
    <w:name w:val="Intense Quote"/>
    <w:basedOn w:val="Normal"/>
    <w:next w:val="Normal"/>
    <w:link w:val="IntenseQuoteChar"/>
    <w:uiPriority w:val="30"/>
    <w:qFormat/>
    <w:rsid w:val="00D76C6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76C6E"/>
    <w:rPr>
      <w:i/>
      <w:iCs/>
      <w:color w:val="0F4761" w:themeColor="accent1" w:themeShade="BF"/>
    </w:rPr>
  </w:style>
  <w:style w:type="character" w:styleId="IntenseReference">
    <w:name w:val="Intense Reference"/>
    <w:basedOn w:val="DefaultParagraphFont"/>
    <w:uiPriority w:val="32"/>
    <w:qFormat/>
    <w:rsid w:val="00D76C6E"/>
    <w:rPr>
      <w:b/>
      <w:bCs/>
      <w:smallCaps/>
      <w:color w:val="0F4761" w:themeColor="accent1" w:themeShade="BF"/>
      <w:spacing w:val="5"/>
    </w:rPr>
  </w:style>
  <w:style w:type="character" w:styleId="FootnoteReference">
    <w:name w:val="footnote reference"/>
    <w:uiPriority w:val="99"/>
    <w:semiHidden/>
    <w:unhideWhenUsed/>
    <w:rsid w:val="00D76C6E"/>
    <w:rPr>
      <w:vertAlign w:val="superscript"/>
    </w:rPr>
  </w:style>
  <w:style w:type="paragraph" w:styleId="FootnoteText">
    <w:name w:val="footnote text"/>
    <w:basedOn w:val="Normal"/>
    <w:link w:val="FootnoteTextChar"/>
    <w:uiPriority w:val="99"/>
    <w:semiHidden/>
    <w:unhideWhenUsed/>
    <w:rsid w:val="00F456C7"/>
    <w:rPr>
      <w:sz w:val="20"/>
      <w:szCs w:val="20"/>
    </w:rPr>
  </w:style>
  <w:style w:type="character" w:customStyle="1" w:styleId="FootnoteTextChar">
    <w:name w:val="Footnote Text Char"/>
    <w:basedOn w:val="DefaultParagraphFont"/>
    <w:link w:val="FootnoteText"/>
    <w:uiPriority w:val="99"/>
    <w:semiHidden/>
    <w:rsid w:val="00F456C7"/>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9C30EE"/>
    <w:pPr>
      <w:spacing w:before="100" w:beforeAutospacing="1" w:after="100" w:afterAutospacing="1"/>
    </w:pPr>
  </w:style>
  <w:style w:type="character" w:customStyle="1" w:styleId="apple-converted-space">
    <w:name w:val="apple-converted-space"/>
    <w:basedOn w:val="DefaultParagraphFont"/>
    <w:rsid w:val="009C30EE"/>
  </w:style>
  <w:style w:type="character" w:styleId="Hyperlink">
    <w:name w:val="Hyperlink"/>
    <w:basedOn w:val="DefaultParagraphFont"/>
    <w:uiPriority w:val="99"/>
    <w:semiHidden/>
    <w:unhideWhenUsed/>
    <w:rsid w:val="00305C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16950</Words>
  <Characters>96615</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Semet</dc:creator>
  <cp:keywords/>
  <dc:description/>
  <cp:lastModifiedBy>Amy Semet</cp:lastModifiedBy>
  <cp:revision>2</cp:revision>
  <dcterms:created xsi:type="dcterms:W3CDTF">2026-05-15T12:51:00Z</dcterms:created>
  <dcterms:modified xsi:type="dcterms:W3CDTF">2026-05-15T12:51:00Z</dcterms:modified>
</cp:coreProperties>
</file>