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92D7061" w14:textId="77777777" w:rsidR="00B725F0" w:rsidRPr="008074B4" w:rsidRDefault="00B725F0" w:rsidP="00D57A20">
      <w:pPr>
        <w:spacing w:after="160" w:line="480" w:lineRule="auto"/>
        <w:jc w:val="center"/>
      </w:pPr>
      <w:r w:rsidRPr="008074B4">
        <w:rPr>
          <w:b/>
          <w:bCs/>
        </w:rPr>
        <w:t>An Empirical Study of Artificial Intelligence Patent Litigation</w:t>
      </w:r>
    </w:p>
    <w:p w14:paraId="7F3CF447" w14:textId="77777777" w:rsidR="00B725F0" w:rsidRPr="008074B4" w:rsidRDefault="00B725F0" w:rsidP="005E403C">
      <w:pPr>
        <w:jc w:val="center"/>
      </w:pPr>
      <w:r w:rsidRPr="008074B4">
        <w:rPr>
          <w:b/>
          <w:bCs/>
        </w:rPr>
        <w:t>Amy Semet</w:t>
      </w:r>
      <w:r w:rsidRPr="008074B4">
        <w:rPr>
          <w:rStyle w:val="FootnoteReference"/>
          <w:b/>
          <w:bCs/>
        </w:rPr>
        <w:footnoteReference w:id="1"/>
      </w:r>
    </w:p>
    <w:p w14:paraId="60744D17" w14:textId="77777777" w:rsidR="00B725F0" w:rsidRPr="008074B4" w:rsidRDefault="00B725F0" w:rsidP="005E403C">
      <w:pPr>
        <w:jc w:val="center"/>
      </w:pPr>
      <w:r w:rsidRPr="008074B4">
        <w:t>Associate Professor of Law, University at Buffalo School of Law</w:t>
      </w:r>
    </w:p>
    <w:p w14:paraId="2C2E78A6" w14:textId="57930602" w:rsidR="008808E0" w:rsidRPr="003E1794" w:rsidRDefault="008808E0" w:rsidP="00416315">
      <w:pPr>
        <w:pStyle w:val="NormalWeb"/>
        <w:rPr>
          <w:i/>
          <w:iCs/>
        </w:rPr>
      </w:pPr>
      <w:r w:rsidRPr="003E1794">
        <w:rPr>
          <w:i/>
          <w:iCs/>
        </w:rPr>
        <w:t xml:space="preserve">Artificial intelligence (AI) is now at the heart of modern innovation, but we know surprisingly little about how AI patents perform when they are challenged in U.S. </w:t>
      </w:r>
      <w:r w:rsidR="00D974E1">
        <w:rPr>
          <w:i/>
          <w:iCs/>
        </w:rPr>
        <w:t xml:space="preserve">district </w:t>
      </w:r>
      <w:r w:rsidRPr="003E1794">
        <w:rPr>
          <w:i/>
          <w:iCs/>
        </w:rPr>
        <w:t xml:space="preserve">courts. This Article offers the first large-scale empirical study that connects the U.S. Patent and Trademark Office’s (USPTO) AI patent database with </w:t>
      </w:r>
      <w:r>
        <w:rPr>
          <w:i/>
          <w:iCs/>
        </w:rPr>
        <w:t>an originally constructed database of</w:t>
      </w:r>
      <w:r w:rsidRPr="003E1794">
        <w:rPr>
          <w:i/>
          <w:iCs/>
        </w:rPr>
        <w:t xml:space="preserve"> district court outcomes. Using several different methods to identify AI inventions, the study builds tiered measures</w:t>
      </w:r>
      <w:r w:rsidR="00E336FC">
        <w:rPr>
          <w:i/>
          <w:iCs/>
        </w:rPr>
        <w:t xml:space="preserve"> that classify AI inventions at increasingly levels of confidence</w:t>
      </w:r>
      <w:r w:rsidRPr="003E1794">
        <w:rPr>
          <w:i/>
          <w:iCs/>
        </w:rPr>
        <w:t>. It then examines how these patents fare in court on issues such as invalidity and infringement</w:t>
      </w:r>
      <w:r w:rsidR="00F544B1">
        <w:rPr>
          <w:i/>
          <w:iCs/>
        </w:rPr>
        <w:t xml:space="preserve"> within the subset of cases decided on the merits</w:t>
      </w:r>
      <w:r w:rsidRPr="003E1794">
        <w:rPr>
          <w:i/>
          <w:iCs/>
        </w:rPr>
        <w:t>.</w:t>
      </w:r>
    </w:p>
    <w:p w14:paraId="0DD732AD" w14:textId="40E2F6C6" w:rsidR="008808E0" w:rsidRPr="003E1794" w:rsidRDefault="008808E0" w:rsidP="00416315">
      <w:pPr>
        <w:pStyle w:val="NormalWeb"/>
        <w:rPr>
          <w:i/>
          <w:iCs/>
        </w:rPr>
      </w:pPr>
      <w:r w:rsidRPr="003E1794">
        <w:rPr>
          <w:i/>
          <w:iCs/>
        </w:rPr>
        <w:t xml:space="preserve">The results show a clear and consistent pattern. </w:t>
      </w:r>
      <w:r w:rsidR="00040030">
        <w:rPr>
          <w:i/>
          <w:iCs/>
        </w:rPr>
        <w:t xml:space="preserve">Conditional on reaching a contested merits outcome, </w:t>
      </w:r>
      <w:r w:rsidRPr="003E1794">
        <w:rPr>
          <w:i/>
          <w:iCs/>
        </w:rPr>
        <w:t xml:space="preserve">AI-related patents are significantly more likely to be invalidated than similar non-AI patents, </w:t>
      </w:r>
      <w:r w:rsidR="00E336FC">
        <w:rPr>
          <w:i/>
          <w:iCs/>
        </w:rPr>
        <w:t xml:space="preserve">a result that </w:t>
      </w:r>
      <w:r w:rsidRPr="003E1794">
        <w:rPr>
          <w:i/>
          <w:iCs/>
        </w:rPr>
        <w:t xml:space="preserve">holds across multiple ways of defining </w:t>
      </w:r>
      <w:r w:rsidR="00D14EF0">
        <w:rPr>
          <w:i/>
          <w:iCs/>
        </w:rPr>
        <w:t>AI</w:t>
      </w:r>
      <w:r w:rsidRPr="003E1794">
        <w:rPr>
          <w:i/>
          <w:iCs/>
        </w:rPr>
        <w:t xml:space="preserve"> </w:t>
      </w:r>
      <w:r w:rsidR="00D14EF0">
        <w:rPr>
          <w:i/>
          <w:iCs/>
        </w:rPr>
        <w:t>as well as</w:t>
      </w:r>
      <w:r w:rsidRPr="003E1794">
        <w:rPr>
          <w:i/>
          <w:iCs/>
        </w:rPr>
        <w:t xml:space="preserve"> numerous control variables. When broken down by legal doctrine, the higher invalidation rate is driven mainly by </w:t>
      </w:r>
      <w:r w:rsidR="005C0622">
        <w:rPr>
          <w:i/>
          <w:iCs/>
        </w:rPr>
        <w:t xml:space="preserve">section </w:t>
      </w:r>
      <w:r w:rsidRPr="003E1794">
        <w:rPr>
          <w:i/>
          <w:iCs/>
        </w:rPr>
        <w:t>101 subject-matter eligibility.</w:t>
      </w:r>
      <w:r w:rsidR="00E336FC">
        <w:rPr>
          <w:i/>
          <w:iCs/>
        </w:rPr>
        <w:t xml:space="preserve"> Further, AI inventions are less likely to a statistically significant degree to be found obvious under</w:t>
      </w:r>
      <w:r w:rsidR="00E336FC" w:rsidRPr="00E336FC">
        <w:rPr>
          <w:i/>
          <w:iCs/>
        </w:rPr>
        <w:t xml:space="preserve"> </w:t>
      </w:r>
      <w:r w:rsidR="00E336FC" w:rsidRPr="003E1794">
        <w:rPr>
          <w:i/>
          <w:iCs/>
        </w:rPr>
        <w:t xml:space="preserve">by </w:t>
      </w:r>
      <w:r w:rsidR="005C0622">
        <w:rPr>
          <w:i/>
          <w:iCs/>
        </w:rPr>
        <w:t xml:space="preserve">section </w:t>
      </w:r>
      <w:r w:rsidR="00E336FC" w:rsidRPr="003E1794">
        <w:rPr>
          <w:i/>
          <w:iCs/>
        </w:rPr>
        <w:t>10</w:t>
      </w:r>
      <w:r w:rsidR="00E336FC">
        <w:rPr>
          <w:i/>
          <w:iCs/>
        </w:rPr>
        <w:t xml:space="preserve">3. </w:t>
      </w:r>
      <w:r w:rsidRPr="003E1794">
        <w:rPr>
          <w:i/>
          <w:iCs/>
        </w:rPr>
        <w:t>At the same time, AI patents are less likely to yield findings of infringement</w:t>
      </w:r>
      <w:r w:rsidR="00040030">
        <w:rPr>
          <w:i/>
          <w:iCs/>
        </w:rPr>
        <w:t xml:space="preserve"> conditional on a merits-only sample of cases</w:t>
      </w:r>
      <w:r w:rsidRPr="003E1794">
        <w:rPr>
          <w:i/>
          <w:iCs/>
        </w:rPr>
        <w:t>, suggesting they face a double hurdle in litigation</w:t>
      </w:r>
      <w:r w:rsidR="00E336FC">
        <w:rPr>
          <w:i/>
          <w:iCs/>
        </w:rPr>
        <w:t xml:space="preserve">: </w:t>
      </w:r>
      <w:r w:rsidR="005E403C">
        <w:rPr>
          <w:i/>
          <w:iCs/>
        </w:rPr>
        <w:t>AI patents</w:t>
      </w:r>
      <w:r w:rsidR="00E336FC">
        <w:rPr>
          <w:i/>
          <w:iCs/>
        </w:rPr>
        <w:t xml:space="preserve"> are easier to invalidate and harder for the patentee to hold an alleged infringer accountable for any infringement</w:t>
      </w:r>
      <w:r w:rsidRPr="003E1794">
        <w:rPr>
          <w:i/>
          <w:iCs/>
        </w:rPr>
        <w:t>.</w:t>
      </w:r>
    </w:p>
    <w:p w14:paraId="13BFDD6F" w14:textId="72DCC633" w:rsidR="008808E0" w:rsidRPr="003E1794" w:rsidRDefault="008808E0" w:rsidP="00416315">
      <w:pPr>
        <w:pStyle w:val="NormalWeb"/>
        <w:rPr>
          <w:i/>
          <w:iCs/>
        </w:rPr>
      </w:pPr>
      <w:r w:rsidRPr="003E1794">
        <w:rPr>
          <w:i/>
          <w:iCs/>
        </w:rPr>
        <w:t xml:space="preserve">Crucially, these patterns are not simply the result of AI patents being a </w:t>
      </w:r>
      <w:r w:rsidR="005E403C">
        <w:rPr>
          <w:i/>
          <w:iCs/>
        </w:rPr>
        <w:t xml:space="preserve">substantial </w:t>
      </w:r>
      <w:r w:rsidRPr="003E1794">
        <w:rPr>
          <w:i/>
          <w:iCs/>
        </w:rPr>
        <w:t>subset of software patents. Even when AI software patents are compared directly with non-AI software patents, AI patents remain more likely to be invalidated and less likely to succeed on infringement</w:t>
      </w:r>
      <w:r w:rsidR="00040030">
        <w:rPr>
          <w:i/>
          <w:iCs/>
        </w:rPr>
        <w:t xml:space="preserve"> when examining cases that reach a merits resolution</w:t>
      </w:r>
      <w:r w:rsidRPr="003E1794">
        <w:rPr>
          <w:i/>
          <w:iCs/>
        </w:rPr>
        <w:t>. This indicates that courts appear to be treating AI inventions as a distinct—and particularly vulnerable—category within the broader software space.</w:t>
      </w:r>
    </w:p>
    <w:p w14:paraId="429EA2D9" w14:textId="77777777" w:rsidR="008808E0" w:rsidRPr="003E1794" w:rsidRDefault="008808E0" w:rsidP="00416315">
      <w:pPr>
        <w:pStyle w:val="NormalWeb"/>
        <w:rPr>
          <w:i/>
          <w:iCs/>
        </w:rPr>
      </w:pPr>
      <w:r w:rsidRPr="003E1794">
        <w:rPr>
          <w:i/>
          <w:iCs/>
        </w:rPr>
        <w:t>These findings carry important implications for innovation policy and patent law. As AI technologies become increasingly central to the economy, the current legal landscape may be systematically disadvantaging a key class of emerging inventions. The Article concludes by exploring possible doctrinal explanations and the need for greater clarity in how patent law is applied to AI-enabled technologies.</w:t>
      </w:r>
    </w:p>
    <w:p w14:paraId="5ADA2929" w14:textId="77777777" w:rsidR="008808E0" w:rsidRDefault="008808E0" w:rsidP="00D57A20">
      <w:pPr>
        <w:spacing w:line="480" w:lineRule="auto"/>
      </w:pPr>
    </w:p>
    <w:p w14:paraId="7E69EAEC" w14:textId="77777777" w:rsidR="008808E0" w:rsidRDefault="008808E0" w:rsidP="00D57A20">
      <w:pPr>
        <w:spacing w:line="480" w:lineRule="auto"/>
      </w:pPr>
    </w:p>
    <w:p w14:paraId="4066688E" w14:textId="77777777" w:rsidR="008808E0" w:rsidRPr="009F4E6F" w:rsidRDefault="008808E0" w:rsidP="00D57A20">
      <w:pPr>
        <w:pStyle w:val="BodyText"/>
        <w:spacing w:before="6" w:line="480" w:lineRule="auto"/>
        <w:rPr>
          <w:i/>
          <w:iCs/>
        </w:rPr>
      </w:pPr>
    </w:p>
    <w:p w14:paraId="488BAD69" w14:textId="1AAC8BFD" w:rsidR="008808E0" w:rsidRPr="005E403C" w:rsidRDefault="008808E0" w:rsidP="005E403C">
      <w:pPr>
        <w:spacing w:line="480" w:lineRule="auto"/>
        <w:rPr>
          <w:i/>
        </w:rPr>
      </w:pPr>
      <w:r w:rsidRPr="009F4E6F">
        <w:rPr>
          <w:i/>
        </w:rPr>
        <w:br w:type="page"/>
      </w:r>
    </w:p>
    <w:p w14:paraId="67405786" w14:textId="2B29297D" w:rsidR="003F54C0" w:rsidRPr="008074B4" w:rsidRDefault="00B725F0" w:rsidP="00D57A20">
      <w:pPr>
        <w:spacing w:line="480" w:lineRule="auto"/>
        <w:ind w:firstLine="720"/>
        <w:jc w:val="both"/>
      </w:pPr>
      <w:r w:rsidRPr="008074B4">
        <w:lastRenderedPageBreak/>
        <w:t>Artificial intelligence</w:t>
      </w:r>
      <w:r w:rsidR="005E403C">
        <w:t xml:space="preserve"> (AI)</w:t>
      </w:r>
      <w:r w:rsidRPr="008074B4">
        <w:t xml:space="preserve"> appears in a growing share of patented inventions, yet we know little about what happens to those patents once they are litigated. Often described as the next general-purpose technology, with an economic footprint compared to that of the advent of electricity or of the internet, AI has prompted policymakers and industry to call for a coordinated response.</w:t>
      </w:r>
      <w:r w:rsidRPr="008074B4">
        <w:rPr>
          <w:rStyle w:val="FootnoteReference"/>
        </w:rPr>
        <w:footnoteReference w:id="2"/>
      </w:r>
      <w:r w:rsidRPr="008074B4">
        <w:t xml:space="preserve"> The modern patent system was built decades before contemporary machine learning. Structured by the Patent Act of 1952 and revised by the Leahy-Smith America Invents Act of 2011,</w:t>
      </w:r>
      <w:r w:rsidRPr="008074B4">
        <w:rPr>
          <w:rStyle w:val="FootnoteReference"/>
        </w:rPr>
        <w:footnoteReference w:id="3"/>
      </w:r>
      <w:r w:rsidRPr="008074B4">
        <w:t xml:space="preserve"> </w:t>
      </w:r>
      <w:r w:rsidR="00D469B2">
        <w:t>the legacy patent system</w:t>
      </w:r>
      <w:r w:rsidRPr="008074B4">
        <w:t xml:space="preserve"> did not contemplate </w:t>
      </w:r>
      <w:r w:rsidR="00D469B2">
        <w:t xml:space="preserve">how patent law would apply to the </w:t>
      </w:r>
      <w:r w:rsidR="00923A86">
        <w:t xml:space="preserve">unique </w:t>
      </w:r>
      <w:r w:rsidRPr="008074B4">
        <w:t>features that make AI distinctive.</w:t>
      </w:r>
      <w:r w:rsidR="00D469B2">
        <w:t xml:space="preserve"> C</w:t>
      </w:r>
      <w:r w:rsidR="00D469B2" w:rsidRPr="008074B4">
        <w:t>ommentators and legislators often</w:t>
      </w:r>
      <w:r w:rsidR="00D469B2">
        <w:t xml:space="preserve"> assert,</w:t>
      </w:r>
      <w:r w:rsidR="00D469B2" w:rsidRPr="008074B4">
        <w:t xml:space="preserve"> without systematic evidence, that AI patents </w:t>
      </w:r>
      <w:r w:rsidR="00D469B2">
        <w:t>could be</w:t>
      </w:r>
      <w:r w:rsidR="00D469B2" w:rsidRPr="008074B4">
        <w:t xml:space="preserve"> uniquely vulnerable under current law due to weak patent quality or overclaiming of the invention itself.</w:t>
      </w:r>
      <w:r w:rsidR="00D469B2" w:rsidRPr="008074B4">
        <w:rPr>
          <w:rStyle w:val="FootnoteReference"/>
        </w:rPr>
        <w:footnoteReference w:id="4"/>
      </w:r>
      <w:r w:rsidR="00D469B2">
        <w:t xml:space="preserve"> </w:t>
      </w:r>
      <w:r w:rsidRPr="008074B4">
        <w:t xml:space="preserve">Since the Supreme Court’s decision in </w:t>
      </w:r>
      <w:r w:rsidRPr="008074B4">
        <w:rPr>
          <w:i/>
          <w:iCs/>
        </w:rPr>
        <w:t>Alice Corp. v. CLS Bank International</w:t>
      </w:r>
      <w:r w:rsidRPr="008074B4">
        <w:t>, courts and scholars have struggled to say how doctrines designed for earlier technologies should apply to algorithmic and data-centric inventions</w:t>
      </w:r>
      <w:r w:rsidR="00D469B2">
        <w:t xml:space="preserve"> like software</w:t>
      </w:r>
      <w:r w:rsidRPr="008074B4">
        <w:t>.</w:t>
      </w:r>
      <w:r w:rsidRPr="008074B4">
        <w:rPr>
          <w:rStyle w:val="FootnoteReference"/>
        </w:rPr>
        <w:footnoteReference w:id="5"/>
      </w:r>
      <w:r w:rsidRPr="008074B4">
        <w:t xml:space="preserve"> </w:t>
      </w:r>
      <w:r w:rsidR="00D469B2">
        <w:t xml:space="preserve">In particular, concerns surround </w:t>
      </w:r>
      <w:r w:rsidR="00D469B2" w:rsidRPr="008074B4">
        <w:t>subject-matter eligibility under 35 U.S.C. § 101</w:t>
      </w:r>
      <w:r w:rsidR="00D469B2">
        <w:t>.</w:t>
      </w:r>
      <w:r w:rsidR="00D469B2" w:rsidRPr="008074B4">
        <w:rPr>
          <w:rStyle w:val="FootnoteReference"/>
        </w:rPr>
        <w:footnoteReference w:id="6"/>
      </w:r>
      <w:r w:rsidR="00D469B2" w:rsidRPr="008074B4">
        <w:t xml:space="preserve"> </w:t>
      </w:r>
      <w:r w:rsidR="00D469B2">
        <w:t xml:space="preserve"> </w:t>
      </w:r>
      <w:r w:rsidRPr="008074B4">
        <w:t xml:space="preserve">That uncertainty has practical implications. Decisions on whether an invention is even something that is allowed to be patentable now operate as an early and sometimes even dispositive screen, with </w:t>
      </w:r>
      <w:r w:rsidR="00D469B2">
        <w:t xml:space="preserve">patents being invalidated under </w:t>
      </w:r>
      <w:r w:rsidR="005C0622">
        <w:t>section</w:t>
      </w:r>
      <w:r w:rsidRPr="008074B4">
        <w:t xml:space="preserve"> 101 </w:t>
      </w:r>
      <w:r w:rsidR="00923A86">
        <w:t>months into a litigation</w:t>
      </w:r>
      <w:r w:rsidR="00D469B2">
        <w:t xml:space="preserve"> </w:t>
      </w:r>
      <w:r w:rsidRPr="008074B4">
        <w:t>on motions to dismiss or judgments on the pleadings</w:t>
      </w:r>
      <w:r w:rsidR="00D469B2">
        <w:t xml:space="preserve"> before the court even has the chance to do claim constructions of the patent itself</w:t>
      </w:r>
      <w:r w:rsidR="00923A86">
        <w:t xml:space="preserve"> or to conduct </w:t>
      </w:r>
      <w:r w:rsidR="00923A86">
        <w:lastRenderedPageBreak/>
        <w:t>meaningful discovery</w:t>
      </w:r>
      <w:r w:rsidRPr="008074B4">
        <w:t>.</w:t>
      </w:r>
      <w:r w:rsidRPr="008074B4">
        <w:rPr>
          <w:rStyle w:val="FootnoteReference"/>
        </w:rPr>
        <w:footnoteReference w:id="7"/>
      </w:r>
      <w:r w:rsidRPr="008074B4">
        <w:t xml:space="preserve"> Scholars have studied software and business method patents post-</w:t>
      </w:r>
      <w:r w:rsidRPr="008074B4">
        <w:rPr>
          <w:i/>
          <w:iCs/>
        </w:rPr>
        <w:t>Alice</w:t>
      </w:r>
      <w:r w:rsidRPr="008074B4">
        <w:t xml:space="preserve"> at length,</w:t>
      </w:r>
      <w:r w:rsidRPr="008074B4">
        <w:rPr>
          <w:rStyle w:val="FootnoteReference"/>
        </w:rPr>
        <w:footnoteReference w:id="8"/>
      </w:r>
      <w:r w:rsidRPr="008074B4">
        <w:t xml:space="preserve"> and others have examined patent quality and outcomes at the PTAB and in the district courts.</w:t>
      </w:r>
      <w:r w:rsidRPr="008074B4">
        <w:rPr>
          <w:rStyle w:val="FootnoteReference"/>
        </w:rPr>
        <w:footnoteReference w:id="9"/>
      </w:r>
      <w:r w:rsidRPr="008074B4">
        <w:t xml:space="preserve"> </w:t>
      </w:r>
      <w:r w:rsidR="00D469B2">
        <w:t>But examining how AI patents, as distinct from software patents, fare</w:t>
      </w:r>
      <w:r w:rsidRPr="008074B4">
        <w:t xml:space="preserve"> against non-AI patents across several doctrinal grounds</w:t>
      </w:r>
      <w:r w:rsidR="00D469B2">
        <w:t xml:space="preserve"> is a notable gap in the empirical scholarship</w:t>
      </w:r>
      <w:r w:rsidRPr="008074B4">
        <w:t xml:space="preserve">. </w:t>
      </w:r>
      <w:r w:rsidR="00F036A6">
        <w:t>Indeed, m</w:t>
      </w:r>
      <w:r w:rsidR="00F036A6" w:rsidRPr="008074B4">
        <w:t xml:space="preserve">uch of the technical literature uses machine learning to </w:t>
      </w:r>
      <w:r w:rsidR="00F036A6">
        <w:t xml:space="preserve">actually </w:t>
      </w:r>
      <w:r w:rsidR="00F036A6" w:rsidRPr="008074B4">
        <w:t>study patents rather than studying AI patents themselves.</w:t>
      </w:r>
      <w:r w:rsidR="00F036A6" w:rsidRPr="008074B4">
        <w:rPr>
          <w:rStyle w:val="FootnoteReference"/>
        </w:rPr>
        <w:footnoteReference w:id="10"/>
      </w:r>
    </w:p>
    <w:p w14:paraId="55A0342D" w14:textId="291FE260" w:rsidR="00B725F0" w:rsidRPr="008074B4" w:rsidRDefault="00D469B2" w:rsidP="00D57A20">
      <w:pPr>
        <w:spacing w:line="480" w:lineRule="auto"/>
        <w:ind w:firstLine="720"/>
        <w:jc w:val="both"/>
      </w:pPr>
      <w:r>
        <w:t>In</w:t>
      </w:r>
      <w:r w:rsidR="00D14EF0">
        <w:t xml:space="preserve"> part</w:t>
      </w:r>
      <w:r>
        <w:t>,</w:t>
      </w:r>
      <w:r w:rsidR="003F54C0" w:rsidRPr="008074B4">
        <w:t xml:space="preserve"> we know remarkably little about AI </w:t>
      </w:r>
      <w:r w:rsidR="005E403C">
        <w:t xml:space="preserve">patents </w:t>
      </w:r>
      <w:r w:rsidR="003F54C0" w:rsidRPr="008074B4">
        <w:t>empirically because there is no agreed definition of what counts as an AI invention.</w:t>
      </w:r>
      <w:r w:rsidR="003F54C0" w:rsidRPr="008074B4">
        <w:rPr>
          <w:rStyle w:val="FootnoteReference"/>
        </w:rPr>
        <w:footnoteReference w:id="11"/>
      </w:r>
      <w:r w:rsidR="003F54C0" w:rsidRPr="008074B4">
        <w:t xml:space="preserve"> This Article takes up that question with a large-scale study of AI patent litigation in the federal district courts. The Article makes t</w:t>
      </w:r>
      <w:r w:rsidR="00164ACF">
        <w:t>wo</w:t>
      </w:r>
      <w:r w:rsidR="003F54C0" w:rsidRPr="008074B4">
        <w:t xml:space="preserve"> key contributions. The first is definitional. Starting from the USPTO Artificial Intelligence Patent Dataset, I operationalize several definitions of an AI patent, from a baseline threshold to two higher-confidence thresholds. The second contribution is empirical. From over 80,000 district court decisions filed between 2000 and 2025, I identify which involve an AI patent, trace how AI patents have been litigated over that period and compare outcomes for AI and non-AI patents across the doctrines that decide most cases: </w:t>
      </w:r>
      <w:r w:rsidR="005C0622">
        <w:t>section</w:t>
      </w:r>
      <w:r w:rsidR="003F54C0" w:rsidRPr="008074B4">
        <w:t xml:space="preserve"> 101 eligibility, the prior-art screens of </w:t>
      </w:r>
      <w:r w:rsidR="005C0622">
        <w:t>sections</w:t>
      </w:r>
      <w:r w:rsidR="003F54C0" w:rsidRPr="008074B4">
        <w:t xml:space="preserve"> 102 and 103, and the disclosure requirements of </w:t>
      </w:r>
      <w:r w:rsidR="005C0622">
        <w:t>section</w:t>
      </w:r>
      <w:r w:rsidR="003F54C0" w:rsidRPr="008074B4">
        <w:t xml:space="preserve"> 112</w:t>
      </w:r>
      <w:r w:rsidR="005E403C">
        <w:t xml:space="preserve">, as well as infringement under </w:t>
      </w:r>
      <w:r w:rsidR="005C0622">
        <w:t>section</w:t>
      </w:r>
      <w:r w:rsidR="005E403C" w:rsidRPr="008074B4">
        <w:t xml:space="preserve"> </w:t>
      </w:r>
      <w:r w:rsidR="005E403C">
        <w:t>271</w:t>
      </w:r>
      <w:r w:rsidR="003F54C0" w:rsidRPr="008074B4">
        <w:t>.</w:t>
      </w:r>
    </w:p>
    <w:p w14:paraId="1949AC6E" w14:textId="63BAC015" w:rsidR="00164ACF" w:rsidRDefault="00040030" w:rsidP="00D57A20">
      <w:pPr>
        <w:spacing w:line="480" w:lineRule="auto"/>
        <w:ind w:firstLine="720"/>
        <w:jc w:val="both"/>
      </w:pPr>
      <w:r>
        <w:lastRenderedPageBreak/>
        <w:t xml:space="preserve">Conditional on reaching a contested merits outcome, </w:t>
      </w:r>
      <w:r w:rsidR="00B73977">
        <w:t xml:space="preserve">I find that </w:t>
      </w:r>
      <w:r w:rsidR="00B725F0" w:rsidRPr="008074B4">
        <w:t xml:space="preserve">AI patents are significantly more likely to be invalidated in the district courts and, at the same time, significantly less likely to be found infringed than otherwise comparable non-AI patents. The asymmetry survives multiple AI definitions and probability thresholds of what constitutes an “AI invention.” The findings are also robust to a broad set of case- and patent-level controls. Disaggregated by doctrine, the elevated invalidation rate traces </w:t>
      </w:r>
      <w:r w:rsidR="005E403C">
        <w:t>largely</w:t>
      </w:r>
      <w:r w:rsidR="00B725F0" w:rsidRPr="008074B4">
        <w:t xml:space="preserve"> to </w:t>
      </w:r>
      <w:r w:rsidR="00D14EF0">
        <w:t>subject matter</w:t>
      </w:r>
      <w:r w:rsidR="005E403C">
        <w:t xml:space="preserve"> invalidations</w:t>
      </w:r>
      <w:r w:rsidR="00D14EF0">
        <w:t xml:space="preserve"> under </w:t>
      </w:r>
      <w:r w:rsidR="005C0622">
        <w:t>section</w:t>
      </w:r>
      <w:r w:rsidR="00B725F0" w:rsidRPr="008074B4">
        <w:t xml:space="preserve"> 101</w:t>
      </w:r>
      <w:r w:rsidR="005E403C">
        <w:t xml:space="preserve">. </w:t>
      </w:r>
      <w:r w:rsidR="00AC17CC" w:rsidRPr="00BA2B33">
        <w:rPr>
          <w:noProof/>
        </w:rPr>
        <w:t>AI patents remain more likely to be invalidated under section 101 even after accounting for the general post-</w:t>
      </w:r>
      <w:r w:rsidR="00AC17CC" w:rsidRPr="00BA2B33">
        <w:rPr>
          <w:i/>
          <w:iCs/>
          <w:noProof/>
        </w:rPr>
        <w:t>Alice</w:t>
      </w:r>
      <w:r w:rsidR="00AC17CC" w:rsidRPr="00BA2B33">
        <w:rPr>
          <w:noProof/>
        </w:rPr>
        <w:t xml:space="preserve"> increase in eligibility invalidations. </w:t>
      </w:r>
      <w:r w:rsidR="00D14EF0">
        <w:t xml:space="preserve">In addition, AI patents are less likely to be </w:t>
      </w:r>
      <w:r w:rsidR="00D56DC4">
        <w:t xml:space="preserve">found </w:t>
      </w:r>
      <w:r w:rsidR="00D14EF0">
        <w:t>obvious under</w:t>
      </w:r>
      <w:r w:rsidR="005C0622">
        <w:t xml:space="preserve"> section</w:t>
      </w:r>
      <w:r w:rsidR="00D14EF0" w:rsidRPr="008074B4">
        <w:t xml:space="preserve"> 10</w:t>
      </w:r>
      <w:r w:rsidR="00D14EF0">
        <w:t>3</w:t>
      </w:r>
      <w:r w:rsidR="00AC17CC">
        <w:t xml:space="preserve">, a result some may find unexpected. </w:t>
      </w:r>
    </w:p>
    <w:p w14:paraId="7DFE7D15" w14:textId="59BBA7B7" w:rsidR="00B725F0" w:rsidRPr="008074B4" w:rsidRDefault="00D14EF0" w:rsidP="00D57A20">
      <w:pPr>
        <w:spacing w:line="480" w:lineRule="auto"/>
        <w:ind w:firstLine="720"/>
        <w:jc w:val="both"/>
      </w:pPr>
      <w:r>
        <w:t>These results</w:t>
      </w:r>
      <w:r w:rsidR="00B725F0" w:rsidRPr="008074B4">
        <w:t xml:space="preserve"> cannot simply be explained by the fact that AI inventions often overlap with software inventions. When I restrict the sample to </w:t>
      </w:r>
      <w:r w:rsidR="00923A86">
        <w:t>just software patents</w:t>
      </w:r>
      <w:r w:rsidR="00B725F0" w:rsidRPr="008074B4">
        <w:t xml:space="preserve">, AI </w:t>
      </w:r>
      <w:r w:rsidR="005E403C">
        <w:t xml:space="preserve">patents </w:t>
      </w:r>
      <w:r w:rsidR="00B725F0" w:rsidRPr="008074B4">
        <w:t>retain a statistically significant association with higher invalidation risk</w:t>
      </w:r>
      <w:r w:rsidR="00923A86">
        <w:t>, especially on section 101</w:t>
      </w:r>
      <w:r w:rsidR="00B725F0" w:rsidRPr="008074B4">
        <w:t>.</w:t>
      </w:r>
      <w:r w:rsidR="00B73977">
        <w:t xml:space="preserve"> </w:t>
      </w:r>
      <w:r w:rsidR="00923A86">
        <w:t>This association</w:t>
      </w:r>
      <w:r w:rsidR="00E333AB">
        <w:t xml:space="preserve"> on invalidity</w:t>
      </w:r>
      <w:r w:rsidR="00923A86">
        <w:t xml:space="preserve"> persists if I look at the results using a non-software sample as well. The reverse is true for infringement; while the AI indicator is not statistically significant in the software-only sample, it is statistically significant in the non-software sample, indicating that the AI discrepancy with respect to infringement is largely limited to non-software inventions. </w:t>
      </w:r>
      <w:r w:rsidR="005E403C">
        <w:t xml:space="preserve">In </w:t>
      </w:r>
      <w:r>
        <w:t>most</w:t>
      </w:r>
      <w:r w:rsidR="00B73977">
        <w:t xml:space="preserve"> specifications, it is still easier for parties accused of infringing an AI patent</w:t>
      </w:r>
      <w:r w:rsidR="00E333AB">
        <w:t>, especially a non-software-based AI patent,</w:t>
      </w:r>
      <w:r w:rsidR="00B73977">
        <w:t xml:space="preserve"> to escape liability on infringement than it would be for them to survive an infringement allegation on a comparable non-AI patent</w:t>
      </w:r>
      <w:r w:rsidR="005E403C">
        <w:t>.</w:t>
      </w:r>
      <w:r>
        <w:t xml:space="preserve"> </w:t>
      </w:r>
    </w:p>
    <w:p w14:paraId="27118D8F" w14:textId="6C8A0C71" w:rsidR="00B725F0" w:rsidRPr="008074B4" w:rsidRDefault="00B725F0" w:rsidP="00D57A20">
      <w:pPr>
        <w:spacing w:line="480" w:lineRule="auto"/>
        <w:ind w:firstLine="720"/>
        <w:jc w:val="both"/>
      </w:pPr>
      <w:r w:rsidRPr="008074B4">
        <w:t xml:space="preserve">The stakes are real. Commentators and legislators worry that the </w:t>
      </w:r>
      <w:r w:rsidR="00B73977">
        <w:t>post-</w:t>
      </w:r>
      <w:r w:rsidR="00B73977" w:rsidRPr="00B73977">
        <w:rPr>
          <w:i/>
          <w:iCs/>
        </w:rPr>
        <w:t>Alice</w:t>
      </w:r>
      <w:r w:rsidR="00B73977">
        <w:t xml:space="preserve"> </w:t>
      </w:r>
      <w:r w:rsidR="005C0622">
        <w:t>section</w:t>
      </w:r>
      <w:r w:rsidRPr="008074B4">
        <w:t xml:space="preserve"> 101 framework either over-deters valuable innovation or fails to restrain overbroad functional claims</w:t>
      </w:r>
      <w:r w:rsidR="00B73977">
        <w:t>.</w:t>
      </w:r>
      <w:r w:rsidR="00B73977">
        <w:rPr>
          <w:rStyle w:val="FootnoteReference"/>
        </w:rPr>
        <w:footnoteReference w:id="12"/>
      </w:r>
      <w:r w:rsidRPr="008074B4">
        <w:t xml:space="preserve"> </w:t>
      </w:r>
      <w:r w:rsidRPr="008074B4">
        <w:lastRenderedPageBreak/>
        <w:t>Congress has repeatedly considered, though never enacted, proposals to reform eligibility.</w:t>
      </w:r>
      <w:r w:rsidR="00B73977" w:rsidRPr="008074B4">
        <w:rPr>
          <w:rStyle w:val="FootnoteReference"/>
        </w:rPr>
        <w:footnoteReference w:id="13"/>
      </w:r>
      <w:r w:rsidRPr="008074B4">
        <w:t xml:space="preserve"> Courts meanwhile continue to police patent scope through </w:t>
      </w:r>
      <w:r w:rsidR="005C0622">
        <w:t>sections</w:t>
      </w:r>
      <w:r w:rsidRPr="008074B4">
        <w:t xml:space="preserve"> 102, 103, and 112. Knowing where, doctrinally, AI patents actually run into trouble is a precondition to deciding whether further judicial or legislative intervention is warranted.</w:t>
      </w:r>
    </w:p>
    <w:p w14:paraId="6770753F" w14:textId="2F3852F3" w:rsidR="00B725F0" w:rsidRPr="008074B4" w:rsidRDefault="00B725F0" w:rsidP="00D57A20">
      <w:pPr>
        <w:spacing w:line="480" w:lineRule="auto"/>
        <w:ind w:firstLine="720"/>
        <w:jc w:val="both"/>
      </w:pPr>
      <w:r w:rsidRPr="008074B4">
        <w:t xml:space="preserve">The Article proceeds in five Parts. Part I sets out only the doctrinal and institutional background needed to read the results, then explains why AI inventions might behave differently in litigation. Part II describes the data and the definition of an AI patent, including the graded measure I use throughout. Part III reports the descriptive patterns. Part IV presents the multivariate models and the robustness checks, including the within-software comparison and the breakdown by statutory ground. </w:t>
      </w:r>
      <w:r w:rsidR="00B73977">
        <w:t>It also examines results pre and post-</w:t>
      </w:r>
      <w:r w:rsidR="00B73977" w:rsidRPr="00B73977">
        <w:rPr>
          <w:i/>
          <w:iCs/>
        </w:rPr>
        <w:t>Alice</w:t>
      </w:r>
      <w:r w:rsidR="00416315">
        <w:t xml:space="preserve">, making clear that the sharp difference in invalidity outcomes is </w:t>
      </w:r>
      <w:r w:rsidR="005E403C">
        <w:t xml:space="preserve">largely </w:t>
      </w:r>
      <w:r w:rsidR="00416315">
        <w:t>a post-</w:t>
      </w:r>
      <w:r w:rsidR="00416315" w:rsidRPr="00416315">
        <w:rPr>
          <w:i/>
          <w:iCs/>
        </w:rPr>
        <w:t>Alice</w:t>
      </w:r>
      <w:r w:rsidR="00416315">
        <w:t xml:space="preserve"> phenomenon.</w:t>
      </w:r>
      <w:r w:rsidR="00B73977">
        <w:t xml:space="preserve"> </w:t>
      </w:r>
      <w:r w:rsidRPr="008074B4">
        <w:t>Part V develops the doctrinal and policy implications and sets out where courts, the USPTO, and Congress might respond. By grounding the debate in systematic evidence rather than anecdote, the Article offers a first map of where the patent system’s capacity to sort genuine advances from overbroad functional claims is under strain.</w:t>
      </w:r>
    </w:p>
    <w:p w14:paraId="604EEAF8" w14:textId="77777777" w:rsidR="00B725F0" w:rsidRPr="008074B4" w:rsidRDefault="00B725F0" w:rsidP="00D57A20">
      <w:pPr>
        <w:spacing w:before="280" w:after="160" w:line="480" w:lineRule="auto"/>
        <w:jc w:val="center"/>
      </w:pPr>
      <w:r w:rsidRPr="008074B4">
        <w:rPr>
          <w:b/>
          <w:bCs/>
          <w:smallCaps/>
        </w:rPr>
        <w:t>I.  Doctrinal and Institutional Foundations</w:t>
      </w:r>
    </w:p>
    <w:p w14:paraId="4E991A50" w14:textId="77777777" w:rsidR="00B725F0" w:rsidRPr="006A6423" w:rsidRDefault="00B725F0" w:rsidP="00D57A20">
      <w:pPr>
        <w:spacing w:before="200" w:after="100" w:line="480" w:lineRule="auto"/>
      </w:pPr>
      <w:r w:rsidRPr="006A6423">
        <w:rPr>
          <w:b/>
          <w:bCs/>
        </w:rPr>
        <w:t>A.  Patentability and Forums</w:t>
      </w:r>
    </w:p>
    <w:p w14:paraId="62935051" w14:textId="79FE7F56" w:rsidR="00B725F0" w:rsidRPr="008074B4" w:rsidRDefault="00B725F0" w:rsidP="00D57A20">
      <w:pPr>
        <w:spacing w:line="480" w:lineRule="auto"/>
        <w:ind w:firstLine="720"/>
        <w:jc w:val="both"/>
      </w:pPr>
      <w:r w:rsidRPr="008074B4">
        <w:t xml:space="preserve">Patent litigation runs through a series of statutory filters that decide which inventions merit protection. Four provisions of the Patent Act, 35 U.S.C. §§ 101, 102, 103, and 112, do most of the </w:t>
      </w:r>
      <w:r w:rsidRPr="008074B4">
        <w:lastRenderedPageBreak/>
        <w:t xml:space="preserve">work in modern validity disputes. </w:t>
      </w:r>
      <w:r w:rsidR="00B73977">
        <w:t>While</w:t>
      </w:r>
      <w:r w:rsidRPr="008074B4">
        <w:t xml:space="preserve"> formally technology neutral</w:t>
      </w:r>
      <w:r w:rsidR="00B73977">
        <w:t>, e</w:t>
      </w:r>
      <w:r w:rsidRPr="008074B4">
        <w:t xml:space="preserve">ach has become especially consequential in litigation over software and AI. </w:t>
      </w:r>
    </w:p>
    <w:p w14:paraId="487D2AC9" w14:textId="54D81E39" w:rsidR="00B725F0" w:rsidRPr="008074B4" w:rsidRDefault="00B725F0" w:rsidP="00D57A20">
      <w:pPr>
        <w:spacing w:line="480" w:lineRule="auto"/>
        <w:ind w:firstLine="720"/>
        <w:jc w:val="both"/>
      </w:pPr>
      <w:r w:rsidRPr="008074B4">
        <w:t>Section 101 sets the categories of patentable subject matter. The statute reaches “any new and useful process, machine, manufacture, or composition of matter,” capacious language the Supreme Court has nonetheless read to create judicially-created exceptions to specifically exclude laws of nature, natural phenomena, and abstract ideas.</w:t>
      </w:r>
      <w:r w:rsidRPr="008074B4">
        <w:rPr>
          <w:rStyle w:val="FootnoteReference"/>
        </w:rPr>
        <w:footnoteReference w:id="14"/>
      </w:r>
      <w:r w:rsidRPr="008074B4">
        <w:t xml:space="preserve"> Eligibility today is governed by the two-step framework of </w:t>
      </w:r>
      <w:r w:rsidRPr="008074B4">
        <w:rPr>
          <w:i/>
          <w:iCs/>
        </w:rPr>
        <w:t>Alice Corp. v. CLS Bank International</w:t>
      </w:r>
      <w:r w:rsidRPr="008074B4">
        <w:t>: a court first asks whether the claims are directed to an ineligible concept, most often an abstract idea, and if so, the court must then ask whether the remaining elements supply an inventive concept sufficient to transform the idea into a patent-eligible application.</w:t>
      </w:r>
      <w:r w:rsidRPr="008074B4">
        <w:rPr>
          <w:rStyle w:val="FootnoteReference"/>
        </w:rPr>
        <w:footnoteReference w:id="15"/>
      </w:r>
      <w:r w:rsidRPr="008074B4">
        <w:t xml:space="preserve"> </w:t>
      </w:r>
      <w:r w:rsidRPr="008074B4">
        <w:rPr>
          <w:i/>
          <w:iCs/>
        </w:rPr>
        <w:t>Alice</w:t>
      </w:r>
      <w:r w:rsidRPr="008074B4">
        <w:t xml:space="preserve"> itself claimed a computerized method for intermediated settlement. The Court held it ineligible because it did no more than simply “apply” a longstanding economic practice to run on a generic computer. Lower courts have extended that reasoning to software and data-processing claims that recite a functional result, such as analyzing data with a model</w:t>
      </w:r>
      <w:r w:rsidR="00B73977">
        <w:t xml:space="preserve"> </w:t>
      </w:r>
      <w:r w:rsidRPr="008074B4">
        <w:t>without specifying any concrete technological improvement.</w:t>
      </w:r>
      <w:r w:rsidRPr="008074B4">
        <w:rPr>
          <w:rStyle w:val="FootnoteReference"/>
        </w:rPr>
        <w:footnoteReference w:id="16"/>
      </w:r>
      <w:r w:rsidRPr="008074B4">
        <w:t xml:space="preserve"> So many AI and software inventions turn on algorithmic processing or data manipulation, the very features courts are prone to call abstract, that </w:t>
      </w:r>
      <w:r w:rsidR="005C0622">
        <w:t>section</w:t>
      </w:r>
      <w:r w:rsidRPr="008074B4">
        <w:t xml:space="preserve"> 101 has acquired outsized importance. A large literature documents both the instability of </w:t>
      </w:r>
      <w:r w:rsidRPr="008074B4">
        <w:rPr>
          <w:i/>
          <w:iCs/>
        </w:rPr>
        <w:t>Alice</w:t>
      </w:r>
      <w:r w:rsidRPr="008074B4">
        <w:t xml:space="preserve"> and its uneven effect on digital technologies.</w:t>
      </w:r>
      <w:r w:rsidRPr="008074B4">
        <w:rPr>
          <w:rStyle w:val="FootnoteReference"/>
        </w:rPr>
        <w:footnoteReference w:id="17"/>
      </w:r>
    </w:p>
    <w:p w14:paraId="04DF486D" w14:textId="54BD0EE3" w:rsidR="00B725F0" w:rsidRPr="008074B4" w:rsidRDefault="005E403C" w:rsidP="00D57A20">
      <w:pPr>
        <w:spacing w:line="480" w:lineRule="auto"/>
        <w:ind w:firstLine="720"/>
        <w:jc w:val="both"/>
      </w:pPr>
      <w:r>
        <w:lastRenderedPageBreak/>
        <w:t>Anticipation</w:t>
      </w:r>
      <w:r w:rsidR="00664D7A">
        <w:t xml:space="preserve"> or novelty</w:t>
      </w:r>
      <w:r>
        <w:t xml:space="preserve"> inquiries under s</w:t>
      </w:r>
      <w:r w:rsidR="00B725F0" w:rsidRPr="008074B4">
        <w:t xml:space="preserve">ections 102 and </w:t>
      </w:r>
      <w:r>
        <w:t xml:space="preserve">obviousness analysis under section </w:t>
      </w:r>
      <w:r w:rsidR="00B725F0" w:rsidRPr="008074B4">
        <w:t xml:space="preserve">103 police </w:t>
      </w:r>
      <w:r>
        <w:t xml:space="preserve">whether the invention is preempted by </w:t>
      </w:r>
      <w:r w:rsidR="00B725F0" w:rsidRPr="008074B4">
        <w:t>the prior art. Section 102 denies a patent</w:t>
      </w:r>
      <w:r w:rsidR="00B73977">
        <w:t xml:space="preserve"> to an invention</w:t>
      </w:r>
      <w:r w:rsidR="00B725F0" w:rsidRPr="008074B4">
        <w:t xml:space="preserve"> that the public already had access to </w:t>
      </w:r>
      <w:r>
        <w:t xml:space="preserve">in full </w:t>
      </w:r>
      <w:r w:rsidR="00B725F0" w:rsidRPr="008074B4">
        <w:t>before the applicant’s filing date. The inquiry is reference-based and binary, so a single prior-art reference disclosing every claim element anticipates the claim.</w:t>
      </w:r>
      <w:r w:rsidR="00B725F0" w:rsidRPr="008074B4">
        <w:rPr>
          <w:rStyle w:val="FootnoteReference"/>
        </w:rPr>
        <w:footnoteReference w:id="18"/>
      </w:r>
      <w:r w:rsidR="00B725F0" w:rsidRPr="008074B4">
        <w:t xml:space="preserve"> Section 103 bars a patent where the claimed advance would have been </w:t>
      </w:r>
      <w:r w:rsidR="00B73977">
        <w:t>“</w:t>
      </w:r>
      <w:r w:rsidR="00B725F0" w:rsidRPr="008074B4">
        <w:t>obvious</w:t>
      </w:r>
      <w:r w:rsidR="00B73977">
        <w:t>”</w:t>
      </w:r>
      <w:r w:rsidR="00B725F0" w:rsidRPr="008074B4">
        <w:t xml:space="preserve"> to a person of ordinary skill, weighing the scope of the prior art, the differences from the claim, the level of skill, and objective indicia.</w:t>
      </w:r>
      <w:r w:rsidR="00B725F0" w:rsidRPr="008074B4">
        <w:rPr>
          <w:rStyle w:val="FootnoteReference"/>
        </w:rPr>
        <w:footnoteReference w:id="19"/>
      </w:r>
      <w:r w:rsidR="00B725F0" w:rsidRPr="008074B4">
        <w:t xml:space="preserve"> In AI cases obviousness usually reduces to a single question: whether combining known machine-learning techniques would have been routine or instead </w:t>
      </w:r>
      <w:r w:rsidR="00B725F0" w:rsidRPr="005C0622">
        <w:t>reflect</w:t>
      </w:r>
      <w:r w:rsidRPr="005C0622">
        <w:t>s</w:t>
      </w:r>
      <w:r w:rsidR="00B725F0" w:rsidRPr="005C0622">
        <w:t xml:space="preserve"> a genuine inventive step. Section 112 turns to disclosure. The specification must describe the invention, enable a skilled artisan to make and use it, and define the claims with reasonable clarity.</w:t>
      </w:r>
      <w:r w:rsidR="00B73977" w:rsidRPr="005C0622">
        <w:rPr>
          <w:rStyle w:val="FootnoteReference"/>
        </w:rPr>
        <w:footnoteReference w:id="20"/>
      </w:r>
      <w:r w:rsidR="00B725F0" w:rsidRPr="005C0622">
        <w:t xml:space="preserve"> </w:t>
      </w:r>
      <w:r w:rsidR="009F3DD1" w:rsidRPr="005C0622">
        <w:t>These are three separate distinct requirements: the patent must be enabled, it must satisfy the written description requirement, and it must not be indefinite.</w:t>
      </w:r>
      <w:r w:rsidR="005C0622">
        <w:rPr>
          <w:rStyle w:val="FootnoteReference"/>
        </w:rPr>
        <w:footnoteReference w:id="21"/>
      </w:r>
      <w:r w:rsidR="009F3DD1" w:rsidRPr="005C0622">
        <w:t xml:space="preserve"> Failure to satisfy any of those requirements by itself</w:t>
      </w:r>
      <w:r w:rsidR="009F3DD1">
        <w:t xml:space="preserve"> is sufficient to invalidate the claim of the patent. </w:t>
      </w:r>
      <w:r w:rsidR="00B725F0" w:rsidRPr="008074B4">
        <w:t>Those requirements matter increasingly where a patent states a result at a high level of functional abstraction while leaving the implementation unspecified.</w:t>
      </w:r>
      <w:r w:rsidR="00B725F0" w:rsidRPr="008074B4">
        <w:rPr>
          <w:rStyle w:val="FootnoteReference"/>
        </w:rPr>
        <w:footnoteReference w:id="22"/>
      </w:r>
    </w:p>
    <w:p w14:paraId="04EA2431" w14:textId="0122158C" w:rsidR="00B725F0" w:rsidRPr="008074B4" w:rsidRDefault="00B725F0" w:rsidP="00D57A20">
      <w:pPr>
        <w:spacing w:line="480" w:lineRule="auto"/>
        <w:ind w:firstLine="720"/>
        <w:jc w:val="both"/>
      </w:pPr>
      <w:r w:rsidRPr="008074B4">
        <w:t xml:space="preserve">These doctrines are tested in several forums, </w:t>
      </w:r>
      <w:r w:rsidR="002D04EE">
        <w:t>with</w:t>
      </w:r>
      <w:r w:rsidRPr="008074B4">
        <w:t xml:space="preserve"> the district courts </w:t>
      </w:r>
      <w:r w:rsidR="002D04EE">
        <w:t>being</w:t>
      </w:r>
      <w:r w:rsidRPr="008074B4">
        <w:t xml:space="preserve"> the primary venue and the focus here. </w:t>
      </w:r>
      <w:r w:rsidR="00ED3E3B" w:rsidRPr="005C0622">
        <w:t>Most cases in the district court concern infringement, whereby a patentee can sue an alleged infringer for making, using, selling, offering to sell or importing the claimed invention</w:t>
      </w:r>
      <w:r w:rsidR="005E403C" w:rsidRPr="005C0622">
        <w:t xml:space="preserve"> in violation of the patentee’s property right</w:t>
      </w:r>
      <w:r w:rsidR="00ED3E3B" w:rsidRPr="005C0622">
        <w:t>.</w:t>
      </w:r>
      <w:r w:rsidR="005E403C" w:rsidRPr="005C0622">
        <w:rPr>
          <w:rStyle w:val="FootnoteReference"/>
        </w:rPr>
        <w:footnoteReference w:id="23"/>
      </w:r>
      <w:r w:rsidR="00ED3E3B" w:rsidRPr="005C0622">
        <w:t xml:space="preserve"> Alleged infringers can also be liable for </w:t>
      </w:r>
      <w:r w:rsidR="00ED3E3B" w:rsidRPr="005C0622">
        <w:lastRenderedPageBreak/>
        <w:t>indirect infringement if they induce or contribute to direct infringement of another party.</w:t>
      </w:r>
      <w:r w:rsidR="00ED3E3B">
        <w:t xml:space="preserve"> If found liable, infringers may have to pay money damages and could be enjoined from practicing the claimed invention</w:t>
      </w:r>
      <w:r w:rsidRPr="008074B4">
        <w:t>. Two specialized forums sit alongside the courts</w:t>
      </w:r>
      <w:r w:rsidR="002D04EE">
        <w:t>, with more limited scope on what can be reviewed</w:t>
      </w:r>
      <w:r w:rsidRPr="008074B4">
        <w:t>. The Patent Trial and Appeal Board</w:t>
      </w:r>
      <w:r w:rsidR="002D04EE">
        <w:t xml:space="preserve"> (“PTAB”) </w:t>
      </w:r>
      <w:r w:rsidRPr="008074B4">
        <w:t xml:space="preserve">hears post-grant proceedings, most prominently </w:t>
      </w:r>
      <w:r w:rsidRPr="008074B4">
        <w:rPr>
          <w:i/>
          <w:iCs/>
        </w:rPr>
        <w:t>inter partes review</w:t>
      </w:r>
      <w:r w:rsidRPr="008074B4">
        <w:t>, in a faster and usually cheaper forum confined largely to novelty and obviousness based primarily on paper prior art only.</w:t>
      </w:r>
      <w:r w:rsidRPr="008074B4">
        <w:rPr>
          <w:rStyle w:val="FootnoteReference"/>
        </w:rPr>
        <w:footnoteReference w:id="24"/>
      </w:r>
      <w:r w:rsidRPr="008074B4">
        <w:t xml:space="preserve"> </w:t>
      </w:r>
      <w:r w:rsidR="00ED3E3B">
        <w:t xml:space="preserve">It does not hear infringement cases; it only adjudicates limited validity disputes. </w:t>
      </w:r>
      <w:r w:rsidRPr="008074B4">
        <w:t>As such, the PTAB adjudicates few § 101</w:t>
      </w:r>
      <w:r w:rsidR="002D04EE">
        <w:t xml:space="preserve"> cases</w:t>
      </w:r>
      <w:r w:rsidRPr="008074B4">
        <w:t>.</w:t>
      </w:r>
      <w:r w:rsidRPr="008074B4">
        <w:rPr>
          <w:rStyle w:val="FootnoteReference"/>
        </w:rPr>
        <w:footnoteReference w:id="25"/>
      </w:r>
      <w:r w:rsidRPr="008074B4">
        <w:t xml:space="preserve"> The International Trade Commission</w:t>
      </w:r>
      <w:r w:rsidR="002D04EE">
        <w:t xml:space="preserve"> (“ITC”)</w:t>
      </w:r>
      <w:r w:rsidRPr="008074B4">
        <w:t xml:space="preserve"> hears disputes over imported goods under Section 337 of the Tariff Act, where the principal remedy is an exclusion order at the border rather than damages.</w:t>
      </w:r>
      <w:r w:rsidRPr="008074B4">
        <w:rPr>
          <w:rStyle w:val="FootnoteReference"/>
        </w:rPr>
        <w:footnoteReference w:id="26"/>
      </w:r>
      <w:r w:rsidRPr="008074B4">
        <w:t xml:space="preserve"> Across these forums, § 101 frequently decides whether a software- or data-driven invention survives early motions, §§ 102 and 103 test the technological advance, and § 112 increasingly asks whether the patentee disclosed how the AI system actually works.</w:t>
      </w:r>
    </w:p>
    <w:p w14:paraId="257B0DD2" w14:textId="77777777" w:rsidR="0056518F" w:rsidRPr="006A6423" w:rsidRDefault="00B725F0" w:rsidP="00D57A20">
      <w:pPr>
        <w:spacing w:before="200" w:after="100" w:line="480" w:lineRule="auto"/>
        <w:rPr>
          <w:b/>
          <w:bCs/>
        </w:rPr>
      </w:pPr>
      <w:r w:rsidRPr="006A6423">
        <w:rPr>
          <w:b/>
          <w:bCs/>
        </w:rPr>
        <w:t>B.  Why AI Inventions May Differ</w:t>
      </w:r>
    </w:p>
    <w:p w14:paraId="7CCDF698" w14:textId="12B707D5" w:rsidR="0056518F" w:rsidRPr="008074B4" w:rsidRDefault="0056518F" w:rsidP="00D57A20">
      <w:pPr>
        <w:spacing w:after="120" w:line="480" w:lineRule="auto"/>
        <w:ind w:firstLine="360"/>
        <w:jc w:val="both"/>
      </w:pPr>
      <w:r w:rsidRPr="008074B4">
        <w:t>AI inventions have rapidly increased in growth the past few years. Stanford</w:t>
      </w:r>
      <w:r w:rsidR="005E403C">
        <w:t xml:space="preserve"> University</w:t>
      </w:r>
      <w:r w:rsidRPr="008074B4">
        <w:t>’s AI Index reports that the number of AI patents granted globally rose from 3,833 in 2010 to 122,511 in 2023, with China holding nearly 70% of granted AI patents in 2023 against about 14% for the United States, even as the United States retained a clear lead in patent citation impact.</w:t>
      </w:r>
      <w:r w:rsidRPr="008074B4">
        <w:rPr>
          <w:rStyle w:val="FootnoteReference"/>
        </w:rPr>
        <w:footnoteReference w:id="27"/>
      </w:r>
      <w:r w:rsidRPr="008074B4">
        <w:t xml:space="preserve"> That </w:t>
      </w:r>
      <w:r w:rsidRPr="008074B4">
        <w:lastRenderedPageBreak/>
        <w:t>growth matters because the closest doctrinal analogue to AI—the software patent—has a cautionary litigation history. Software and business-method patents have long shown</w:t>
      </w:r>
      <w:r w:rsidR="001E7CAB">
        <w:t xml:space="preserve"> to have a</w:t>
      </w:r>
      <w:r w:rsidRPr="008074B4">
        <w:t xml:space="preserve"> higher invalidation risk and more volatile outcomes than other technologies, with little evidence that the patenting surge tracked research intensity.</w:t>
      </w:r>
      <w:r w:rsidRPr="008074B4">
        <w:rPr>
          <w:rStyle w:val="FootnoteReference"/>
        </w:rPr>
        <w:footnoteReference w:id="28"/>
      </w:r>
      <w:r w:rsidRPr="008074B4">
        <w:t xml:space="preserve"> To the degree AI patents resemble software patents in form and function, they </w:t>
      </w:r>
      <w:r w:rsidR="005E403C">
        <w:t>could</w:t>
      </w:r>
      <w:r w:rsidRPr="008074B4">
        <w:t xml:space="preserve"> inherit that vulnerability. </w:t>
      </w:r>
    </w:p>
    <w:p w14:paraId="540CAC4D" w14:textId="20CEA2B9" w:rsidR="00AA47F3" w:rsidRDefault="0037308B" w:rsidP="00D57A20">
      <w:pPr>
        <w:spacing w:after="120" w:line="480" w:lineRule="auto"/>
        <w:ind w:firstLine="360"/>
        <w:jc w:val="both"/>
      </w:pPr>
      <w:r>
        <w:t>While the</w:t>
      </w:r>
      <w:r w:rsidRPr="008074B4">
        <w:t xml:space="preserve"> Patent Act is technology neutral on its face, </w:t>
      </w:r>
      <w:r>
        <w:t xml:space="preserve">that does not necessarily mean that it </w:t>
      </w:r>
      <w:r w:rsidRPr="008074B4">
        <w:t>operate</w:t>
      </w:r>
      <w:r w:rsidR="0048317C">
        <w:t>s</w:t>
      </w:r>
      <w:r w:rsidRPr="008074B4">
        <w:t xml:space="preserve"> neutrally</w:t>
      </w:r>
      <w:r>
        <w:t xml:space="preserve"> in practice</w:t>
      </w:r>
      <w:r w:rsidRPr="008074B4">
        <w:t>.</w:t>
      </w:r>
      <w:r w:rsidRPr="008074B4">
        <w:rPr>
          <w:rStyle w:val="FootnoteReference"/>
        </w:rPr>
        <w:footnoteReference w:id="29"/>
      </w:r>
      <w:r w:rsidRPr="008074B4">
        <w:t xml:space="preserve"> </w:t>
      </w:r>
      <w:r w:rsidR="00C75C39">
        <w:t>AI patents may differ from non-AI patents in how the patented features of the invention are written up in the claims</w:t>
      </w:r>
      <w:r w:rsidR="0056518F" w:rsidRPr="008074B4">
        <w:t>. Claims are the operative sentences at the end of a patent that fix the boundaries of the inventor’s exclusive rights; courts liken them to the metes and bounds of real property.</w:t>
      </w:r>
      <w:r w:rsidR="0056518F" w:rsidRPr="008074B4">
        <w:rPr>
          <w:rStyle w:val="FootnoteReference"/>
        </w:rPr>
        <w:footnoteReference w:id="30"/>
      </w:r>
      <w:r w:rsidR="0056518F" w:rsidRPr="008074B4">
        <w:t xml:space="preserve"> A traditional claim </w:t>
      </w:r>
      <w:r>
        <w:t>for a mechanical invention may recite a</w:t>
      </w:r>
      <w:r w:rsidR="0056518F" w:rsidRPr="008074B4">
        <w:t xml:space="preserve"> concrete structure such as a gear or fastener. AI claims </w:t>
      </w:r>
      <w:r>
        <w:t xml:space="preserve">are </w:t>
      </w:r>
      <w:r w:rsidR="005E403C">
        <w:t xml:space="preserve">often </w:t>
      </w:r>
      <w:r>
        <w:t xml:space="preserve">worded differently. They typically </w:t>
      </w:r>
      <w:r w:rsidR="0056518F" w:rsidRPr="008074B4">
        <w:t>lean on functional language, describing what a system does rather than the structure that does it</w:t>
      </w:r>
      <w:r>
        <w:t xml:space="preserve">. For example, </w:t>
      </w:r>
      <w:r w:rsidR="0056518F" w:rsidRPr="008074B4">
        <w:t>a claim might recite a system “configured to classify images using a trained model” without specifying the model’s architecture or how it was trained. Functional claiming is not new</w:t>
      </w:r>
      <w:r w:rsidR="00F036A6">
        <w:t xml:space="preserve">. </w:t>
      </w:r>
      <w:r w:rsidR="0056518F" w:rsidRPr="008074B4">
        <w:t xml:space="preserve"> </w:t>
      </w:r>
      <w:r w:rsidR="00F036A6">
        <w:t>C</w:t>
      </w:r>
      <w:r w:rsidR="0056518F" w:rsidRPr="008074B4">
        <w:t xml:space="preserve">ourts have </w:t>
      </w:r>
      <w:r w:rsidR="00F036A6">
        <w:t>been more he</w:t>
      </w:r>
      <w:r w:rsidR="00D57A20">
        <w:t xml:space="preserve">sitant </w:t>
      </w:r>
      <w:r w:rsidR="00F036A6">
        <w:t>to uphold patent claims with functional language</w:t>
      </w:r>
      <w:r w:rsidR="0056518F" w:rsidRPr="008074B4">
        <w:t>, fearing that it lets a patentee capture broad territory without teaching others how to build the invention.</w:t>
      </w:r>
      <w:r w:rsidR="0056518F" w:rsidRPr="008074B4">
        <w:rPr>
          <w:rStyle w:val="FootnoteReference"/>
        </w:rPr>
        <w:footnoteReference w:id="31"/>
      </w:r>
      <w:r w:rsidR="0056518F" w:rsidRPr="008074B4">
        <w:t xml:space="preserve"> </w:t>
      </w:r>
    </w:p>
    <w:p w14:paraId="6F6A63AF" w14:textId="1A68A664" w:rsidR="004018E4" w:rsidRPr="008074B4" w:rsidRDefault="00AA47F3" w:rsidP="003D7025">
      <w:pPr>
        <w:spacing w:line="480" w:lineRule="auto"/>
        <w:ind w:firstLine="360"/>
        <w:jc w:val="both"/>
      </w:pPr>
      <w:r>
        <w:t xml:space="preserve">These drafting features of an AI invention, however, pose potential problems with satisfying statutory requirements for sustaining validity. </w:t>
      </w:r>
      <w:r w:rsidR="0048317C" w:rsidRPr="008074B4">
        <w:t>The disclosure requirements</w:t>
      </w:r>
      <w:r>
        <w:t xml:space="preserve"> of </w:t>
      </w:r>
      <w:r w:rsidR="005C0622">
        <w:t>section</w:t>
      </w:r>
      <w:r w:rsidRPr="008074B4">
        <w:t xml:space="preserve"> 112</w:t>
      </w:r>
      <w:r w:rsidR="0048317C" w:rsidRPr="008074B4">
        <w:t xml:space="preserve"> ask </w:t>
      </w:r>
      <w:r w:rsidR="0048317C" w:rsidRPr="008074B4">
        <w:lastRenderedPageBreak/>
        <w:t>whether the specification</w:t>
      </w:r>
      <w:r w:rsidR="0048317C">
        <w:t xml:space="preserve"> of the patent</w:t>
      </w:r>
      <w:r w:rsidR="0048317C" w:rsidRPr="008074B4">
        <w:t xml:space="preserve"> teaches a skilled reader to “make and use” the full scope of what is claimed</w:t>
      </w:r>
      <w:r w:rsidR="0048317C">
        <w:t>.</w:t>
      </w:r>
      <w:r w:rsidR="005C0622">
        <w:rPr>
          <w:rStyle w:val="FootnoteReference"/>
        </w:rPr>
        <w:footnoteReference w:id="32"/>
      </w:r>
      <w:r w:rsidR="0048317C">
        <w:t xml:space="preserve"> </w:t>
      </w:r>
      <w:r w:rsidR="0048317C" w:rsidRPr="008074B4">
        <w:t xml:space="preserve">AI inventions strain that </w:t>
      </w:r>
      <w:r w:rsidR="0048317C">
        <w:t xml:space="preserve">disclosure </w:t>
      </w:r>
      <w:r w:rsidR="0048317C" w:rsidRPr="008074B4">
        <w:t xml:space="preserve">demand precisely because their key performance characteristics depend on training data and optimization that the patent </w:t>
      </w:r>
      <w:r w:rsidR="00C75C39">
        <w:t>might not disclose</w:t>
      </w:r>
      <w:r w:rsidR="0048317C" w:rsidRPr="008074B4">
        <w:t>.</w:t>
      </w:r>
      <w:r w:rsidR="0048317C" w:rsidRPr="008074B4">
        <w:rPr>
          <w:rStyle w:val="FootnoteReference"/>
        </w:rPr>
        <w:footnoteReference w:id="33"/>
      </w:r>
      <w:r w:rsidR="0048317C" w:rsidRPr="008074B4">
        <w:t xml:space="preserve"> </w:t>
      </w:r>
      <w:r w:rsidR="00C75C39">
        <w:t>Many</w:t>
      </w:r>
      <w:r w:rsidR="0056518F" w:rsidRPr="008074B4">
        <w:t xml:space="preserve"> AI systems </w:t>
      </w:r>
      <w:r w:rsidR="00C75C39">
        <w:t>may be</w:t>
      </w:r>
      <w:r w:rsidR="0056518F" w:rsidRPr="008074B4">
        <w:t xml:space="preserve"> defined by data, training method,</w:t>
      </w:r>
      <w:r w:rsidR="00C75C39">
        <w:t xml:space="preserve"> or</w:t>
      </w:r>
      <w:r w:rsidR="0056518F" w:rsidRPr="008074B4">
        <w:t xml:space="preserve"> performance rather than by any fixed architecture, so their claims sit close to the line between permissible functional description and impermissible abstraction.</w:t>
      </w:r>
      <w:r w:rsidR="0056518F" w:rsidRPr="008074B4">
        <w:rPr>
          <w:rStyle w:val="FootnoteReference"/>
        </w:rPr>
        <w:footnoteReference w:id="34"/>
      </w:r>
      <w:r w:rsidR="0037308B">
        <w:t xml:space="preserve"> </w:t>
      </w:r>
      <w:r w:rsidR="0048317C" w:rsidRPr="0048317C">
        <w:t>The Supreme Court’s</w:t>
      </w:r>
      <w:r w:rsidR="0048317C">
        <w:rPr>
          <w:i/>
          <w:iCs/>
        </w:rPr>
        <w:t xml:space="preserve"> </w:t>
      </w:r>
      <w:r w:rsidR="0056518F" w:rsidRPr="008074B4">
        <w:t>revival of enablement scrutiny for result-defined claims bears directly on AI patents that recite a desired output while leaving the technical means unspecified.</w:t>
      </w:r>
      <w:r w:rsidR="0056518F" w:rsidRPr="008074B4">
        <w:rPr>
          <w:rStyle w:val="FootnoteReference"/>
        </w:rPr>
        <w:footnoteReference w:id="35"/>
      </w:r>
      <w:r w:rsidR="0056518F" w:rsidRPr="008074B4">
        <w:t xml:space="preserve"> Compounding the problem, much of an AI system’s genuine know-how such as training data is kept as a trade secret rather than committed to the public record, widening the gap between what is claimed and what is disclosed</w:t>
      </w:r>
      <w:r w:rsidR="00C75C39">
        <w:t>, creating potential obstacles to sustaining the patent’s validity</w:t>
      </w:r>
      <w:r w:rsidR="0056518F" w:rsidRPr="008074B4">
        <w:t>.</w:t>
      </w:r>
      <w:r w:rsidR="0056518F" w:rsidRPr="008074B4">
        <w:rPr>
          <w:rStyle w:val="FootnoteReference"/>
        </w:rPr>
        <w:footnoteReference w:id="36"/>
      </w:r>
      <w:r w:rsidR="00F036A6">
        <w:t xml:space="preserve"> </w:t>
      </w:r>
      <w:r w:rsidR="0056518F" w:rsidRPr="008074B4">
        <w:t xml:space="preserve">The same features expose AI claims under </w:t>
      </w:r>
      <w:r w:rsidR="005C0622">
        <w:t>section</w:t>
      </w:r>
      <w:r w:rsidR="0056518F" w:rsidRPr="008074B4">
        <w:t xml:space="preserve"> 101. Inventions that turn on algorithmic processing, mathematical models, or data manipulation read to many courts as abstract results implemented on a generic computer—the very profile </w:t>
      </w:r>
      <w:r w:rsidR="00664D7A">
        <w:t xml:space="preserve">of an invention </w:t>
      </w:r>
      <w:r w:rsidR="0056518F" w:rsidRPr="008074B4">
        <w:t xml:space="preserve">that drew invalidation after </w:t>
      </w:r>
      <w:r w:rsidR="0056518F" w:rsidRPr="008074B4">
        <w:rPr>
          <w:i/>
          <w:iCs/>
        </w:rPr>
        <w:t>Alice</w:t>
      </w:r>
      <w:r w:rsidR="0056518F" w:rsidRPr="008074B4">
        <w:t>.</w:t>
      </w:r>
      <w:r w:rsidR="0056518F" w:rsidRPr="008074B4">
        <w:rPr>
          <w:rStyle w:val="FootnoteReference"/>
        </w:rPr>
        <w:footnoteReference w:id="37"/>
      </w:r>
      <w:r w:rsidR="0056518F" w:rsidRPr="008074B4">
        <w:t xml:space="preserve"> The Patent Office has acknowledged the difficulty, issuing guidance in 2024 directed specifically at the eligibility of AI-assisted inventions.</w:t>
      </w:r>
      <w:r w:rsidR="0056518F" w:rsidRPr="008074B4">
        <w:rPr>
          <w:rStyle w:val="FootnoteReference"/>
        </w:rPr>
        <w:footnoteReference w:id="38"/>
      </w:r>
      <w:r w:rsidR="0056518F" w:rsidRPr="008074B4">
        <w:t xml:space="preserve"> The </w:t>
      </w:r>
      <w:r w:rsidR="0056518F" w:rsidRPr="008074B4">
        <w:lastRenderedPageBreak/>
        <w:t>boundary problem extends even to who may hold the patent: the Federal Circuit has held that an AI system cannot be named an inventor, marking one more doctrinal seam that AI presses against.</w:t>
      </w:r>
      <w:r w:rsidR="0056518F" w:rsidRPr="008074B4">
        <w:rPr>
          <w:rStyle w:val="FootnoteReference"/>
        </w:rPr>
        <w:footnoteReference w:id="39"/>
      </w:r>
    </w:p>
    <w:p w14:paraId="5F7F2888" w14:textId="5279C9B1" w:rsidR="004018E4" w:rsidRPr="008074B4" w:rsidRDefault="0056518F" w:rsidP="003D7025">
      <w:pPr>
        <w:spacing w:line="480" w:lineRule="auto"/>
        <w:ind w:firstLine="360"/>
        <w:jc w:val="both"/>
      </w:pPr>
      <w:r w:rsidRPr="008074B4">
        <w:t xml:space="preserve">Novelty and obviousness </w:t>
      </w:r>
      <w:r w:rsidR="00F036A6">
        <w:t xml:space="preserve">under </w:t>
      </w:r>
      <w:r w:rsidR="005C0622">
        <w:t>sections</w:t>
      </w:r>
      <w:r w:rsidR="00F036A6" w:rsidRPr="008074B4">
        <w:t xml:space="preserve"> 1</w:t>
      </w:r>
      <w:r w:rsidR="00F036A6">
        <w:t>02 and</w:t>
      </w:r>
      <w:r w:rsidR="00F036A6" w:rsidRPr="008074B4">
        <w:t xml:space="preserve"> 1</w:t>
      </w:r>
      <w:r w:rsidR="00F036A6">
        <w:t xml:space="preserve">03 </w:t>
      </w:r>
      <w:r w:rsidRPr="008074B4">
        <w:t>cut in a subtler direction</w:t>
      </w:r>
      <w:r w:rsidR="00F036A6">
        <w:t xml:space="preserve"> for AI inventions</w:t>
      </w:r>
      <w:r w:rsidRPr="008074B4">
        <w:t>. AI research advances quickly and builds openly on published algorithms and shared architectures, which may enlarge the pool of relevant prior art and make a claimed advance look like a routine combination of known techniques.</w:t>
      </w:r>
      <w:r w:rsidRPr="008074B4">
        <w:rPr>
          <w:rStyle w:val="FootnoteReference"/>
        </w:rPr>
        <w:footnoteReference w:id="40"/>
      </w:r>
      <w:r w:rsidRPr="008074B4">
        <w:t xml:space="preserve"> The </w:t>
      </w:r>
      <w:r w:rsidR="00F036A6">
        <w:t xml:space="preserve">level </w:t>
      </w:r>
      <w:r w:rsidRPr="008074B4">
        <w:t>of ordinary skill is itself moving, because AI is both the invention under examination and a tool that ordinary practitioners increasingly use, so what once required invention may now be obvious to try.</w:t>
      </w:r>
      <w:r w:rsidRPr="008074B4">
        <w:rPr>
          <w:rStyle w:val="FootnoteReference"/>
        </w:rPr>
        <w:footnoteReference w:id="41"/>
      </w:r>
      <w:r w:rsidRPr="008074B4">
        <w:t xml:space="preserve"> At the same time, many AI inventions involve specialized implementations that genuinely distinguish them from what came before. </w:t>
      </w:r>
    </w:p>
    <w:p w14:paraId="1CEF2405" w14:textId="656AFB06" w:rsidR="0056518F" w:rsidRPr="008074B4" w:rsidRDefault="0056518F" w:rsidP="00D57A20">
      <w:pPr>
        <w:spacing w:after="120" w:line="480" w:lineRule="auto"/>
        <w:ind w:firstLine="360"/>
        <w:jc w:val="both"/>
      </w:pPr>
      <w:r w:rsidRPr="008074B4">
        <w:t xml:space="preserve">AI </w:t>
      </w:r>
      <w:r w:rsidR="00F036A6">
        <w:t>inventions are</w:t>
      </w:r>
      <w:r w:rsidRPr="008074B4">
        <w:t xml:space="preserve"> not</w:t>
      </w:r>
      <w:r w:rsidR="00F036A6">
        <w:t xml:space="preserve"> also</w:t>
      </w:r>
      <w:r w:rsidRPr="008074B4">
        <w:t xml:space="preserve"> monolithic. Patents on hardware acceleration</w:t>
      </w:r>
      <w:r w:rsidR="00F036A6">
        <w:t xml:space="preserve"> or robotics</w:t>
      </w:r>
      <w:r w:rsidRPr="008074B4">
        <w:t xml:space="preserve"> carry substantial structural detail and resemble traditional engineering patents</w:t>
      </w:r>
      <w:r w:rsidR="00F036A6">
        <w:t xml:space="preserve"> while</w:t>
      </w:r>
      <w:r w:rsidRPr="008074B4">
        <w:t xml:space="preserve"> patents on data processing and predictive modeling resemble the business-method and software patents that </w:t>
      </w:r>
      <w:r w:rsidRPr="008074B4">
        <w:rPr>
          <w:i/>
          <w:iCs/>
        </w:rPr>
        <w:t>Alice</w:t>
      </w:r>
      <w:r w:rsidRPr="008074B4">
        <w:t xml:space="preserve"> hit hardest.</w:t>
      </w:r>
      <w:r w:rsidRPr="008074B4">
        <w:rPr>
          <w:rStyle w:val="FootnoteReference"/>
        </w:rPr>
        <w:footnoteReference w:id="42"/>
      </w:r>
      <w:r w:rsidRPr="008074B4">
        <w:t xml:space="preserve"> That split poses an empirical question this Article takes up directly: whether any AI disadvantage runs across the whole category or concentrates in particular subfields.</w:t>
      </w:r>
      <w:r w:rsidR="00F036A6">
        <w:t xml:space="preserve"> </w:t>
      </w:r>
      <w:r w:rsidRPr="008074B4">
        <w:t>For all the theoretical attention these features have drawn, large-scale evidence on how AI patents actually fare in litigation is scarce</w:t>
      </w:r>
      <w:r w:rsidR="00F036A6">
        <w:t xml:space="preserve">. </w:t>
      </w:r>
      <w:r w:rsidRPr="008074B4">
        <w:t xml:space="preserve">The prior work thus yields a clear but incomplete expectation. Because </w:t>
      </w:r>
      <w:r w:rsidRPr="008074B4">
        <w:lastRenderedPageBreak/>
        <w:t>AI patents share functional claiming and algorithmic subject matter with software patents, they should draw elevated scrutiny under current doctrine. Yet AI’s diversity, and its growing structural embodiment in hardware and robotics, could soften that effect in some subfields. Which tendency dominates is an empirical matter, and it is the question I take up next.</w:t>
      </w:r>
    </w:p>
    <w:p w14:paraId="1D459B13" w14:textId="77777777" w:rsidR="00B725F0" w:rsidRPr="008074B4" w:rsidRDefault="00B725F0" w:rsidP="00D57A20">
      <w:pPr>
        <w:spacing w:before="280" w:after="160" w:line="480" w:lineRule="auto"/>
        <w:ind w:left="2160" w:firstLine="720"/>
      </w:pPr>
      <w:r w:rsidRPr="008074B4">
        <w:rPr>
          <w:b/>
          <w:bCs/>
          <w:smallCaps/>
        </w:rPr>
        <w:t>II.  Data, Definitions, and Design</w:t>
      </w:r>
    </w:p>
    <w:p w14:paraId="125AF7C7" w14:textId="77777777" w:rsidR="00B725F0" w:rsidRPr="006A6423" w:rsidRDefault="00B725F0" w:rsidP="00D57A20">
      <w:pPr>
        <w:spacing w:before="200" w:after="100" w:line="480" w:lineRule="auto"/>
      </w:pPr>
      <w:r w:rsidRPr="006A6423">
        <w:rPr>
          <w:b/>
          <w:bCs/>
        </w:rPr>
        <w:t>A.  The District Court Dataset</w:t>
      </w:r>
    </w:p>
    <w:p w14:paraId="46E058E5" w14:textId="376637C2" w:rsidR="00B725F0" w:rsidRPr="008074B4" w:rsidRDefault="00B725F0" w:rsidP="00D57A20">
      <w:pPr>
        <w:spacing w:line="480" w:lineRule="auto"/>
        <w:ind w:firstLine="720"/>
        <w:jc w:val="both"/>
      </w:pPr>
      <w:r w:rsidRPr="008074B4">
        <w:t>I built the litigation data from the ground up, beginning with cases filed in 2000.</w:t>
      </w:r>
      <w:r w:rsidRPr="008074B4">
        <w:rPr>
          <w:rStyle w:val="FootnoteReference"/>
        </w:rPr>
        <w:footnoteReference w:id="43"/>
      </w:r>
      <w:r w:rsidRPr="008074B4">
        <w:t xml:space="preserve"> I started with the Federal Judicial Center’s Integrated Data Base, drawing nature-of-suit codes 830 and 835 from PACER. I then confirmed and supplemented those codings from other sources.</w:t>
      </w:r>
      <w:r w:rsidRPr="008074B4">
        <w:rPr>
          <w:rStyle w:val="FootnoteReference"/>
        </w:rPr>
        <w:footnoteReference w:id="44"/>
      </w:r>
      <w:r w:rsidRPr="008074B4">
        <w:t xml:space="preserve"> I reviewed each case independently to fix its operative disposition, and where my reading diverged from a secondary source, I coded from the underlying documents. Patent litigation clusters around repeat filers and campaign-style enforcement, especially in high-volume venues, so many filings are duplicative.</w:t>
      </w:r>
      <w:r w:rsidRPr="008074B4">
        <w:rPr>
          <w:rStyle w:val="FootnoteReference"/>
        </w:rPr>
        <w:footnoteReference w:id="45"/>
      </w:r>
      <w:r w:rsidRPr="008074B4">
        <w:t xml:space="preserve"> Where they involved different patents or diverged procedurally, I examined them individually in detail. The most labor-intensive were cases of mixed disposition, for example, cases in which one patent fell on summary judgment while others went to trial</w:t>
      </w:r>
      <w:r w:rsidR="004772FD">
        <w:t xml:space="preserve"> or where some claims were disposed of by pre-trial motions, while others were decided at trial</w:t>
      </w:r>
      <w:r w:rsidRPr="008074B4">
        <w:t>.</w:t>
      </w:r>
    </w:p>
    <w:p w14:paraId="27BF2D99" w14:textId="194CEE7F" w:rsidR="00B725F0" w:rsidRPr="008074B4" w:rsidRDefault="00E20C1E" w:rsidP="00D57A20">
      <w:pPr>
        <w:spacing w:line="480" w:lineRule="auto"/>
        <w:ind w:firstLine="720"/>
        <w:jc w:val="both"/>
      </w:pPr>
      <w:r w:rsidRPr="008074B4">
        <w:lastRenderedPageBreak/>
        <w:t>The full database contains much supplementary information on each patent and case. I added party characteristics from the Stanford NPE Litigation Database</w:t>
      </w:r>
      <w:r w:rsidR="004772FD">
        <w:t xml:space="preserve"> and other sources</w:t>
      </w:r>
      <w:r w:rsidRPr="008074B4">
        <w:t>, classifying plaintiffs by entity type</w:t>
      </w:r>
      <w:r w:rsidR="004772FD">
        <w:t xml:space="preserve"> to identify patentees that were “non-practicing entities</w:t>
      </w:r>
      <w:r w:rsidRPr="008074B4">
        <w:t>.</w:t>
      </w:r>
      <w:r w:rsidR="004772FD">
        <w:t>”</w:t>
      </w:r>
      <w:r w:rsidRPr="008074B4">
        <w:rPr>
          <w:rStyle w:val="FootnoteReference"/>
        </w:rPr>
        <w:footnoteReference w:id="46"/>
      </w:r>
      <w:r w:rsidRPr="008074B4">
        <w:t xml:space="preserve"> Patent-level characteristics came from USPTO</w:t>
      </w:r>
      <w:r w:rsidR="004772FD">
        <w:t xml:space="preserve">’s </w:t>
      </w:r>
      <w:r w:rsidRPr="008074B4">
        <w:t>PatentsView data: issuance date, number of claims, assignee nationality, backward and forward citation counts, and other information</w:t>
      </w:r>
      <w:r w:rsidR="004772FD">
        <w:t xml:space="preserve"> discussed later in the Article</w:t>
      </w:r>
      <w:r w:rsidRPr="008074B4">
        <w:t>.</w:t>
      </w:r>
      <w:r w:rsidRPr="008074B4">
        <w:rPr>
          <w:rStyle w:val="FootnoteReference"/>
        </w:rPr>
        <w:footnoteReference w:id="47"/>
      </w:r>
      <w:r w:rsidRPr="008074B4">
        <w:t xml:space="preserve"> </w:t>
      </w:r>
    </w:p>
    <w:p w14:paraId="6C450957" w14:textId="6924F9D9" w:rsidR="00B725F0" w:rsidRPr="008074B4" w:rsidRDefault="00E20C1E" w:rsidP="00D57A20">
      <w:pPr>
        <w:spacing w:line="480" w:lineRule="auto"/>
        <w:ind w:firstLine="720"/>
        <w:jc w:val="both"/>
      </w:pPr>
      <w:r w:rsidRPr="008074B4">
        <w:t xml:space="preserve">The coding </w:t>
      </w:r>
      <w:r w:rsidR="00F036A6">
        <w:t xml:space="preserve">of the case </w:t>
      </w:r>
      <w:r w:rsidRPr="008074B4">
        <w:t>goes deeper than</w:t>
      </w:r>
      <w:r w:rsidR="00F036A6">
        <w:t xml:space="preserve"> just coding for</w:t>
      </w:r>
      <w:r w:rsidRPr="008074B4">
        <w:t xml:space="preserve"> the disposition. For each case I recorded whether the matter was a declaratory-judgment action, whether it was appealed, and the outcome of major motion</w:t>
      </w:r>
      <w:r w:rsidR="00F036A6">
        <w:t xml:space="preserve">s, </w:t>
      </w:r>
      <w:r w:rsidRPr="008074B4">
        <w:t>with jury and bench dispositions kept separate.</w:t>
      </w:r>
      <w:r w:rsidRPr="008074B4">
        <w:rPr>
          <w:rStyle w:val="FootnoteReference"/>
        </w:rPr>
        <w:t xml:space="preserve"> </w:t>
      </w:r>
      <w:r w:rsidRPr="008074B4">
        <w:rPr>
          <w:rStyle w:val="FootnoteReference"/>
        </w:rPr>
        <w:footnoteReference w:id="48"/>
      </w:r>
      <w:r w:rsidRPr="008074B4">
        <w:t xml:space="preserve"> I coded the substantive patent issues primarily from the documents and cross-checked them against other classifications, capturing infringement, anticipation, obviousness, subject matter, written description, enablement, best mode, definiteness, derivation, correction of inventorship, double patenting, and inequitable conduct, among others. </w:t>
      </w:r>
      <w:r w:rsidR="004772FD">
        <w:t xml:space="preserve">As a robustness check, I downloaded most written opinions, judgments and other documents from both the district court and the Federal Circuit. I then uploaded them to both Claude and Codex to create competing summaries of these documents to cross-check my own coding of the key information and dispositions. </w:t>
      </w:r>
      <w:r w:rsidRPr="008074B4">
        <w:t>I also flagged the cases in which claim construction was effectively the only disputed issue. Remedies including injunctive relief and damages were recorded as applicable.</w:t>
      </w:r>
      <w:r w:rsidRPr="008074B4">
        <w:rPr>
          <w:rStyle w:val="FootnoteReference"/>
        </w:rPr>
        <w:footnoteReference w:id="49"/>
      </w:r>
      <w:r w:rsidRPr="008074B4">
        <w:t xml:space="preserve"> </w:t>
      </w:r>
    </w:p>
    <w:p w14:paraId="2F8448BD" w14:textId="77777777" w:rsidR="00B725F0" w:rsidRPr="006A6423" w:rsidRDefault="00B725F0" w:rsidP="00D57A20">
      <w:pPr>
        <w:spacing w:before="200" w:after="100" w:line="480" w:lineRule="auto"/>
      </w:pPr>
      <w:r w:rsidRPr="006A6423">
        <w:rPr>
          <w:b/>
          <w:bCs/>
        </w:rPr>
        <w:lastRenderedPageBreak/>
        <w:t>B.  Defining an AI Patent</w:t>
      </w:r>
    </w:p>
    <w:p w14:paraId="36388C72" w14:textId="2C7856A8" w:rsidR="0028399B" w:rsidRDefault="00B725F0" w:rsidP="00D57A20">
      <w:pPr>
        <w:spacing w:line="480" w:lineRule="auto"/>
        <w:ind w:firstLine="720"/>
        <w:jc w:val="both"/>
      </w:pPr>
      <w:r w:rsidRPr="008074B4">
        <w:t xml:space="preserve">With the corpus in hand, I had to decide whether each case involved an AI patent. That is harder than it sounds, because there is no accepted definition of an AI invention, </w:t>
      </w:r>
      <w:r w:rsidR="00F036A6">
        <w:t xml:space="preserve">as </w:t>
      </w:r>
      <w:r w:rsidRPr="008074B4">
        <w:t xml:space="preserve">the </w:t>
      </w:r>
      <w:r w:rsidR="005000CC">
        <w:t>Organization for Economics Co-Cooperation and Development (</w:t>
      </w:r>
      <w:r w:rsidRPr="008074B4">
        <w:t>OECD</w:t>
      </w:r>
      <w:r w:rsidR="005000CC">
        <w:t>)</w:t>
      </w:r>
      <w:r w:rsidRPr="008074B4">
        <w:t xml:space="preserve"> recently noted in its report on AI.</w:t>
      </w:r>
      <w:r w:rsidRPr="008074B4">
        <w:rPr>
          <w:rStyle w:val="FootnoteReference"/>
        </w:rPr>
        <w:footnoteReference w:id="50"/>
      </w:r>
      <w:r w:rsidR="00F036A6">
        <w:t xml:space="preserve"> </w:t>
      </w:r>
      <w:r w:rsidR="0028399B">
        <w:t xml:space="preserve">Further, the definition of what constitutes an AI invention is itself a moving target. </w:t>
      </w:r>
      <w:r w:rsidR="0028399B" w:rsidRPr="008074B4">
        <w:t>The OECD revised its definition of an AI system in 2024,</w:t>
      </w:r>
      <w:r w:rsidR="0028399B" w:rsidRPr="008074B4">
        <w:rPr>
          <w:rStyle w:val="FootnoteReference"/>
        </w:rPr>
        <w:footnoteReference w:id="51"/>
      </w:r>
      <w:r w:rsidR="0028399B" w:rsidRPr="008074B4">
        <w:t xml:space="preserve"> and the USPTO has continued to refine how it identifies AI, both through examination guidance directed at AI eligibility and through updates that extend the dataset I use here to more recently issued patents.</w:t>
      </w:r>
      <w:r w:rsidR="0028399B" w:rsidRPr="008074B4">
        <w:rPr>
          <w:rStyle w:val="FootnoteReference"/>
        </w:rPr>
        <w:footnoteReference w:id="52"/>
      </w:r>
      <w:r w:rsidR="0028399B" w:rsidRPr="008074B4">
        <w:t xml:space="preserve"> Because the boundary of the category keeps shifting, a measure that fixed AI to one definition would inherit whatever choices the latest revision happened to make.</w:t>
      </w:r>
      <w:r w:rsidR="005000CC">
        <w:t xml:space="preserve"> We are continuing to learn more and better ways of defining what constitutes an “AI invention.”</w:t>
      </w:r>
    </w:p>
    <w:p w14:paraId="6C99FEF3" w14:textId="6C86E2EF" w:rsidR="00A12590" w:rsidRDefault="0028399B" w:rsidP="00D57A20">
      <w:pPr>
        <w:spacing w:line="480" w:lineRule="auto"/>
        <w:ind w:firstLine="720"/>
        <w:jc w:val="both"/>
      </w:pPr>
      <w:r>
        <w:t xml:space="preserve">To deal with that concern, I code for an AI invention in several different ways. </w:t>
      </w:r>
      <w:r w:rsidR="00B725F0" w:rsidRPr="008074B4">
        <w:t>I</w:t>
      </w:r>
      <w:r>
        <w:t xml:space="preserve"> rely</w:t>
      </w:r>
      <w:r w:rsidR="00B725F0" w:rsidRPr="008074B4">
        <w:t xml:space="preserve"> principally on the USPTO Artificial Intelligence Patent Dataset, which applied a machine-learning framework to identify AI-related inventions across U.S. patents issued between 1976 and 2023.</w:t>
      </w:r>
      <w:r w:rsidR="00B725F0" w:rsidRPr="008074B4">
        <w:rPr>
          <w:rStyle w:val="FootnoteReference"/>
        </w:rPr>
        <w:footnoteReference w:id="53"/>
      </w:r>
      <w:r w:rsidR="00B725F0" w:rsidRPr="008074B4">
        <w:t xml:space="preserve"> </w:t>
      </w:r>
      <w:r w:rsidR="0033330D" w:rsidRPr="008074B4">
        <w:lastRenderedPageBreak/>
        <w:t>The USPTO trained its classifier on textual features drawn from abstracts and claims together with backward and forward citation information, using a seed set of confirmed AI documents and an anti-seed of negative examples to supervise learning over the broader corpus</w:t>
      </w:r>
      <w:r w:rsidR="00810CCC">
        <w:t>. I</w:t>
      </w:r>
      <w:r w:rsidR="0033330D" w:rsidRPr="008074B4">
        <w:t>t</w:t>
      </w:r>
      <w:r w:rsidR="00810CCC">
        <w:t xml:space="preserve"> then</w:t>
      </w:r>
      <w:r w:rsidR="0033330D" w:rsidRPr="008074B4">
        <w:t xml:space="preserve"> checked the model against a sample of classifications made by examiners with AI expertise.</w:t>
      </w:r>
      <w:r w:rsidR="0033330D" w:rsidRPr="008074B4">
        <w:rPr>
          <w:rStyle w:val="FootnoteReference"/>
        </w:rPr>
        <w:footnoteReference w:id="54"/>
      </w:r>
      <w:r w:rsidR="0033330D" w:rsidRPr="008074B4">
        <w:t xml:space="preserve"> The methodology builds on the automated-landscaping approach but extends it with claim-level analysis to capture the technical and legal scope of the invention more precisely. The USPTO also updated its model in 2023 to capture more AI patents.</w:t>
      </w:r>
      <w:r w:rsidR="0033330D" w:rsidRPr="008074B4">
        <w:rPr>
          <w:rStyle w:val="FootnoteReference"/>
        </w:rPr>
        <w:footnoteReference w:id="55"/>
      </w:r>
      <w:r w:rsidR="0033330D" w:rsidRPr="008074B4">
        <w:t xml:space="preserve"> That the model relies on claim and citation features rather than keywords alone is part of why it generalizes across fields</w:t>
      </w:r>
      <w:r w:rsidR="00810CCC">
        <w:t>. I</w:t>
      </w:r>
      <w:r w:rsidR="0033330D" w:rsidRPr="008074B4">
        <w:t>t is also why a competing keyword- or class-based database</w:t>
      </w:r>
      <w:r w:rsidR="00810CCC">
        <w:t xml:space="preserve"> like that of the OECD</w:t>
      </w:r>
      <w:r w:rsidR="0033330D" w:rsidRPr="008074B4">
        <w:t xml:space="preserve"> can disagree with it so sharply.</w:t>
      </w:r>
      <w:r w:rsidR="00AA094B">
        <w:rPr>
          <w:rStyle w:val="FootnoteReference"/>
        </w:rPr>
        <w:footnoteReference w:id="56"/>
      </w:r>
      <w:r w:rsidR="0033330D" w:rsidRPr="008074B4">
        <w:t xml:space="preserve"> </w:t>
      </w:r>
    </w:p>
    <w:p w14:paraId="0FBE7EA6" w14:textId="7BE7850D" w:rsidR="0028399B" w:rsidRPr="008074B4" w:rsidRDefault="00A12590" w:rsidP="00D57A20">
      <w:pPr>
        <w:spacing w:line="480" w:lineRule="auto"/>
        <w:ind w:firstLine="720"/>
        <w:jc w:val="both"/>
      </w:pPr>
      <w:r>
        <w:t>The USPTO database then</w:t>
      </w:r>
      <w:r w:rsidR="00B725F0" w:rsidRPr="008074B4">
        <w:t xml:space="preserve"> assigns each patent a probability between 0 and 1 </w:t>
      </w:r>
      <w:r w:rsidR="0028399B">
        <w:t>and it</w:t>
      </w:r>
      <w:r w:rsidR="00B725F0" w:rsidRPr="008074B4">
        <w:t xml:space="preserve"> flag</w:t>
      </w:r>
      <w:r w:rsidR="0028399B">
        <w:t>s an invention</w:t>
      </w:r>
      <w:r w:rsidR="00B725F0" w:rsidRPr="008074B4">
        <w:t xml:space="preserve"> as AI at a probability of at least 50%.</w:t>
      </w:r>
      <w:r w:rsidR="00B725F0" w:rsidRPr="008074B4">
        <w:rPr>
          <w:rStyle w:val="FootnoteReference"/>
        </w:rPr>
        <w:footnoteReference w:id="57"/>
      </w:r>
      <w:r w:rsidR="00B725F0" w:rsidRPr="008074B4">
        <w:t xml:space="preserve"> Because the data give probabilistic scores rather than hard labels, I </w:t>
      </w:r>
      <w:r w:rsidR="0028399B">
        <w:t xml:space="preserve">use </w:t>
      </w:r>
      <w:r w:rsidR="00B725F0" w:rsidRPr="008074B4">
        <w:t xml:space="preserve">the </w:t>
      </w:r>
      <w:r w:rsidR="0028399B">
        <w:t xml:space="preserve">50% </w:t>
      </w:r>
      <w:r w:rsidR="00B725F0" w:rsidRPr="008074B4">
        <w:t>cutoff</w:t>
      </w:r>
      <w:r w:rsidR="0028399B">
        <w:t xml:space="preserve"> for the main specification</w:t>
      </w:r>
      <w:r w:rsidR="00B725F0" w:rsidRPr="008074B4">
        <w:t xml:space="preserve">. </w:t>
      </w:r>
      <w:r w:rsidR="003E632B">
        <w:t>However, since t</w:t>
      </w:r>
      <w:r w:rsidR="00B725F0" w:rsidRPr="008074B4">
        <w:t>he default 50% threshold is built for coverage and sweeps in borderline cases near the decision boundary,</w:t>
      </w:r>
      <w:r w:rsidR="003E632B">
        <w:t xml:space="preserve"> </w:t>
      </w:r>
      <w:r w:rsidR="00B725F0" w:rsidRPr="008074B4">
        <w:t xml:space="preserve">I add two stricter definitions based on the thresholds the USPTO used itself: one at 86%, a high-confidence region in the model’s validation, and one at 93%, capturing patents the model identifies as AI with near certainty. </w:t>
      </w:r>
      <w:r w:rsidR="0028399B" w:rsidRPr="008074B4">
        <w:t>The strict thresholds shrink the treated group but offer a demanding test against classification noise. The tiered, multi-threshold approach I use lets the findings be read against several defensible definitions rather than betting the analysis on one.</w:t>
      </w:r>
    </w:p>
    <w:p w14:paraId="02A5A176" w14:textId="22EBBC39" w:rsidR="00A12590" w:rsidRDefault="00B725F0" w:rsidP="00D57A20">
      <w:pPr>
        <w:spacing w:line="480" w:lineRule="auto"/>
        <w:ind w:firstLine="720"/>
        <w:jc w:val="both"/>
      </w:pPr>
      <w:r w:rsidRPr="008074B4">
        <w:lastRenderedPageBreak/>
        <w:t xml:space="preserve">The </w:t>
      </w:r>
      <w:r w:rsidR="003E632B">
        <w:t>three-tiered classification scheme</w:t>
      </w:r>
      <w:r w:rsidRPr="008074B4">
        <w:t xml:space="preserve"> behaves as one would hope across these cutoffs</w:t>
      </w:r>
      <w:r w:rsidR="00A12590">
        <w:t>. A</w:t>
      </w:r>
      <w:r w:rsidR="00A12590" w:rsidRPr="008074B4">
        <w:t>t the 50% cutoff, the dataset contains 1</w:t>
      </w:r>
      <w:r w:rsidR="00A12590">
        <w:t>.3 million</w:t>
      </w:r>
      <w:r w:rsidR="00A12590" w:rsidRPr="008074B4">
        <w:t xml:space="preserve"> patents</w:t>
      </w:r>
      <w:r w:rsidR="00A12590">
        <w:t xml:space="preserve"> across time</w:t>
      </w:r>
      <w:r w:rsidR="00A12590" w:rsidRPr="008074B4">
        <w:t>; at the 93</w:t>
      </w:r>
      <w:r w:rsidR="00A12590">
        <w:t xml:space="preserve">% </w:t>
      </w:r>
      <w:r w:rsidR="00A12590" w:rsidRPr="008074B4">
        <w:t xml:space="preserve">cutoff, it contains </w:t>
      </w:r>
      <w:r w:rsidR="00A12590">
        <w:t>around 860,000</w:t>
      </w:r>
      <w:r w:rsidR="00A12590" w:rsidRPr="008074B4">
        <w:t xml:space="preserve">. That is a contraction of 34.9% which is substantial but </w:t>
      </w:r>
      <w:r w:rsidR="00A12590">
        <w:t>not unexpected</w:t>
      </w:r>
      <w:r w:rsidR="00A12590" w:rsidRPr="008074B4">
        <w:t>.</w:t>
      </w:r>
      <w:r w:rsidR="00A12590">
        <w:t xml:space="preserve"> Importantly, as shown in in Figure 1, AI p</w:t>
      </w:r>
      <w:r w:rsidR="00A12590" w:rsidRPr="008074B4">
        <w:t>revalence falls monotonically</w:t>
      </w:r>
      <w:r w:rsidR="00A12590">
        <w:t xml:space="preserve"> across the thresholds</w:t>
      </w:r>
      <w:r w:rsidR="00A12590" w:rsidRPr="008074B4">
        <w:t xml:space="preserve">. That lets me </w:t>
      </w:r>
      <w:r w:rsidR="00A12590">
        <w:t xml:space="preserve">feel confident that </w:t>
      </w:r>
      <w:r w:rsidR="00A12590" w:rsidRPr="008074B4">
        <w:t>the three thresholds a</w:t>
      </w:r>
      <w:r w:rsidR="00A12590">
        <w:t>re in fact</w:t>
      </w:r>
      <w:r w:rsidR="00A12590" w:rsidRPr="008074B4">
        <w:t xml:space="preserve"> progressively stricter definitions of AI intensity rather than different definitions of </w:t>
      </w:r>
      <w:r w:rsidR="00A12590">
        <w:t xml:space="preserve">an </w:t>
      </w:r>
      <w:r w:rsidR="00A12590" w:rsidRPr="008074B4">
        <w:t>AI</w:t>
      </w:r>
      <w:r w:rsidR="00A12590">
        <w:t xml:space="preserve"> invention.</w:t>
      </w:r>
      <w:r w:rsidR="00A12590" w:rsidRPr="008074B4">
        <w:t xml:space="preserve">  </w:t>
      </w:r>
      <w:r w:rsidR="0018097C">
        <w:t xml:space="preserve">As seen in Figure 1, </w:t>
      </w:r>
      <w:r w:rsidR="00D56DC4">
        <w:t>t</w:t>
      </w:r>
      <w:r w:rsidR="0018097C" w:rsidRPr="008074B4">
        <w:t xml:space="preserve">he time trend is consistent with that interpretation. Between 2014 and 2023, AI patents at the 50% </w:t>
      </w:r>
      <w:r w:rsidR="0018097C">
        <w:t xml:space="preserve">threshold </w:t>
      </w:r>
      <w:r w:rsidR="0018097C" w:rsidRPr="008074B4">
        <w:t>increase</w:t>
      </w:r>
      <w:r w:rsidR="0018097C">
        <w:t>d</w:t>
      </w:r>
      <w:r w:rsidR="0018097C" w:rsidRPr="008074B4">
        <w:t xml:space="preserve"> 4</w:t>
      </w:r>
      <w:r w:rsidR="0018097C">
        <w:t>5</w:t>
      </w:r>
      <w:r w:rsidR="0018097C" w:rsidRPr="008074B4">
        <w:t>%</w:t>
      </w:r>
      <w:r w:rsidR="0018097C">
        <w:t>, while a</w:t>
      </w:r>
      <w:r w:rsidR="0018097C" w:rsidRPr="008074B4">
        <w:t xml:space="preserve">t the 93% threshold, </w:t>
      </w:r>
      <w:r w:rsidR="0018097C">
        <w:t>the</w:t>
      </w:r>
      <w:r w:rsidR="0018097C" w:rsidRPr="008074B4">
        <w:t xml:space="preserve"> increase </w:t>
      </w:r>
      <w:r w:rsidR="0018097C">
        <w:t>was at</w:t>
      </w:r>
      <w:r w:rsidR="0018097C" w:rsidRPr="008074B4">
        <w:t xml:space="preserve"> 6</w:t>
      </w:r>
      <w:r w:rsidR="0018097C">
        <w:t>2</w:t>
      </w:r>
      <w:r w:rsidR="0018097C" w:rsidRPr="008074B4">
        <w:t>%. The stricter definition therefore grows at least as quickly as the broader one. The result suggests not simply that more patents are being loosely tagged as AI over time, but that the stock of patents carrying strong AI signals is expanding as well. What narrows as one moves from</w:t>
      </w:r>
      <w:r w:rsidR="0018097C">
        <w:t xml:space="preserve"> the</w:t>
      </w:r>
      <w:r w:rsidR="0018097C" w:rsidRPr="008074B4">
        <w:t xml:space="preserve"> 50% to 93%</w:t>
      </w:r>
      <w:r w:rsidR="0018097C">
        <w:t xml:space="preserve"> thresholds</w:t>
      </w:r>
      <w:r w:rsidR="0018097C" w:rsidRPr="008074B4">
        <w:t xml:space="preserve"> is not the growth trajectory, but the breadth of the AI category.</w:t>
      </w:r>
    </w:p>
    <w:p w14:paraId="1A7B6B91" w14:textId="070927BB" w:rsidR="00662373" w:rsidRPr="00E333AB" w:rsidRDefault="00662373" w:rsidP="00E333AB">
      <w:pPr>
        <w:spacing w:line="480" w:lineRule="auto"/>
        <w:jc w:val="center"/>
        <w:rPr>
          <w:b/>
          <w:bCs/>
        </w:rPr>
      </w:pPr>
      <w:r w:rsidRPr="00E333AB">
        <w:rPr>
          <w:b/>
          <w:bCs/>
        </w:rPr>
        <w:t>Figure 1: Annual USPTO Annual AI Patents by Threshold</w:t>
      </w:r>
    </w:p>
    <w:p w14:paraId="66738C1F" w14:textId="3E3B637D" w:rsidR="0018097C" w:rsidRDefault="0018097C" w:rsidP="00662373">
      <w:pPr>
        <w:spacing w:line="480" w:lineRule="auto"/>
        <w:ind w:firstLine="720"/>
        <w:jc w:val="center"/>
      </w:pPr>
      <w:r w:rsidRPr="008074B4">
        <w:rPr>
          <w:noProof/>
        </w:rPr>
        <w:drawing>
          <wp:inline distT="0" distB="0" distL="0" distR="0" wp14:anchorId="07649612" wp14:editId="38DDD3FB">
            <wp:extent cx="3776472"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yearly_ai_thresholds_bw.png"/>
                    <pic:cNvPicPr/>
                  </pic:nvPicPr>
                  <pic:blipFill>
                    <a:blip r:embed="rId7"/>
                    <a:stretch>
                      <a:fillRect/>
                    </a:stretch>
                  </pic:blipFill>
                  <pic:spPr>
                    <a:xfrm>
                      <a:off x="0" y="0"/>
                      <a:ext cx="3776472" cy="2743200"/>
                    </a:xfrm>
                    <a:prstGeom prst="rect">
                      <a:avLst/>
                    </a:prstGeom>
                  </pic:spPr>
                </pic:pic>
              </a:graphicData>
            </a:graphic>
          </wp:inline>
        </w:drawing>
      </w:r>
    </w:p>
    <w:p w14:paraId="3C2547FB" w14:textId="761AFF54" w:rsidR="00A12590" w:rsidRDefault="00A12590" w:rsidP="00AA094B">
      <w:pPr>
        <w:spacing w:line="480" w:lineRule="auto"/>
        <w:ind w:firstLine="720"/>
        <w:jc w:val="both"/>
        <w:rPr>
          <w:color w:val="000000"/>
        </w:rPr>
      </w:pPr>
      <w:r w:rsidRPr="008074B4">
        <w:t>The subject-matter mix also remains recognizably stable</w:t>
      </w:r>
      <w:r w:rsidR="003426E0">
        <w:t xml:space="preserve"> across the three thresholds</w:t>
      </w:r>
      <w:r w:rsidRPr="008074B4">
        <w:t xml:space="preserve">, though </w:t>
      </w:r>
      <w:r w:rsidR="005000CC">
        <w:t xml:space="preserve">it is </w:t>
      </w:r>
      <w:r w:rsidRPr="008074B4">
        <w:t xml:space="preserve">not </w:t>
      </w:r>
      <w:r w:rsidR="005000CC">
        <w:t xml:space="preserve">wholly </w:t>
      </w:r>
      <w:r w:rsidRPr="008074B4">
        <w:t xml:space="preserve">unchanged. </w:t>
      </w:r>
      <w:r w:rsidR="005000CC" w:rsidRPr="008074B4">
        <w:t xml:space="preserve">The USPTO divides AI inventions into eight </w:t>
      </w:r>
      <w:r w:rsidR="005000CC">
        <w:t xml:space="preserve">potentially </w:t>
      </w:r>
      <w:r w:rsidR="005000CC">
        <w:lastRenderedPageBreak/>
        <w:t xml:space="preserve">overlapping </w:t>
      </w:r>
      <w:r w:rsidR="005000CC" w:rsidRPr="008074B4">
        <w:t>components: knowledge processing, speech, hardware, evolutionary computation, natural language processing, machine learning, vision, and planning and control.</w:t>
      </w:r>
      <w:r w:rsidR="005000CC">
        <w:t xml:space="preserve"> </w:t>
      </w:r>
      <w:r w:rsidR="003426E0">
        <w:t xml:space="preserve">Figure </w:t>
      </w:r>
      <w:r w:rsidR="00E333AB">
        <w:t xml:space="preserve">2 </w:t>
      </w:r>
      <w:r w:rsidR="003426E0">
        <w:t>shows the technological categories common among AI inventions, as defined by the USPTO database across the three thresholds</w:t>
      </w:r>
      <w:r w:rsidR="003426E0" w:rsidRPr="008074B4">
        <w:t>.</w:t>
      </w:r>
      <w:r w:rsidR="003426E0" w:rsidRPr="003426E0">
        <w:rPr>
          <w:rStyle w:val="FootnoteReference"/>
        </w:rPr>
        <w:t xml:space="preserve"> </w:t>
      </w:r>
      <w:r w:rsidR="003426E0">
        <w:rPr>
          <w:rStyle w:val="FootnoteReference"/>
        </w:rPr>
        <w:footnoteReference w:id="58"/>
      </w:r>
      <w:r w:rsidR="003426E0">
        <w:t xml:space="preserve"> </w:t>
      </w:r>
      <w:r w:rsidR="003426E0" w:rsidRPr="008074B4">
        <w:t>Across the full corpus the largest categories are hardware and planning and control</w:t>
      </w:r>
      <w:r w:rsidR="003426E0">
        <w:t xml:space="preserve"> patents</w:t>
      </w:r>
      <w:r w:rsidR="003426E0" w:rsidRPr="008074B4">
        <w:t>..</w:t>
      </w:r>
      <w:r w:rsidR="003426E0" w:rsidRPr="008074B4">
        <w:rPr>
          <w:rStyle w:val="FootnoteReference"/>
        </w:rPr>
        <w:footnoteReference w:id="59"/>
      </w:r>
      <w:r w:rsidR="003426E0" w:rsidRPr="008074B4">
        <w:t xml:space="preserve"> </w:t>
      </w:r>
      <w:r w:rsidR="002301CF" w:rsidRPr="002301CF">
        <w:rPr>
          <w:color w:val="000000"/>
        </w:rPr>
        <w:t>As the confidence threshold increases, the number of patents classified as AI declines substantially—from approximately 1.24 million patents at the 50</w:t>
      </w:r>
      <w:r w:rsidR="002301CF">
        <w:rPr>
          <w:color w:val="000000"/>
        </w:rPr>
        <w:t>%</w:t>
      </w:r>
      <w:r w:rsidR="002301CF" w:rsidRPr="002301CF">
        <w:rPr>
          <w:color w:val="000000"/>
        </w:rPr>
        <w:t xml:space="preserve"> threshold to approximately 650,000 at the 93</w:t>
      </w:r>
      <w:r w:rsidR="002301CF">
        <w:rPr>
          <w:color w:val="000000"/>
        </w:rPr>
        <w:t>%</w:t>
      </w:r>
      <w:r w:rsidR="002301CF" w:rsidRPr="002301CF">
        <w:rPr>
          <w:color w:val="000000"/>
        </w:rPr>
        <w:t xml:space="preserve"> threshold—reflecting the exclusion of patents with less certain AI content. At the same time, the technological composition of the dataset remains remarkably stable. Hardware is consistently the largest subfield, followed by planning and computer vision, while natural language processing, machine learning, evolutionary computation, and speech remain smaller but persistent components of the AI landscape. Because the USPTO subfields are non-exclusive, patents may appear in multiple categories, so the subfield counts should not be interpreted as shares of the overall AI universe. Nonetheless, the largely unchanged ordering of subfields across thresholds suggests that increasing the confidence threshold primarily removes marginal AI patents rather than materially altering the technological makeup of the dataset. This stability provides reassurance that empirical results are unlikely to depend on the particular confidence threshold used to identify AI patents.</w:t>
      </w:r>
    </w:p>
    <w:p w14:paraId="1EBBC12C" w14:textId="77777777" w:rsidR="006A6423" w:rsidRDefault="006A6423" w:rsidP="00AA094B">
      <w:pPr>
        <w:spacing w:line="480" w:lineRule="auto"/>
        <w:ind w:firstLine="720"/>
        <w:jc w:val="both"/>
        <w:rPr>
          <w:color w:val="000000"/>
        </w:rPr>
      </w:pPr>
    </w:p>
    <w:p w14:paraId="0F26E624" w14:textId="77777777" w:rsidR="006A6423" w:rsidRPr="002301CF" w:rsidRDefault="006A6423" w:rsidP="00AA094B">
      <w:pPr>
        <w:spacing w:line="480" w:lineRule="auto"/>
        <w:ind w:firstLine="720"/>
        <w:jc w:val="both"/>
      </w:pPr>
    </w:p>
    <w:p w14:paraId="6B0160F3" w14:textId="12E0AF36" w:rsidR="002301CF" w:rsidRPr="002301CF" w:rsidRDefault="002301CF" w:rsidP="002301CF">
      <w:pPr>
        <w:spacing w:line="480" w:lineRule="auto"/>
        <w:ind w:firstLine="720"/>
        <w:jc w:val="center"/>
        <w:rPr>
          <w:b/>
          <w:bCs/>
        </w:rPr>
      </w:pPr>
      <w:r w:rsidRPr="002301CF">
        <w:rPr>
          <w:b/>
          <w:bCs/>
        </w:rPr>
        <w:lastRenderedPageBreak/>
        <w:t>Figure 2: USPTO AI Database by Subfield and Confidence Threshold</w:t>
      </w:r>
    </w:p>
    <w:p w14:paraId="6A9D4725" w14:textId="1C0FBC58" w:rsidR="00B725F0" w:rsidRPr="008074B4" w:rsidRDefault="002301CF" w:rsidP="002301CF">
      <w:pPr>
        <w:spacing w:line="480" w:lineRule="auto"/>
        <w:ind w:firstLine="720"/>
        <w:jc w:val="center"/>
      </w:pPr>
      <w:r>
        <w:rPr>
          <w:noProof/>
        </w:rPr>
        <w:drawing>
          <wp:inline distT="0" distB="0" distL="0" distR="0" wp14:anchorId="1ACCE782" wp14:editId="4516B01E">
            <wp:extent cx="3657600" cy="2231136"/>
            <wp:effectExtent l="0" t="0" r="0" b="4445"/>
            <wp:docPr id="908938220" name="Picture 908938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pto_ai_full_database_subfields_bw.png"/>
                    <pic:cNvPicPr/>
                  </pic:nvPicPr>
                  <pic:blipFill>
                    <a:blip r:embed="rId8"/>
                    <a:stretch>
                      <a:fillRect/>
                    </a:stretch>
                  </pic:blipFill>
                  <pic:spPr>
                    <a:xfrm>
                      <a:off x="0" y="0"/>
                      <a:ext cx="3657600" cy="2231136"/>
                    </a:xfrm>
                    <a:prstGeom prst="rect">
                      <a:avLst/>
                    </a:prstGeom>
                  </pic:spPr>
                </pic:pic>
              </a:graphicData>
            </a:graphic>
          </wp:inline>
        </w:drawing>
      </w:r>
    </w:p>
    <w:p w14:paraId="2EBF500D" w14:textId="77777777" w:rsidR="00B725F0" w:rsidRPr="008074B4" w:rsidRDefault="00B725F0" w:rsidP="00D57A20">
      <w:pPr>
        <w:spacing w:before="280" w:after="160" w:line="480" w:lineRule="auto"/>
        <w:jc w:val="center"/>
      </w:pPr>
      <w:r w:rsidRPr="008074B4">
        <w:rPr>
          <w:b/>
          <w:bCs/>
          <w:smallCaps/>
        </w:rPr>
        <w:t>III.  Descriptive Results</w:t>
      </w:r>
    </w:p>
    <w:p w14:paraId="7C6ED4FE" w14:textId="77777777" w:rsidR="00B725F0" w:rsidRPr="006A6423" w:rsidRDefault="00B725F0" w:rsidP="00D57A20">
      <w:pPr>
        <w:spacing w:before="200" w:after="100" w:line="480" w:lineRule="auto"/>
      </w:pPr>
      <w:r w:rsidRPr="006A6423">
        <w:rPr>
          <w:b/>
          <w:bCs/>
        </w:rPr>
        <w:t>A.  Litigated AI Patents</w:t>
      </w:r>
    </w:p>
    <w:p w14:paraId="42EDFF0C" w14:textId="4E9F2E5B" w:rsidR="00B725F0" w:rsidRDefault="00B725F0" w:rsidP="00D57A20">
      <w:pPr>
        <w:spacing w:line="480" w:lineRule="auto"/>
        <w:ind w:firstLine="720"/>
        <w:rPr>
          <w:color w:val="000000"/>
        </w:rPr>
      </w:pPr>
      <w:r w:rsidRPr="008074B4">
        <w:t xml:space="preserve">I now restrict attention to the </w:t>
      </w:r>
      <w:r w:rsidR="000F3568">
        <w:t xml:space="preserve">almost </w:t>
      </w:r>
      <w:r w:rsidRPr="008074B4">
        <w:t>80,000 patents litigated in the district courts. Between 2000 and 2025, almost 14,000 litigated patents involved AI technology</w:t>
      </w:r>
      <w:r w:rsidR="000F3568">
        <w:t xml:space="preserve">. In all, </w:t>
      </w:r>
      <w:r w:rsidRPr="008074B4">
        <w:t>about 1</w:t>
      </w:r>
      <w:r w:rsidR="00A65579" w:rsidRPr="008074B4">
        <w:t>5</w:t>
      </w:r>
      <w:r w:rsidRPr="008074B4">
        <w:t xml:space="preserve">% of </w:t>
      </w:r>
      <w:r w:rsidR="005F00CB">
        <w:t>patents litigated over the past twenty-five years</w:t>
      </w:r>
      <w:r w:rsidR="000F3568">
        <w:t xml:space="preserve"> involved AI</w:t>
      </w:r>
      <w:r w:rsidR="005F00CB">
        <w:t>, as classified by the 50% threshold of the USPTO AI Database</w:t>
      </w:r>
      <w:r w:rsidRPr="008074B4">
        <w:t xml:space="preserve">. </w:t>
      </w:r>
      <w:r w:rsidR="000F3568">
        <w:t>Further</w:t>
      </w:r>
      <w:r w:rsidRPr="008074B4">
        <w:t xml:space="preserve">, </w:t>
      </w:r>
      <w:r w:rsidR="005F00CB">
        <w:t xml:space="preserve">almost a third </w:t>
      </w:r>
      <w:r w:rsidRPr="008074B4">
        <w:t xml:space="preserve">of </w:t>
      </w:r>
      <w:r w:rsidR="000F3568">
        <w:t xml:space="preserve">district court </w:t>
      </w:r>
      <w:r w:rsidRPr="008074B4">
        <w:t xml:space="preserve">cases involved at least one patent classified by my taxonomy as an AI invention. </w:t>
      </w:r>
      <w:r w:rsidR="00A65579" w:rsidRPr="008074B4">
        <w:t xml:space="preserve">Figure </w:t>
      </w:r>
      <w:r w:rsidR="00E333AB">
        <w:t>3</w:t>
      </w:r>
      <w:r w:rsidR="00A65579" w:rsidRPr="008074B4">
        <w:t xml:space="preserve"> shows the</w:t>
      </w:r>
      <w:r w:rsidR="000F3568">
        <w:t xml:space="preserve"> AI</w:t>
      </w:r>
      <w:r w:rsidR="00A65579" w:rsidRPr="008074B4">
        <w:t xml:space="preserve"> subfields. </w:t>
      </w:r>
      <w:r w:rsidRPr="008074B4">
        <w:t xml:space="preserve">The litigated mix tracks the AI patent population generally, with planning, hardware, and knowledge patents </w:t>
      </w:r>
      <w:r w:rsidR="005F00CB">
        <w:t xml:space="preserve">representing </w:t>
      </w:r>
      <w:r w:rsidRPr="008074B4">
        <w:t>the largest shares.</w:t>
      </w:r>
      <w:r w:rsidR="00A65579" w:rsidRPr="008074B4">
        <w:t xml:space="preserve"> Among the subfields, </w:t>
      </w:r>
      <w:r w:rsidR="005F00CB">
        <w:rPr>
          <w:color w:val="000000"/>
        </w:rPr>
        <w:t>p</w:t>
      </w:r>
      <w:r w:rsidR="00A65579" w:rsidRPr="008074B4">
        <w:rPr>
          <w:color w:val="000000"/>
        </w:rPr>
        <w:t>lanning</w:t>
      </w:r>
      <w:r w:rsidR="005F00CB">
        <w:rPr>
          <w:color w:val="000000"/>
        </w:rPr>
        <w:t xml:space="preserve"> patents</w:t>
      </w:r>
      <w:r w:rsidR="00A65579" w:rsidRPr="008074B4">
        <w:rPr>
          <w:color w:val="000000"/>
        </w:rPr>
        <w:t xml:space="preserve"> </w:t>
      </w:r>
      <w:r w:rsidR="005F00CB">
        <w:rPr>
          <w:color w:val="000000"/>
        </w:rPr>
        <w:t>are</w:t>
      </w:r>
      <w:r w:rsidR="00A65579" w:rsidRPr="008074B4">
        <w:rPr>
          <w:color w:val="000000"/>
        </w:rPr>
        <w:t xml:space="preserve"> the largest litigated AI subfield at 4</w:t>
      </w:r>
      <w:r w:rsidR="005F00CB">
        <w:rPr>
          <w:color w:val="000000"/>
        </w:rPr>
        <w:t>5</w:t>
      </w:r>
      <w:r w:rsidR="00A65579" w:rsidRPr="008074B4">
        <w:rPr>
          <w:color w:val="000000"/>
        </w:rPr>
        <w:t>%, followed by hardware</w:t>
      </w:r>
      <w:r w:rsidR="005F00CB">
        <w:rPr>
          <w:color w:val="000000"/>
        </w:rPr>
        <w:t xml:space="preserve"> patents</w:t>
      </w:r>
      <w:r w:rsidR="00A65579" w:rsidRPr="008074B4">
        <w:rPr>
          <w:color w:val="000000"/>
        </w:rPr>
        <w:t xml:space="preserve"> at 33% and knowledge representation </w:t>
      </w:r>
      <w:r w:rsidR="005F00CB">
        <w:rPr>
          <w:color w:val="000000"/>
        </w:rPr>
        <w:t xml:space="preserve">patents </w:t>
      </w:r>
      <w:r w:rsidR="00A65579" w:rsidRPr="008074B4">
        <w:rPr>
          <w:color w:val="000000"/>
        </w:rPr>
        <w:t>at 2</w:t>
      </w:r>
      <w:r w:rsidR="005F00CB">
        <w:rPr>
          <w:color w:val="000000"/>
        </w:rPr>
        <w:t>8</w:t>
      </w:r>
      <w:r w:rsidR="00A65579" w:rsidRPr="008074B4">
        <w:rPr>
          <w:color w:val="000000"/>
        </w:rPr>
        <w:t>%. Those shares are non-exclusive, so they do not divide the AI universe into clean buckets, but they do show that the litigated set is not just a machine-learning docket in disguise. It is a broader software-and-systems docket in which planning, hardware, and knowledge-oriented technologies still do much of the work.</w:t>
      </w:r>
      <w:r w:rsidR="0000683C">
        <w:rPr>
          <w:color w:val="000000"/>
        </w:rPr>
        <w:t xml:space="preserve"> Even as the confidence threshold increases, the general pattern of the technological mix remains the same.</w:t>
      </w:r>
    </w:p>
    <w:p w14:paraId="404B132E" w14:textId="3D790006" w:rsidR="007F76CE" w:rsidRPr="007F76CE" w:rsidRDefault="007F76CE" w:rsidP="007F76CE">
      <w:pPr>
        <w:spacing w:line="480" w:lineRule="auto"/>
        <w:ind w:firstLine="720"/>
        <w:jc w:val="center"/>
        <w:rPr>
          <w:b/>
          <w:bCs/>
          <w:color w:val="000000"/>
        </w:rPr>
      </w:pPr>
      <w:r w:rsidRPr="007F76CE">
        <w:rPr>
          <w:b/>
          <w:bCs/>
          <w:color w:val="000000"/>
        </w:rPr>
        <w:lastRenderedPageBreak/>
        <w:t xml:space="preserve">Figure </w:t>
      </w:r>
      <w:r w:rsidR="001142BC">
        <w:rPr>
          <w:b/>
          <w:bCs/>
          <w:color w:val="000000"/>
        </w:rPr>
        <w:t>3</w:t>
      </w:r>
      <w:r w:rsidRPr="007F76CE">
        <w:rPr>
          <w:b/>
          <w:bCs/>
          <w:color w:val="000000"/>
        </w:rPr>
        <w:t>: Litigated AI Patents, by Subfield, Confidence Threshold and Year</w:t>
      </w:r>
    </w:p>
    <w:p w14:paraId="2BD42B3F" w14:textId="5360B6A2" w:rsidR="0000683C" w:rsidRPr="008074B4" w:rsidRDefault="001600B3" w:rsidP="00F82461">
      <w:pPr>
        <w:spacing w:line="480" w:lineRule="auto"/>
        <w:ind w:firstLine="720"/>
        <w:jc w:val="center"/>
      </w:pPr>
      <w:r>
        <w:rPr>
          <w:noProof/>
        </w:rPr>
        <w:drawing>
          <wp:inline distT="0" distB="0" distL="0" distR="0" wp14:anchorId="404B49A1" wp14:editId="2FDEF977">
            <wp:extent cx="3657600" cy="3822192"/>
            <wp:effectExtent l="0" t="0" r="0" b="635"/>
            <wp:docPr id="2098900838" name="Picture 2098900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litigated_ai_subfields_by_threshold_over_time_bw.png"/>
                    <pic:cNvPicPr/>
                  </pic:nvPicPr>
                  <pic:blipFill>
                    <a:blip r:embed="rId9"/>
                    <a:stretch>
                      <a:fillRect/>
                    </a:stretch>
                  </pic:blipFill>
                  <pic:spPr>
                    <a:xfrm>
                      <a:off x="0" y="0"/>
                      <a:ext cx="3657600" cy="3822192"/>
                    </a:xfrm>
                    <a:prstGeom prst="rect">
                      <a:avLst/>
                    </a:prstGeom>
                  </pic:spPr>
                </pic:pic>
              </a:graphicData>
            </a:graphic>
          </wp:inline>
        </w:drawing>
      </w:r>
    </w:p>
    <w:p w14:paraId="6E22D9BF" w14:textId="77777777" w:rsidR="005F00CB" w:rsidRDefault="005F00CB" w:rsidP="00D57A20">
      <w:pPr>
        <w:spacing w:line="480" w:lineRule="auto"/>
        <w:ind w:firstLine="720"/>
      </w:pPr>
      <w:r>
        <w:t xml:space="preserve">Nonetheless, software patents constitute a sizeable share of AI inventions. I separately classified technological type using CPC definitions. </w:t>
      </w:r>
      <w:r w:rsidR="00A65579" w:rsidRPr="008074B4">
        <w:t xml:space="preserve">By technological field, the AI signal is anchored in the computing ecosystem. </w:t>
      </w:r>
      <w:r w:rsidR="00A65579" w:rsidRPr="008074B4">
        <w:rPr>
          <w:color w:val="000000"/>
        </w:rPr>
        <w:t>Over 40% of AI patents fall in</w:t>
      </w:r>
      <w:r>
        <w:rPr>
          <w:color w:val="000000"/>
        </w:rPr>
        <w:t xml:space="preserve"> software and computing</w:t>
      </w:r>
      <w:r w:rsidR="00A65579" w:rsidRPr="008074B4">
        <w:rPr>
          <w:color w:val="000000"/>
        </w:rPr>
        <w:t xml:space="preserve">, compared with only </w:t>
      </w:r>
      <w:r>
        <w:rPr>
          <w:color w:val="000000"/>
        </w:rPr>
        <w:t>6</w:t>
      </w:r>
      <w:r w:rsidR="00A65579" w:rsidRPr="008074B4">
        <w:rPr>
          <w:color w:val="000000"/>
        </w:rPr>
        <w:t xml:space="preserve">% of non-AI patents. Telecom / networking </w:t>
      </w:r>
      <w:r>
        <w:rPr>
          <w:color w:val="000000"/>
        </w:rPr>
        <w:t>patents are</w:t>
      </w:r>
      <w:r w:rsidR="00A65579" w:rsidRPr="008074B4">
        <w:rPr>
          <w:color w:val="000000"/>
        </w:rPr>
        <w:t xml:space="preserve"> the second-largest AI category at 25%. </w:t>
      </w:r>
      <w:r w:rsidR="00A86AC2" w:rsidRPr="008074B4">
        <w:t>The life-sciences footprint is comparatively small, with biology and chemistry showing visible but modest AI share</w:t>
      </w:r>
      <w:r>
        <w:t xml:space="preserve">s. </w:t>
      </w:r>
    </w:p>
    <w:p w14:paraId="7D99CD54" w14:textId="140BA04A" w:rsidR="005F00CB" w:rsidRDefault="005F00CB" w:rsidP="00D57A20">
      <w:pPr>
        <w:spacing w:line="480" w:lineRule="auto"/>
        <w:ind w:firstLine="720"/>
        <w:rPr>
          <w:color w:val="000000"/>
        </w:rPr>
      </w:pPr>
      <w:r w:rsidRPr="008074B4">
        <w:rPr>
          <w:color w:val="000000"/>
        </w:rPr>
        <w:t xml:space="preserve">Figure </w:t>
      </w:r>
      <w:r w:rsidR="001142BC">
        <w:rPr>
          <w:color w:val="000000"/>
        </w:rPr>
        <w:t>4</w:t>
      </w:r>
      <w:r w:rsidRPr="008074B4">
        <w:rPr>
          <w:color w:val="000000"/>
        </w:rPr>
        <w:t xml:space="preserve"> shows the number of litigations of AI patent per year. The filing-year figure should be read as a case-volume figure rather than as a distinct-patent figure. On the patent-case measure, AI litigation surges early and remains high. But the distinct-patent line tells a different story. Unique AI patents litigated by filing year rise </w:t>
      </w:r>
      <w:r>
        <w:rPr>
          <w:color w:val="000000"/>
        </w:rPr>
        <w:t>over time</w:t>
      </w:r>
      <w:r w:rsidRPr="008074B4">
        <w:rPr>
          <w:color w:val="000000"/>
        </w:rPr>
        <w:t>.</w:t>
      </w:r>
      <w:r w:rsidR="0096659D">
        <w:rPr>
          <w:color w:val="000000"/>
        </w:rPr>
        <w:t xml:space="preserve"> Relative to non-AI litigated patents, litigated AI patents occupy a much larger share of litigation over time, even though </w:t>
      </w:r>
      <w:r w:rsidR="0096659D">
        <w:rPr>
          <w:color w:val="000000"/>
        </w:rPr>
        <w:lastRenderedPageBreak/>
        <w:t>overall patent litigation has been fairly flat, especially post-2011. This result is unsurprising given the growth of AI.</w:t>
      </w:r>
      <w:r w:rsidRPr="008074B4">
        <w:rPr>
          <w:color w:val="000000"/>
        </w:rPr>
        <w:t xml:space="preserve"> </w:t>
      </w:r>
      <w:r w:rsidR="0096659D">
        <w:rPr>
          <w:color w:val="000000"/>
        </w:rPr>
        <w:t xml:space="preserve"> </w:t>
      </w:r>
      <w:r w:rsidR="0096659D" w:rsidRPr="0096659D">
        <w:rPr>
          <w:color w:val="000000"/>
        </w:rPr>
        <w:t xml:space="preserve">The widening gap </w:t>
      </w:r>
      <w:r w:rsidR="0096659D">
        <w:rPr>
          <w:color w:val="000000"/>
        </w:rPr>
        <w:t xml:space="preserve">over time </w:t>
      </w:r>
      <w:r w:rsidR="0096659D" w:rsidRPr="0096659D">
        <w:rPr>
          <w:color w:val="000000"/>
        </w:rPr>
        <w:t>suggests that the early increase may have been driven disproportionately by repeated litigation involving a relatively small set of AI patents, whereas the later increase appears to reflect growth in the number of distinct AI patents entering litigation.</w:t>
      </w:r>
      <w:r w:rsidRPr="008074B4">
        <w:rPr>
          <w:color w:val="000000"/>
        </w:rPr>
        <w:t xml:space="preserve"> </w:t>
      </w:r>
    </w:p>
    <w:p w14:paraId="7FCE757A" w14:textId="31038EAB" w:rsidR="00F82461" w:rsidRPr="00F82461" w:rsidRDefault="00F82461" w:rsidP="00F82461">
      <w:pPr>
        <w:spacing w:line="480" w:lineRule="auto"/>
        <w:ind w:firstLine="720"/>
        <w:jc w:val="center"/>
        <w:rPr>
          <w:b/>
          <w:bCs/>
        </w:rPr>
      </w:pPr>
      <w:r w:rsidRPr="00F82461">
        <w:rPr>
          <w:b/>
          <w:bCs/>
          <w:color w:val="000000"/>
        </w:rPr>
        <w:t xml:space="preserve">Figure </w:t>
      </w:r>
      <w:r w:rsidR="001142BC">
        <w:rPr>
          <w:b/>
          <w:bCs/>
          <w:color w:val="000000"/>
        </w:rPr>
        <w:t>4</w:t>
      </w:r>
      <w:r w:rsidRPr="00F82461">
        <w:rPr>
          <w:b/>
          <w:bCs/>
          <w:color w:val="000000"/>
        </w:rPr>
        <w:t>: Litigated AI Patents Compared to All Litigated Patents</w:t>
      </w:r>
    </w:p>
    <w:p w14:paraId="10670D66" w14:textId="42D10BC8" w:rsidR="005F00CB" w:rsidRPr="008074B4" w:rsidRDefault="00F82461" w:rsidP="00F82461">
      <w:pPr>
        <w:spacing w:after="40" w:line="480" w:lineRule="auto"/>
        <w:jc w:val="center"/>
      </w:pPr>
      <w:r>
        <w:rPr>
          <w:noProof/>
        </w:rPr>
        <w:drawing>
          <wp:inline distT="0" distB="0" distL="0" distR="0" wp14:anchorId="68BDC3A2" wp14:editId="54184545">
            <wp:extent cx="5038344" cy="2743200"/>
            <wp:effectExtent l="0" t="0" r="3810" b="0"/>
            <wp:docPr id="1526921856" name="Picture 152692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litigated_ai_vs_all_by_year_bw.png"/>
                    <pic:cNvPicPr/>
                  </pic:nvPicPr>
                  <pic:blipFill>
                    <a:blip r:embed="rId10"/>
                    <a:stretch>
                      <a:fillRect/>
                    </a:stretch>
                  </pic:blipFill>
                  <pic:spPr>
                    <a:xfrm>
                      <a:off x="0" y="0"/>
                      <a:ext cx="5038344" cy="2743200"/>
                    </a:xfrm>
                    <a:prstGeom prst="rect">
                      <a:avLst/>
                    </a:prstGeom>
                  </pic:spPr>
                </pic:pic>
              </a:graphicData>
            </a:graphic>
          </wp:inline>
        </w:drawing>
      </w:r>
    </w:p>
    <w:p w14:paraId="119E3667" w14:textId="130F6DF9" w:rsidR="005F00CB" w:rsidRPr="00FA5579" w:rsidRDefault="005F00CB" w:rsidP="00D57A20">
      <w:pPr>
        <w:spacing w:line="480" w:lineRule="auto"/>
        <w:ind w:firstLine="720"/>
        <w:jc w:val="both"/>
        <w:rPr>
          <w:color w:val="000000"/>
        </w:rPr>
      </w:pPr>
      <w:r w:rsidRPr="008074B4">
        <w:rPr>
          <w:color w:val="000000"/>
        </w:rPr>
        <w:t xml:space="preserve">The venue and party structure results show that this is not just the ordinary patent docket with a relabeled technology field. </w:t>
      </w:r>
      <w:r>
        <w:rPr>
          <w:color w:val="000000"/>
        </w:rPr>
        <w:t xml:space="preserve">The Eastern District of Texas </w:t>
      </w:r>
      <w:r w:rsidRPr="008074B4">
        <w:rPr>
          <w:color w:val="000000"/>
        </w:rPr>
        <w:t xml:space="preserve">alone accounts </w:t>
      </w:r>
      <w:r>
        <w:rPr>
          <w:color w:val="000000"/>
        </w:rPr>
        <w:t>almost a third</w:t>
      </w:r>
      <w:r w:rsidRPr="008074B4">
        <w:rPr>
          <w:color w:val="000000"/>
        </w:rPr>
        <w:t xml:space="preserve"> of AI </w:t>
      </w:r>
      <w:r w:rsidR="00254D25">
        <w:rPr>
          <w:color w:val="000000"/>
        </w:rPr>
        <w:t xml:space="preserve">patent </w:t>
      </w:r>
      <w:r w:rsidRPr="008074B4">
        <w:rPr>
          <w:color w:val="000000"/>
        </w:rPr>
        <w:t xml:space="preserve">cases, compared with </w:t>
      </w:r>
      <w:r w:rsidR="00652399">
        <w:rPr>
          <w:color w:val="000000"/>
        </w:rPr>
        <w:t xml:space="preserve">less than a </w:t>
      </w:r>
      <w:r w:rsidR="00FA5579">
        <w:rPr>
          <w:color w:val="000000"/>
        </w:rPr>
        <w:t>fifth</w:t>
      </w:r>
      <w:r w:rsidRPr="008074B4">
        <w:rPr>
          <w:color w:val="000000"/>
        </w:rPr>
        <w:t xml:space="preserve"> of patent cases overall. Delaware and</w:t>
      </w:r>
      <w:r w:rsidR="00FA5579">
        <w:rPr>
          <w:color w:val="000000"/>
        </w:rPr>
        <w:t xml:space="preserve"> the Western District of Texas</w:t>
      </w:r>
      <w:r w:rsidRPr="008074B4">
        <w:rPr>
          <w:color w:val="000000"/>
        </w:rPr>
        <w:t xml:space="preserve"> also loom large</w:t>
      </w:r>
      <w:r w:rsidR="00FA5579">
        <w:rPr>
          <w:color w:val="000000"/>
        </w:rPr>
        <w:t>, as they do in patent litigation generally</w:t>
      </w:r>
      <w:r w:rsidRPr="008074B4">
        <w:rPr>
          <w:color w:val="000000"/>
        </w:rPr>
        <w:t>.</w:t>
      </w:r>
      <w:r w:rsidR="00652399">
        <w:rPr>
          <w:color w:val="000000"/>
        </w:rPr>
        <w:t xml:space="preserve"> But the effect is even more attenuated for AI patents. For example, about 22.6% of AI patents are litigated in Delaware compared to 16.3% overall.</w:t>
      </w:r>
      <w:r w:rsidRPr="008074B4">
        <w:rPr>
          <w:color w:val="000000"/>
        </w:rPr>
        <w:t xml:space="preserve"> </w:t>
      </w:r>
      <w:r w:rsidRPr="008074B4">
        <w:t>What the concentration means institutionally is that a small set of judges, in a handful of districts, write much of the district court law on AI patents</w:t>
      </w:r>
      <w:r w:rsidR="00FA5579">
        <w:t>. Thus,</w:t>
      </w:r>
      <w:r w:rsidRPr="008074B4">
        <w:t xml:space="preserve"> the development of that law will reflect the docket pressures and local practices of those particular courts rather than a representative cross-section of the federal bench.</w:t>
      </w:r>
      <w:r w:rsidRPr="008074B4">
        <w:rPr>
          <w:color w:val="000000"/>
        </w:rPr>
        <w:t xml:space="preserve"> </w:t>
      </w:r>
    </w:p>
    <w:p w14:paraId="175BB11D" w14:textId="755969BB" w:rsidR="00A65579" w:rsidRPr="008074B4" w:rsidRDefault="00A86AC2" w:rsidP="00254D25">
      <w:pPr>
        <w:spacing w:line="480" w:lineRule="auto"/>
        <w:ind w:firstLine="720"/>
        <w:jc w:val="both"/>
      </w:pPr>
      <w:r w:rsidRPr="008074B4">
        <w:rPr>
          <w:color w:val="000000"/>
        </w:rPr>
        <w:lastRenderedPageBreak/>
        <w:t xml:space="preserve"> </w:t>
      </w:r>
      <w:r w:rsidR="005F00CB">
        <w:rPr>
          <w:color w:val="000000"/>
        </w:rPr>
        <w:t xml:space="preserve">Litigated AI patents also differ in other ways from non-AI litigated patents. </w:t>
      </w:r>
      <w:r w:rsidR="00A65579" w:rsidRPr="008074B4">
        <w:rPr>
          <w:color w:val="000000"/>
        </w:rPr>
        <w:t>AI patents average 27.</w:t>
      </w:r>
      <w:r w:rsidR="001600B3">
        <w:rPr>
          <w:color w:val="000000"/>
        </w:rPr>
        <w:t>4</w:t>
      </w:r>
      <w:r w:rsidR="00A65579" w:rsidRPr="008074B4">
        <w:rPr>
          <w:color w:val="000000"/>
        </w:rPr>
        <w:t xml:space="preserve"> claims versus 19.</w:t>
      </w:r>
      <w:r w:rsidR="001600B3">
        <w:rPr>
          <w:color w:val="000000"/>
        </w:rPr>
        <w:t>6 mean</w:t>
      </w:r>
      <w:r w:rsidR="00A65579" w:rsidRPr="008074B4">
        <w:rPr>
          <w:color w:val="000000"/>
        </w:rPr>
        <w:t xml:space="preserve"> for non-AI patents, 10</w:t>
      </w:r>
      <w:r w:rsidR="001600B3">
        <w:rPr>
          <w:color w:val="000000"/>
        </w:rPr>
        <w:t>3</w:t>
      </w:r>
      <w:r w:rsidR="00A65579" w:rsidRPr="008074B4">
        <w:rPr>
          <w:color w:val="000000"/>
        </w:rPr>
        <w:t>.</w:t>
      </w:r>
      <w:r w:rsidR="001600B3">
        <w:rPr>
          <w:color w:val="000000"/>
        </w:rPr>
        <w:t>2</w:t>
      </w:r>
      <w:r w:rsidR="00A65579" w:rsidRPr="008074B4">
        <w:rPr>
          <w:color w:val="000000"/>
        </w:rPr>
        <w:t xml:space="preserve"> forward citations versus </w:t>
      </w:r>
      <w:r w:rsidR="001600B3">
        <w:rPr>
          <w:color w:val="000000"/>
        </w:rPr>
        <w:t>60.7 mean for non-AI</w:t>
      </w:r>
      <w:r w:rsidR="00A65579" w:rsidRPr="008074B4">
        <w:rPr>
          <w:color w:val="000000"/>
        </w:rPr>
        <w:t xml:space="preserve">, and </w:t>
      </w:r>
      <w:r w:rsidR="001600B3">
        <w:rPr>
          <w:color w:val="000000"/>
        </w:rPr>
        <w:t>95.4</w:t>
      </w:r>
      <w:r w:rsidR="00A65579" w:rsidRPr="008074B4">
        <w:rPr>
          <w:color w:val="000000"/>
        </w:rPr>
        <w:t xml:space="preserve"> backward citations versus </w:t>
      </w:r>
      <w:r w:rsidR="001600B3">
        <w:rPr>
          <w:color w:val="000000"/>
        </w:rPr>
        <w:t>74.2 mean for non-AI</w:t>
      </w:r>
      <w:r w:rsidR="00A65579" w:rsidRPr="008074B4">
        <w:rPr>
          <w:color w:val="000000"/>
        </w:rPr>
        <w:t>. Forward citations are a rough indicator of how often later patents build on or cite a patent, while backward citations capture how densely the patent is tied to earlier prior art. On both dimensions the AI set looks more connected and more crowded than the non-AI set, which is what one would expect if litigated AI patents tend to sit inside fast-moving software and platform ecosystems rather than in isolated technological niches.</w:t>
      </w:r>
      <w:r w:rsidR="00254D25" w:rsidRPr="00254D25">
        <w:rPr>
          <w:color w:val="000000"/>
        </w:rPr>
        <w:t xml:space="preserve"> </w:t>
      </w:r>
      <w:r w:rsidR="00254D25" w:rsidRPr="008074B4">
        <w:rPr>
          <w:color w:val="000000"/>
        </w:rPr>
        <w:t>The</w:t>
      </w:r>
      <w:r w:rsidR="00254D25">
        <w:rPr>
          <w:color w:val="000000"/>
        </w:rPr>
        <w:t xml:space="preserve"> patents</w:t>
      </w:r>
      <w:r w:rsidR="00254D25" w:rsidRPr="008074B4">
        <w:rPr>
          <w:color w:val="000000"/>
        </w:rPr>
        <w:t xml:space="preserve"> are also modestly older when first litigated, at 5.8 years from issue to first case versus 5.3. </w:t>
      </w:r>
    </w:p>
    <w:p w14:paraId="7ACEC224" w14:textId="7B63CA12" w:rsidR="00A86AC2" w:rsidRPr="008074B4" w:rsidRDefault="00A86AC2" w:rsidP="00D57A20">
      <w:pPr>
        <w:spacing w:line="480" w:lineRule="auto"/>
        <w:ind w:firstLine="720"/>
        <w:jc w:val="both"/>
      </w:pPr>
      <w:r w:rsidRPr="008074B4">
        <w:rPr>
          <w:color w:val="000000"/>
        </w:rPr>
        <w:t>Litigated AI patents</w:t>
      </w:r>
      <w:r w:rsidR="00254D25">
        <w:rPr>
          <w:color w:val="000000"/>
        </w:rPr>
        <w:t xml:space="preserve"> also</w:t>
      </w:r>
      <w:r w:rsidRPr="008074B4">
        <w:rPr>
          <w:color w:val="000000"/>
        </w:rPr>
        <w:t xml:space="preserve"> look more dominated by non-practicing entities</w:t>
      </w:r>
      <w:r w:rsidR="00B33744">
        <w:rPr>
          <w:color w:val="000000"/>
        </w:rPr>
        <w:t>—</w:t>
      </w:r>
      <w:r w:rsidR="00FA5579">
        <w:rPr>
          <w:color w:val="000000"/>
        </w:rPr>
        <w:t>often labeled “patent trolls”</w:t>
      </w:r>
      <w:r w:rsidR="00B33744">
        <w:rPr>
          <w:color w:val="000000"/>
        </w:rPr>
        <w:t>—</w:t>
      </w:r>
      <w:r w:rsidRPr="008074B4">
        <w:rPr>
          <w:color w:val="000000"/>
        </w:rPr>
        <w:t xml:space="preserve">as plaintiffs. </w:t>
      </w:r>
      <w:r w:rsidRPr="008074B4">
        <w:t xml:space="preserve">Across all litigated patents, most plaintiffs are large </w:t>
      </w:r>
      <w:r w:rsidR="00254D25">
        <w:t xml:space="preserve">operating </w:t>
      </w:r>
      <w:r w:rsidRPr="008074B4">
        <w:t>companies such as Kodak or General Motors</w:t>
      </w:r>
      <w:r w:rsidR="00254D25">
        <w:t xml:space="preserve"> or Samsung Electronics</w:t>
      </w:r>
      <w:r w:rsidRPr="008074B4">
        <w:t xml:space="preserve">. For AI patents, the single largest group of plaintiffs are firms that acquired the patent from another company. That is unsurprising. A company that wants AI technology often buys the firm that holds it, then turns the acquired portfolio against competitors. Individual-inventor startups also make up a disproportionate share of AI plaintiffs, while operating companies and individuals appear somewhat less often than in non-AI cases. The pattern looks much the same for declaratory-judgment defendants. </w:t>
      </w:r>
      <w:r w:rsidRPr="008074B4">
        <w:rPr>
          <w:color w:val="000000"/>
        </w:rPr>
        <w:t xml:space="preserve">On the plaintiff side, acquired or NPE-type entities account for </w:t>
      </w:r>
      <w:r w:rsidR="00FA5579">
        <w:rPr>
          <w:color w:val="000000"/>
        </w:rPr>
        <w:t>almost half</w:t>
      </w:r>
      <w:r w:rsidRPr="008074B4">
        <w:rPr>
          <w:color w:val="000000"/>
        </w:rPr>
        <w:t xml:space="preserve"> of AI </w:t>
      </w:r>
      <w:r w:rsidR="00FA5579">
        <w:rPr>
          <w:color w:val="000000"/>
        </w:rPr>
        <w:t xml:space="preserve">litigated </w:t>
      </w:r>
      <w:r w:rsidRPr="008074B4">
        <w:rPr>
          <w:color w:val="000000"/>
        </w:rPr>
        <w:t xml:space="preserve">cases but only </w:t>
      </w:r>
      <w:r w:rsidR="00FA5579">
        <w:rPr>
          <w:color w:val="000000"/>
        </w:rPr>
        <w:t>a little more than a quarter</w:t>
      </w:r>
      <w:r w:rsidRPr="008074B4">
        <w:rPr>
          <w:color w:val="000000"/>
        </w:rPr>
        <w:t xml:space="preserve"> of non-AI cases, while operating companies account for </w:t>
      </w:r>
      <w:r w:rsidR="00FA5579">
        <w:rPr>
          <w:color w:val="000000"/>
        </w:rPr>
        <w:t>about a fifth</w:t>
      </w:r>
      <w:r w:rsidRPr="008074B4">
        <w:rPr>
          <w:color w:val="000000"/>
        </w:rPr>
        <w:t xml:space="preserve"> of AI cases compared with </w:t>
      </w:r>
      <w:r w:rsidR="00FA5579">
        <w:rPr>
          <w:color w:val="000000"/>
        </w:rPr>
        <w:t>half</w:t>
      </w:r>
      <w:r w:rsidRPr="008074B4">
        <w:rPr>
          <w:color w:val="000000"/>
        </w:rPr>
        <w:t xml:space="preserve"> on the non-AI side. </w:t>
      </w:r>
      <w:r w:rsidR="00FA5579">
        <w:t xml:space="preserve">The data thus indicate that there is an </w:t>
      </w:r>
      <w:r w:rsidR="00FA5579" w:rsidRPr="008074B4">
        <w:t>active secondary market in AI patent</w:t>
      </w:r>
      <w:r w:rsidR="00254D25">
        <w:t xml:space="preserve"> litigation</w:t>
      </w:r>
      <w:r w:rsidR="00FA5579" w:rsidRPr="008074B4">
        <w:t xml:space="preserve"> rather than a wave of original-inventor enforcement. </w:t>
      </w:r>
    </w:p>
    <w:p w14:paraId="1204990F" w14:textId="76374D99" w:rsidR="00A86AC2" w:rsidRPr="008074B4" w:rsidRDefault="00A86AC2" w:rsidP="00D57A20">
      <w:pPr>
        <w:spacing w:line="480" w:lineRule="auto"/>
        <w:ind w:firstLine="720"/>
        <w:jc w:val="both"/>
      </w:pPr>
      <w:r w:rsidRPr="008074B4">
        <w:rPr>
          <w:color w:val="000000"/>
        </w:rPr>
        <w:lastRenderedPageBreak/>
        <w:t>Litigated AI patents are also more domestic</w:t>
      </w:r>
      <w:r w:rsidR="00FA5579">
        <w:rPr>
          <w:color w:val="000000"/>
        </w:rPr>
        <w:t xml:space="preserve"> in origin</w:t>
      </w:r>
      <w:r w:rsidRPr="008074B4">
        <w:rPr>
          <w:color w:val="000000"/>
        </w:rPr>
        <w:t xml:space="preserve"> and more exposed to repeat challenges in court </w:t>
      </w:r>
      <w:r w:rsidR="00254D25">
        <w:rPr>
          <w:color w:val="000000"/>
        </w:rPr>
        <w:t xml:space="preserve">and in administrative agencies </w:t>
      </w:r>
      <w:r w:rsidRPr="008074B4">
        <w:rPr>
          <w:color w:val="000000"/>
        </w:rPr>
        <w:t>than the broader non-AI</w:t>
      </w:r>
      <w:r w:rsidR="00254D25">
        <w:rPr>
          <w:color w:val="000000"/>
        </w:rPr>
        <w:t xml:space="preserve"> patent</w:t>
      </w:r>
      <w:r w:rsidRPr="008074B4">
        <w:rPr>
          <w:color w:val="000000"/>
        </w:rPr>
        <w:t xml:space="preserve"> docket.</w:t>
      </w:r>
      <w:r w:rsidRPr="008074B4">
        <w:t xml:space="preserve"> More than a quarter of AI patent litigations are filed by parties based outside the United States. The United Kingdom and Canada lead, together supplying nearly a third of all foreign AI litigated patents, and India and Korea are overrepresented relative to their overall patent totals, each contributing about 10%.</w:t>
      </w:r>
      <w:r w:rsidRPr="008074B4">
        <w:rPr>
          <w:i/>
          <w:iCs/>
          <w:color w:val="555555"/>
        </w:rPr>
        <w:t xml:space="preserve"> </w:t>
      </w:r>
      <w:r w:rsidRPr="008074B4">
        <w:rPr>
          <w:color w:val="000000"/>
        </w:rPr>
        <w:t>AI patents are less likely to have a foreign assignee (1</w:t>
      </w:r>
      <w:r w:rsidR="00652399">
        <w:rPr>
          <w:color w:val="000000"/>
        </w:rPr>
        <w:t>4.1</w:t>
      </w:r>
      <w:r w:rsidRPr="008074B4">
        <w:rPr>
          <w:color w:val="000000"/>
        </w:rPr>
        <w:t>% versus 2</w:t>
      </w:r>
      <w:r w:rsidR="00652399">
        <w:rPr>
          <w:color w:val="000000"/>
        </w:rPr>
        <w:t>0.9</w:t>
      </w:r>
      <w:r w:rsidRPr="008074B4">
        <w:rPr>
          <w:color w:val="000000"/>
        </w:rPr>
        <w:t>%) and less likely to carry the foreign-plaintiff or foreign-defendant tags (</w:t>
      </w:r>
      <w:r w:rsidR="00FA5579">
        <w:rPr>
          <w:color w:val="000000"/>
        </w:rPr>
        <w:t>3</w:t>
      </w:r>
      <w:r w:rsidRPr="008074B4">
        <w:rPr>
          <w:color w:val="000000"/>
        </w:rPr>
        <w:t>% versus 4% for plaintiffs, and 4% versus 6% for defendants).</w:t>
      </w:r>
      <w:r w:rsidRPr="008074B4">
        <w:t xml:space="preserve"> </w:t>
      </w:r>
      <w:r w:rsidRPr="008074B4">
        <w:rPr>
          <w:color w:val="000000"/>
        </w:rPr>
        <w:t>AI patents are asserted in 4.6 district-court actions on average, compared with 3.0 for non-AI patents, and they are attacked at PTAB far more often, at 2</w:t>
      </w:r>
      <w:r w:rsidR="00652399">
        <w:rPr>
          <w:color w:val="000000"/>
        </w:rPr>
        <w:t>3.6</w:t>
      </w:r>
      <w:r w:rsidRPr="008074B4">
        <w:rPr>
          <w:color w:val="000000"/>
        </w:rPr>
        <w:t>% versus 1</w:t>
      </w:r>
      <w:r w:rsidR="00652399">
        <w:rPr>
          <w:color w:val="000000"/>
        </w:rPr>
        <w:t>1.9</w:t>
      </w:r>
      <w:r w:rsidRPr="008074B4">
        <w:rPr>
          <w:color w:val="000000"/>
        </w:rPr>
        <w:t xml:space="preserve">%. </w:t>
      </w:r>
      <w:r w:rsidR="00652399">
        <w:rPr>
          <w:color w:val="000000"/>
        </w:rPr>
        <w:t xml:space="preserve">By contrast, ITC involvement is relatively flat between AI and non-AI litigated patents (about 2%). </w:t>
      </w:r>
    </w:p>
    <w:p w14:paraId="68B7FC44" w14:textId="2AB3A831" w:rsidR="00A65579" w:rsidRPr="008074B4" w:rsidRDefault="00254D25" w:rsidP="00E333AB">
      <w:pPr>
        <w:spacing w:line="480" w:lineRule="auto"/>
        <w:ind w:firstLine="720"/>
        <w:jc w:val="both"/>
      </w:pPr>
      <w:r>
        <w:rPr>
          <w:color w:val="000000"/>
        </w:rPr>
        <w:t xml:space="preserve">AI patents are also more likely to be disposed of early in the case through motions to dismiss or judgment on the pleadings. </w:t>
      </w:r>
      <w:r w:rsidR="00A65579" w:rsidRPr="008074B4">
        <w:rPr>
          <w:color w:val="000000"/>
        </w:rPr>
        <w:t>The procedural story is easiest to see in the full patent-case file, because that is where the settlement-heavy mass of ordinary case endings is preserved. Pleadings account for 2</w:t>
      </w:r>
      <w:r w:rsidR="00FA5579">
        <w:rPr>
          <w:color w:val="000000"/>
        </w:rPr>
        <w:t>.4</w:t>
      </w:r>
      <w:r w:rsidR="00A65579" w:rsidRPr="008074B4">
        <w:rPr>
          <w:color w:val="000000"/>
        </w:rPr>
        <w:t xml:space="preserve">% of all AI patent-case rows compared with 1.9% for non-AI rows, whereas non-AI patents are more likely to reach summary judgment (2.0% versus 1.5%), trial (2.4% versus 1.6%), and JMOL (0.3% versus 0.1%). Limited to only cases where the court reaches a merits decision, the discrepancy is even more stark: AI patents </w:t>
      </w:r>
      <w:r w:rsidR="003D18BB" w:rsidRPr="008074B4">
        <w:rPr>
          <w:color w:val="000000"/>
        </w:rPr>
        <w:t xml:space="preserve">in which a merits result is reached </w:t>
      </w:r>
      <w:r w:rsidR="00A65579" w:rsidRPr="008074B4">
        <w:rPr>
          <w:color w:val="000000"/>
        </w:rPr>
        <w:t xml:space="preserve">end in judgment on the pleadings </w:t>
      </w:r>
      <w:r w:rsidR="006A6423">
        <w:rPr>
          <w:color w:val="000000"/>
        </w:rPr>
        <w:t>30.3</w:t>
      </w:r>
      <w:r w:rsidR="00A65579" w:rsidRPr="008074B4">
        <w:rPr>
          <w:color w:val="000000"/>
        </w:rPr>
        <w:t xml:space="preserve">.0% of the time, compared with only </w:t>
      </w:r>
      <w:r w:rsidR="006A6423">
        <w:rPr>
          <w:color w:val="000000"/>
        </w:rPr>
        <w:t>7.4</w:t>
      </w:r>
      <w:r w:rsidR="00A65579" w:rsidRPr="008074B4">
        <w:rPr>
          <w:color w:val="000000"/>
        </w:rPr>
        <w:t>% for non-AI patents</w:t>
      </w:r>
      <w:r w:rsidR="00A86AC2" w:rsidRPr="008074B4">
        <w:rPr>
          <w:color w:val="000000"/>
        </w:rPr>
        <w:t>, a result statistically significant at 99% confidence</w:t>
      </w:r>
      <w:r w:rsidR="00A65579" w:rsidRPr="008074B4">
        <w:rPr>
          <w:color w:val="000000"/>
        </w:rPr>
        <w:t xml:space="preserve">. </w:t>
      </w:r>
      <w:r w:rsidR="006A6423">
        <w:rPr>
          <w:color w:val="000000"/>
        </w:rPr>
        <w:t xml:space="preserve">For invalidity determinations, AI patents are disposed of on the pleadings in 37.1% of the time compared to just 9.5% for non-AI patents. </w:t>
      </w:r>
      <w:r w:rsidR="00A65579" w:rsidRPr="008074B4">
        <w:rPr>
          <w:color w:val="000000"/>
        </w:rPr>
        <w:t>The procedural account is therefore not that AI disputes are uniquely trial-intensive. It is closer to the opposite: when they do not settle they are more likely to be screened out early.</w:t>
      </w:r>
      <w:r w:rsidR="00EB2F5E" w:rsidRPr="008074B4">
        <w:rPr>
          <w:color w:val="000000"/>
        </w:rPr>
        <w:t xml:space="preserve"> </w:t>
      </w:r>
      <w:r w:rsidR="00EB2F5E" w:rsidRPr="008074B4">
        <w:t xml:space="preserve">The </w:t>
      </w:r>
      <w:r w:rsidR="00EB2F5E" w:rsidRPr="008074B4">
        <w:lastRenderedPageBreak/>
        <w:t>pattern holds across all eight technology categories, which marks it as a structural feature of AI cases rather than a quirk of a few fields.</w:t>
      </w:r>
    </w:p>
    <w:p w14:paraId="7ECAFB72" w14:textId="2A31B7F1" w:rsidR="00A65579" w:rsidRPr="008074B4" w:rsidRDefault="00EB2F5E" w:rsidP="001B52F1">
      <w:pPr>
        <w:spacing w:line="480" w:lineRule="auto"/>
        <w:ind w:firstLine="720"/>
        <w:jc w:val="both"/>
      </w:pPr>
      <w:r w:rsidRPr="008074B4">
        <w:t xml:space="preserve">The heavy use of judgment on the pleadings makes sense once one looks at the grounds on which AI patents are invalidated. After </w:t>
      </w:r>
      <w:r w:rsidRPr="008074B4">
        <w:rPr>
          <w:i/>
          <w:iCs/>
        </w:rPr>
        <w:t>Alice</w:t>
      </w:r>
      <w:r w:rsidRPr="008074B4">
        <w:t>, § 101 has become a potent screen in software-adjacent fields</w:t>
      </w:r>
      <w:r w:rsidR="00FA5579">
        <w:t xml:space="preserve">. </w:t>
      </w:r>
      <w:r w:rsidRPr="008074B4">
        <w:t xml:space="preserve">The modern </w:t>
      </w:r>
      <w:r w:rsidR="00254D25">
        <w:t>“</w:t>
      </w:r>
      <w:r w:rsidRPr="008074B4">
        <w:t>plausibility</w:t>
      </w:r>
      <w:r w:rsidR="00254D25">
        <w:t xml:space="preserve">” regime established by the Supreme Court in </w:t>
      </w:r>
      <w:r w:rsidR="00254D25" w:rsidRPr="00254D25">
        <w:rPr>
          <w:i/>
          <w:iCs/>
        </w:rPr>
        <w:t>Twombly</w:t>
      </w:r>
      <w:r w:rsidRPr="008074B4">
        <w:t xml:space="preserve"> regime asks a plaintiff to plead infringement with factual specificit</w:t>
      </w:r>
      <w:r w:rsidR="00254D25">
        <w:t>y.</w:t>
      </w:r>
      <w:r w:rsidR="00AA094B" w:rsidRPr="00AA094B">
        <w:rPr>
          <w:rStyle w:val="FootnoteReference"/>
        </w:rPr>
        <w:t xml:space="preserve"> </w:t>
      </w:r>
      <w:r w:rsidR="00AA094B" w:rsidRPr="008074B4">
        <w:rPr>
          <w:rStyle w:val="FootnoteReference"/>
        </w:rPr>
        <w:footnoteReference w:id="60"/>
      </w:r>
      <w:r w:rsidR="00AA094B" w:rsidRPr="008074B4">
        <w:t xml:space="preserve"> </w:t>
      </w:r>
      <w:r w:rsidR="00254D25">
        <w:t xml:space="preserve"> </w:t>
      </w:r>
      <w:r w:rsidRPr="008074B4">
        <w:t xml:space="preserve"> </w:t>
      </w:r>
      <w:r w:rsidR="00254D25">
        <w:t>W</w:t>
      </w:r>
      <w:r w:rsidRPr="008074B4">
        <w:t xml:space="preserve">here conventional cases can satisfy that bar by describing an accused device’s observable features, AI systems are frequently opaque, distributed, or dependent on proprietary models that resist inspection before discovery. </w:t>
      </w:r>
      <w:r w:rsidR="00254D25">
        <w:t xml:space="preserve">This makes it easier for an accused infringer to prevail on a judgment on the pleadings, or even a summary judgment motion. </w:t>
      </w:r>
      <w:r w:rsidRPr="008074B4">
        <w:t>Section 101 and heightened pleading scrutiny thus combine into an early-stage filtration that is unusually strong in AI litigation.</w:t>
      </w:r>
    </w:p>
    <w:p w14:paraId="1A22575F" w14:textId="7138E9D5" w:rsidR="00B725F0" w:rsidRPr="006A6423" w:rsidRDefault="00B725F0" w:rsidP="00D57A20">
      <w:pPr>
        <w:spacing w:before="200" w:after="100" w:line="480" w:lineRule="auto"/>
      </w:pPr>
      <w:r w:rsidRPr="006A6423">
        <w:rPr>
          <w:b/>
          <w:bCs/>
        </w:rPr>
        <w:t xml:space="preserve">B.  </w:t>
      </w:r>
      <w:r w:rsidR="00EB2F5E" w:rsidRPr="006A6423">
        <w:rPr>
          <w:b/>
          <w:bCs/>
        </w:rPr>
        <w:t>Validity and Infringement Outcomes</w:t>
      </w:r>
    </w:p>
    <w:p w14:paraId="257D4EB3" w14:textId="24ED9A8D" w:rsidR="000D4A69" w:rsidRPr="00E333AB" w:rsidRDefault="00D94DA1" w:rsidP="00E333AB">
      <w:pPr>
        <w:spacing w:line="480" w:lineRule="auto"/>
        <w:ind w:firstLine="720"/>
        <w:rPr>
          <w:color w:val="000000"/>
        </w:rPr>
      </w:pPr>
      <w:r>
        <w:t xml:space="preserve">Conditional on reaching a merits outcome, </w:t>
      </w:r>
      <w:r w:rsidR="0034162F">
        <w:t xml:space="preserve">which is the </w:t>
      </w:r>
      <w:r w:rsidR="00F471E9">
        <w:t>case sample</w:t>
      </w:r>
      <w:r w:rsidR="0034162F">
        <w:t xml:space="preserve"> that this Article </w:t>
      </w:r>
      <w:r w:rsidR="00F471E9">
        <w:t>focuses on,</w:t>
      </w:r>
      <w:r w:rsidR="0034162F">
        <w:t xml:space="preserve"> </w:t>
      </w:r>
      <w:r>
        <w:t>n</w:t>
      </w:r>
      <w:r w:rsidR="00B725F0" w:rsidRPr="008074B4">
        <w:t>on-AI patents are</w:t>
      </w:r>
      <w:r w:rsidR="005D1068" w:rsidRPr="008074B4">
        <w:t xml:space="preserve"> significantly</w:t>
      </w:r>
      <w:r w:rsidR="00B725F0" w:rsidRPr="008074B4">
        <w:t xml:space="preserve"> less likely to be invalidated than AI patents, with the differences</w:t>
      </w:r>
      <w:r w:rsidR="00FA5579">
        <w:t xml:space="preserve"> </w:t>
      </w:r>
      <w:r w:rsidR="00981003">
        <w:t xml:space="preserve">in the cross-tabulations </w:t>
      </w:r>
      <w:r w:rsidR="00FA5579">
        <w:t>statistically</w:t>
      </w:r>
      <w:r w:rsidR="00B725F0" w:rsidRPr="008074B4">
        <w:t xml:space="preserve"> significant at the 99% </w:t>
      </w:r>
      <w:r w:rsidR="0034162F">
        <w:t xml:space="preserve">confidence </w:t>
      </w:r>
      <w:r w:rsidR="00B725F0" w:rsidRPr="008074B4">
        <w:t>level</w:t>
      </w:r>
      <w:r w:rsidR="005D1068" w:rsidRPr="008074B4">
        <w:t xml:space="preserve">. </w:t>
      </w:r>
      <w:r w:rsidR="00B725F0" w:rsidRPr="008074B4">
        <w:t xml:space="preserve">The size of the gap varies by </w:t>
      </w:r>
      <w:r w:rsidR="00F471E9">
        <w:t xml:space="preserve">technological </w:t>
      </w:r>
      <w:r w:rsidR="00B725F0" w:rsidRPr="008074B4">
        <w:t>field even though its direction does not</w:t>
      </w:r>
      <w:r w:rsidR="0034162F">
        <w:t xml:space="preserve">, with the difference most stark not surprisingly in </w:t>
      </w:r>
      <w:r w:rsidR="00B725F0" w:rsidRPr="008074B4">
        <w:t xml:space="preserve">software-proximate domains. </w:t>
      </w:r>
      <w:r w:rsidR="00550347">
        <w:rPr>
          <w:color w:val="000000"/>
        </w:rPr>
        <w:t xml:space="preserve">Figure </w:t>
      </w:r>
      <w:r w:rsidR="001142BC">
        <w:rPr>
          <w:color w:val="000000"/>
        </w:rPr>
        <w:t>6</w:t>
      </w:r>
      <w:r w:rsidR="00E333AB">
        <w:rPr>
          <w:color w:val="000000"/>
        </w:rPr>
        <w:t xml:space="preserve"> </w:t>
      </w:r>
      <w:r w:rsidR="00550347">
        <w:rPr>
          <w:color w:val="000000"/>
        </w:rPr>
        <w:t xml:space="preserve">breaks down the </w:t>
      </w:r>
      <w:r w:rsidR="00550347" w:rsidRPr="00262A25">
        <w:rPr>
          <w:color w:val="000000"/>
        </w:rPr>
        <w:t xml:space="preserve">invalidity results by statutory section. </w:t>
      </w:r>
      <w:r w:rsidR="00987A05" w:rsidRPr="00262A25">
        <w:rPr>
          <w:color w:val="000000"/>
        </w:rPr>
        <w:t>Compared with non-AI, AI patent-case rulings are far more likely to end in overall invalidity (7</w:t>
      </w:r>
      <w:r w:rsidR="00EA26D6">
        <w:rPr>
          <w:color w:val="000000"/>
        </w:rPr>
        <w:t>4.2</w:t>
      </w:r>
      <w:r w:rsidR="00987A05" w:rsidRPr="00262A25">
        <w:rPr>
          <w:color w:val="000000"/>
        </w:rPr>
        <w:t xml:space="preserve">% versus </w:t>
      </w:r>
      <w:r w:rsidR="00FA5579" w:rsidRPr="00262A25">
        <w:rPr>
          <w:color w:val="000000"/>
        </w:rPr>
        <w:t>4</w:t>
      </w:r>
      <w:r w:rsidR="00EA26D6">
        <w:rPr>
          <w:color w:val="000000"/>
        </w:rPr>
        <w:t>7.9</w:t>
      </w:r>
      <w:r w:rsidR="00987A05" w:rsidRPr="00262A25">
        <w:rPr>
          <w:color w:val="000000"/>
        </w:rPr>
        <w:t>%)</w:t>
      </w:r>
      <w:r w:rsidR="00F471E9">
        <w:rPr>
          <w:color w:val="000000"/>
        </w:rPr>
        <w:t>,</w:t>
      </w:r>
      <w:r w:rsidR="00987A05" w:rsidRPr="00262A25">
        <w:rPr>
          <w:color w:val="000000"/>
        </w:rPr>
        <w:t xml:space="preserve"> especially in final </w:t>
      </w:r>
      <w:r w:rsidR="00F471E9">
        <w:rPr>
          <w:color w:val="000000"/>
        </w:rPr>
        <w:t>s</w:t>
      </w:r>
      <w:r w:rsidR="00987A05" w:rsidRPr="00262A25">
        <w:rPr>
          <w:color w:val="000000"/>
        </w:rPr>
        <w:t>ection 101 invalidation (</w:t>
      </w:r>
      <w:r w:rsidR="00EA26D6">
        <w:rPr>
          <w:color w:val="000000"/>
        </w:rPr>
        <w:t>64.3</w:t>
      </w:r>
      <w:r w:rsidR="00987A05" w:rsidRPr="00262A25">
        <w:rPr>
          <w:color w:val="000000"/>
        </w:rPr>
        <w:t xml:space="preserve">% versus </w:t>
      </w:r>
      <w:r w:rsidR="00EA26D6">
        <w:rPr>
          <w:color w:val="000000"/>
        </w:rPr>
        <w:t>25.2</w:t>
      </w:r>
      <w:r w:rsidR="00987A05" w:rsidRPr="00262A25">
        <w:rPr>
          <w:color w:val="000000"/>
        </w:rPr>
        <w:t>%).</w:t>
      </w:r>
      <w:r w:rsidR="00E333AB">
        <w:rPr>
          <w:rStyle w:val="FootnoteReference"/>
          <w:color w:val="000000"/>
        </w:rPr>
        <w:footnoteReference w:id="61"/>
      </w:r>
      <w:r w:rsidR="00E333AB" w:rsidRPr="008074B4">
        <w:rPr>
          <w:color w:val="000000"/>
        </w:rPr>
        <w:t xml:space="preserve"> </w:t>
      </w:r>
      <w:r w:rsidR="00987A05" w:rsidRPr="00262A25">
        <w:rPr>
          <w:color w:val="000000"/>
        </w:rPr>
        <w:t xml:space="preserve"> </w:t>
      </w:r>
      <w:r w:rsidR="001B52F1">
        <w:rPr>
          <w:color w:val="000000"/>
        </w:rPr>
        <w:t xml:space="preserve">For all other statutory subsections, AI inventions run behind non-AI </w:t>
      </w:r>
      <w:r w:rsidR="001B52F1">
        <w:rPr>
          <w:color w:val="000000"/>
        </w:rPr>
        <w:lastRenderedPageBreak/>
        <w:t xml:space="preserve">inventions. </w:t>
      </w:r>
      <w:r w:rsidR="000D4A69" w:rsidRPr="00262A25">
        <w:rPr>
          <w:color w:val="000000"/>
        </w:rPr>
        <w:t xml:space="preserve">Definiteness is higher among </w:t>
      </w:r>
      <w:r w:rsidR="001B52F1">
        <w:rPr>
          <w:color w:val="000000"/>
        </w:rPr>
        <w:t>non-</w:t>
      </w:r>
      <w:r w:rsidR="000D4A69" w:rsidRPr="00262A25">
        <w:rPr>
          <w:color w:val="000000"/>
        </w:rPr>
        <w:t>AI inventions (</w:t>
      </w:r>
      <w:r w:rsidR="00EA26D6">
        <w:rPr>
          <w:color w:val="000000"/>
        </w:rPr>
        <w:t>25.8</w:t>
      </w:r>
      <w:r w:rsidR="000D4A69" w:rsidRPr="00262A25">
        <w:rPr>
          <w:color w:val="000000"/>
        </w:rPr>
        <w:t>% v. 1</w:t>
      </w:r>
      <w:r w:rsidR="00EA26D6">
        <w:rPr>
          <w:color w:val="000000"/>
        </w:rPr>
        <w:t>8.6</w:t>
      </w:r>
      <w:r w:rsidR="000D4A69" w:rsidRPr="00262A25">
        <w:rPr>
          <w:color w:val="000000"/>
        </w:rPr>
        <w:t xml:space="preserve">%). </w:t>
      </w:r>
      <w:r w:rsidR="001B52F1">
        <w:rPr>
          <w:color w:val="000000"/>
        </w:rPr>
        <w:t xml:space="preserve">The </w:t>
      </w:r>
      <w:r w:rsidR="00987A05" w:rsidRPr="00262A25">
        <w:rPr>
          <w:color w:val="000000"/>
        </w:rPr>
        <w:t>non-AI sample</w:t>
      </w:r>
      <w:r w:rsidR="001B52F1">
        <w:rPr>
          <w:color w:val="000000"/>
        </w:rPr>
        <w:t xml:space="preserve"> also</w:t>
      </w:r>
      <w:r w:rsidR="00987A05" w:rsidRPr="00262A25">
        <w:rPr>
          <w:color w:val="000000"/>
        </w:rPr>
        <w:t xml:space="preserve"> runs higher on </w:t>
      </w:r>
      <w:r w:rsidR="00F471E9">
        <w:rPr>
          <w:color w:val="000000"/>
        </w:rPr>
        <w:t>s</w:t>
      </w:r>
      <w:r w:rsidR="00987A05" w:rsidRPr="00262A25">
        <w:rPr>
          <w:color w:val="000000"/>
        </w:rPr>
        <w:t>ection 102 (</w:t>
      </w:r>
      <w:r w:rsidR="00EA26D6">
        <w:rPr>
          <w:color w:val="000000"/>
        </w:rPr>
        <w:t>24.2</w:t>
      </w:r>
      <w:r w:rsidR="00987A05" w:rsidRPr="00262A25">
        <w:rPr>
          <w:color w:val="000000"/>
        </w:rPr>
        <w:t xml:space="preserve">% versus </w:t>
      </w:r>
      <w:r w:rsidR="00EA26D6">
        <w:rPr>
          <w:color w:val="000000"/>
        </w:rPr>
        <w:t>11.3</w:t>
      </w:r>
      <w:r w:rsidR="00987A05" w:rsidRPr="00262A25">
        <w:rPr>
          <w:color w:val="000000"/>
        </w:rPr>
        <w:t xml:space="preserve">%) and </w:t>
      </w:r>
      <w:r w:rsidR="00F471E9">
        <w:rPr>
          <w:color w:val="000000"/>
        </w:rPr>
        <w:t>s</w:t>
      </w:r>
      <w:r w:rsidR="00987A05" w:rsidRPr="00262A25">
        <w:rPr>
          <w:color w:val="000000"/>
        </w:rPr>
        <w:t>ection 103 (</w:t>
      </w:r>
      <w:r w:rsidR="00EA26D6">
        <w:rPr>
          <w:color w:val="000000"/>
        </w:rPr>
        <w:t>24.3</w:t>
      </w:r>
      <w:r w:rsidR="00987A05" w:rsidRPr="00262A25">
        <w:rPr>
          <w:color w:val="000000"/>
        </w:rPr>
        <w:t xml:space="preserve">% versus </w:t>
      </w:r>
      <w:r w:rsidR="00FA5579" w:rsidRPr="00262A25">
        <w:rPr>
          <w:color w:val="000000"/>
        </w:rPr>
        <w:t>6</w:t>
      </w:r>
      <w:r w:rsidR="00EA26D6">
        <w:rPr>
          <w:color w:val="000000"/>
        </w:rPr>
        <w:t>.2</w:t>
      </w:r>
      <w:r w:rsidR="00987A05" w:rsidRPr="00262A25">
        <w:rPr>
          <w:color w:val="000000"/>
        </w:rPr>
        <w:t>%), so the doctrinal separation is mainly an eligibility story rather than a prior-art story.</w:t>
      </w:r>
      <w:r w:rsidR="000D4A69" w:rsidRPr="00262A25">
        <w:rPr>
          <w:color w:val="000000"/>
        </w:rPr>
        <w:t xml:space="preserve"> </w:t>
      </w:r>
      <w:r w:rsidR="00EA26D6">
        <w:rPr>
          <w:color w:val="000000"/>
        </w:rPr>
        <w:t xml:space="preserve">Invalidations based on written description (6.7% for non-AI versus 3.3% for AI) and enablement (4.2% for non-AI versus 2.8% for AI) reveal a similar pattern. </w:t>
      </w:r>
      <w:r w:rsidR="000D4A69" w:rsidRPr="00262A25">
        <w:t xml:space="preserve">The obviousness result is the one most worth dwelling on, because it cuts against a natural assumption. One might expect AI and software patents, often criticized as combining known techniques, to fall disproportionately on </w:t>
      </w:r>
      <w:r w:rsidR="00EA26D6">
        <w:t>section</w:t>
      </w:r>
      <w:r w:rsidR="000D4A69" w:rsidRPr="00262A25">
        <w:t xml:space="preserve"> 103. </w:t>
      </w:r>
      <w:r w:rsidR="00262A25">
        <w:t>But they do the reverse.</w:t>
      </w:r>
      <w:r w:rsidR="000D4A69" w:rsidRPr="00262A25">
        <w:t xml:space="preserve"> Both AI software and traditional software are significantly less likely than the baseline to be invalidated for obviousness, which means the prior-art doctrine that is doctrinally best suited to police routine recombination is doing comparatively little of</w:t>
      </w:r>
      <w:r w:rsidR="000D4A69" w:rsidRPr="008074B4">
        <w:t xml:space="preserve"> the invalidating in this space. Read alongside the </w:t>
      </w:r>
      <w:r w:rsidR="00EA26D6">
        <w:t xml:space="preserve">section </w:t>
      </w:r>
      <w:r w:rsidR="000D4A69" w:rsidRPr="008074B4">
        <w:t>101 result, the pattern describes a system that has substituted a threshold characterization, is this an abstract idea, for the fact-intensive comparison the prior-art doctrines were built to perform. That substitution is efficient in the narrow sense that it resolves cases early and cheaply. It is inefficient in the sense that matters for innovation, because it sorts patents on a legal label rather than on the technical question of whether the claimed advance was actually new and nonobvious, and the data give no reason to think the label and the technical merit line up closely for AI.</w:t>
      </w:r>
      <w:r w:rsidR="000D4A69" w:rsidRPr="008074B4">
        <w:rPr>
          <w:b/>
          <w:bCs/>
        </w:rPr>
        <w:t xml:space="preserve"> </w:t>
      </w:r>
      <w:r w:rsidR="00E333AB" w:rsidRPr="008074B4">
        <w:rPr>
          <w:color w:val="000000"/>
        </w:rPr>
        <w:t xml:space="preserve">Invalidation is highest </w:t>
      </w:r>
      <w:r w:rsidR="00E333AB">
        <w:rPr>
          <w:color w:val="000000"/>
        </w:rPr>
        <w:t>for</w:t>
      </w:r>
      <w:r w:rsidR="00E333AB" w:rsidRPr="008074B4">
        <w:rPr>
          <w:color w:val="000000"/>
        </w:rPr>
        <w:t xml:space="preserve"> machine learning (8</w:t>
      </w:r>
      <w:r w:rsidR="002206F1">
        <w:rPr>
          <w:color w:val="000000"/>
        </w:rPr>
        <w:t>7.6</w:t>
      </w:r>
      <w:r w:rsidR="00E333AB" w:rsidRPr="008074B4">
        <w:rPr>
          <w:color w:val="000000"/>
        </w:rPr>
        <w:t xml:space="preserve">%), knowledge </w:t>
      </w:r>
      <w:r w:rsidR="002206F1">
        <w:rPr>
          <w:color w:val="000000"/>
        </w:rPr>
        <w:t xml:space="preserve">representation </w:t>
      </w:r>
      <w:r w:rsidR="00E333AB" w:rsidRPr="008074B4">
        <w:rPr>
          <w:color w:val="000000"/>
        </w:rPr>
        <w:t>(8</w:t>
      </w:r>
      <w:r w:rsidR="002206F1">
        <w:rPr>
          <w:color w:val="000000"/>
        </w:rPr>
        <w:t>3.9</w:t>
      </w:r>
      <w:r w:rsidR="00E333AB" w:rsidRPr="008074B4">
        <w:rPr>
          <w:color w:val="000000"/>
        </w:rPr>
        <w:t>%) and planning (8</w:t>
      </w:r>
      <w:r w:rsidR="002206F1">
        <w:rPr>
          <w:color w:val="000000"/>
        </w:rPr>
        <w:t>2.5</w:t>
      </w:r>
      <w:r w:rsidR="00E333AB" w:rsidRPr="008074B4">
        <w:rPr>
          <w:color w:val="000000"/>
        </w:rPr>
        <w:t>%)</w:t>
      </w:r>
      <w:r w:rsidR="00E333AB">
        <w:rPr>
          <w:color w:val="000000"/>
        </w:rPr>
        <w:t xml:space="preserve"> patents</w:t>
      </w:r>
      <w:r w:rsidR="00E333AB" w:rsidRPr="008074B4">
        <w:rPr>
          <w:color w:val="000000"/>
        </w:rPr>
        <w:t xml:space="preserve">. </w:t>
      </w:r>
      <w:r w:rsidR="002206F1">
        <w:rPr>
          <w:color w:val="000000"/>
        </w:rPr>
        <w:t>It is much lower for evolutionary computation (67.5%) patents in particular</w:t>
      </w:r>
      <w:r w:rsidR="00012457">
        <w:rPr>
          <w:color w:val="000000"/>
        </w:rPr>
        <w:t xml:space="preserve">, though it is still above the non-AI baseline. </w:t>
      </w:r>
    </w:p>
    <w:p w14:paraId="08BFAC06" w14:textId="38722831" w:rsidR="001B52F1" w:rsidRPr="00E333AB" w:rsidRDefault="001B52F1" w:rsidP="00E333AB">
      <w:pPr>
        <w:spacing w:line="480" w:lineRule="auto"/>
        <w:jc w:val="center"/>
        <w:rPr>
          <w:b/>
          <w:bCs/>
          <w:color w:val="000000"/>
        </w:rPr>
      </w:pPr>
      <w:r w:rsidRPr="00E333AB">
        <w:rPr>
          <w:b/>
          <w:bCs/>
        </w:rPr>
        <w:lastRenderedPageBreak/>
        <w:t xml:space="preserve">Figure </w:t>
      </w:r>
      <w:r w:rsidR="001142BC">
        <w:rPr>
          <w:b/>
          <w:bCs/>
        </w:rPr>
        <w:t>6</w:t>
      </w:r>
      <w:r w:rsidRPr="00E333AB">
        <w:rPr>
          <w:b/>
          <w:bCs/>
        </w:rPr>
        <w:t>: Invalidity Outcomes: AI Confidence Tier 50% versus non-AI</w:t>
      </w:r>
    </w:p>
    <w:p w14:paraId="6349E35E" w14:textId="10D7FA2C" w:rsidR="00550347" w:rsidRPr="00466D68" w:rsidRDefault="003B7916" w:rsidP="003B7916">
      <w:pPr>
        <w:spacing w:after="120" w:line="480" w:lineRule="auto"/>
        <w:jc w:val="center"/>
        <w:rPr>
          <w:b/>
          <w:bCs/>
        </w:rPr>
      </w:pPr>
      <w:r w:rsidRPr="005A2545">
        <w:rPr>
          <w:noProof/>
          <w:sz w:val="20"/>
          <w:szCs w:val="20"/>
        </w:rPr>
        <w:drawing>
          <wp:inline distT="0" distB="0" distL="0" distR="0" wp14:anchorId="48A53271" wp14:editId="408F57D3">
            <wp:extent cx="3657600" cy="2075688"/>
            <wp:effectExtent l="0" t="0" r="0" b="0"/>
            <wp:docPr id="1982685965" name="Picture 1982685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validity_subsection_raw_bar_chart_ai50.png"/>
                    <pic:cNvPicPr/>
                  </pic:nvPicPr>
                  <pic:blipFill>
                    <a:blip r:embed="rId11"/>
                    <a:stretch>
                      <a:fillRect/>
                    </a:stretch>
                  </pic:blipFill>
                  <pic:spPr>
                    <a:xfrm>
                      <a:off x="0" y="0"/>
                      <a:ext cx="3657600" cy="2075688"/>
                    </a:xfrm>
                    <a:prstGeom prst="rect">
                      <a:avLst/>
                    </a:prstGeom>
                  </pic:spPr>
                </pic:pic>
              </a:graphicData>
            </a:graphic>
          </wp:inline>
        </w:drawing>
      </w:r>
    </w:p>
    <w:p w14:paraId="5C9C86C7" w14:textId="3427F8C9" w:rsidR="00B725F0" w:rsidRPr="008074B4" w:rsidRDefault="00EB2F5E" w:rsidP="00D57A20">
      <w:pPr>
        <w:spacing w:line="480" w:lineRule="auto"/>
        <w:ind w:firstLine="720"/>
      </w:pPr>
      <w:r w:rsidRPr="008074B4">
        <w:t>The liability evidence</w:t>
      </w:r>
      <w:r w:rsidR="00262A25">
        <w:t xml:space="preserve"> on infringement</w:t>
      </w:r>
      <w:r w:rsidRPr="008074B4">
        <w:t xml:space="preserve"> is weaker in magnitude and more heterogeneous than the validity evidence. </w:t>
      </w:r>
      <w:r w:rsidR="00262A25">
        <w:t xml:space="preserve">But the differences between AI and non-AI patents are still statistically significant. </w:t>
      </w:r>
      <w:r w:rsidRPr="008074B4">
        <w:t xml:space="preserve">Validity doctrines apply to the patent as written and should respond fairly uniformly to abstraction and prior-art density, so a penalty rooted in eligibility should travel across subclasses. Infringement </w:t>
      </w:r>
      <w:r w:rsidR="00262A25">
        <w:t xml:space="preserve">in turn </w:t>
      </w:r>
      <w:r w:rsidRPr="008074B4">
        <w:t xml:space="preserve">turns on the architecture of the accused system and the specificity of the claims, which naturally introduces subclass variation, so a penalty rooted in proof difficulty should vary with how observable the technology is. </w:t>
      </w:r>
      <w:r w:rsidRPr="008074B4">
        <w:rPr>
          <w:color w:val="000000"/>
        </w:rPr>
        <w:t xml:space="preserve">AI patents are found infringed in </w:t>
      </w:r>
      <w:r w:rsidR="00E61047">
        <w:rPr>
          <w:color w:val="000000"/>
        </w:rPr>
        <w:t>24.0</w:t>
      </w:r>
      <w:r w:rsidRPr="008074B4">
        <w:rPr>
          <w:color w:val="000000"/>
        </w:rPr>
        <w:t xml:space="preserve">% of observations, compared with </w:t>
      </w:r>
      <w:r w:rsidR="00E61047">
        <w:rPr>
          <w:color w:val="000000"/>
        </w:rPr>
        <w:t>34.7</w:t>
      </w:r>
      <w:r w:rsidRPr="008074B4">
        <w:rPr>
          <w:color w:val="000000"/>
        </w:rPr>
        <w:t>%</w:t>
      </w:r>
      <w:r w:rsidR="00FA5579">
        <w:rPr>
          <w:color w:val="000000"/>
        </w:rPr>
        <w:t xml:space="preserve"> for non-AI</w:t>
      </w:r>
      <w:r w:rsidRPr="008074B4">
        <w:rPr>
          <w:color w:val="000000"/>
        </w:rPr>
        <w:t>.</w:t>
      </w:r>
      <w:r w:rsidRPr="008074B4">
        <w:t xml:space="preserve"> </w:t>
      </w:r>
      <w:r w:rsidR="00E61047" w:rsidRPr="00E61047">
        <w:t>Infringement findings</w:t>
      </w:r>
      <w:r w:rsidR="00262A25" w:rsidRPr="00E61047">
        <w:t xml:space="preserve"> are </w:t>
      </w:r>
      <w:r w:rsidR="00593CF2" w:rsidRPr="00E61047">
        <w:t xml:space="preserve">especially </w:t>
      </w:r>
      <w:r w:rsidR="00E61047" w:rsidRPr="00E61047">
        <w:t xml:space="preserve">lower </w:t>
      </w:r>
      <w:r w:rsidR="00593CF2" w:rsidRPr="00E61047">
        <w:t>in NLP</w:t>
      </w:r>
      <w:r w:rsidR="00E61047">
        <w:t xml:space="preserve"> (19.0%)</w:t>
      </w:r>
      <w:r w:rsidR="00E61047" w:rsidRPr="00E61047">
        <w:t xml:space="preserve">, </w:t>
      </w:r>
      <w:r w:rsidR="00593CF2" w:rsidRPr="00E61047">
        <w:t>machine learning</w:t>
      </w:r>
      <w:r w:rsidR="00E61047">
        <w:t xml:space="preserve"> (21.0%)</w:t>
      </w:r>
      <w:r w:rsidR="00E61047" w:rsidRPr="00E61047">
        <w:t xml:space="preserve">, </w:t>
      </w:r>
      <w:r w:rsidR="00E61047">
        <w:t xml:space="preserve">vision (21.3%) </w:t>
      </w:r>
      <w:r w:rsidR="00593CF2" w:rsidRPr="00E61047">
        <w:t>and knowledge representation</w:t>
      </w:r>
      <w:r w:rsidR="00E61047">
        <w:t xml:space="preserve"> (20.4%)</w:t>
      </w:r>
      <w:r w:rsidR="00593CF2" w:rsidRPr="00E61047">
        <w:t>,</w:t>
      </w:r>
      <w:r w:rsidR="00593CF2" w:rsidRPr="008074B4">
        <w:t xml:space="preserve"> where </w:t>
      </w:r>
      <w:r w:rsidR="00262A25">
        <w:t>“</w:t>
      </w:r>
      <w:r w:rsidR="00593CF2" w:rsidRPr="008074B4">
        <w:t>no infringement</w:t>
      </w:r>
      <w:r w:rsidR="00262A25">
        <w:t>”</w:t>
      </w:r>
      <w:r w:rsidR="00593CF2" w:rsidRPr="008074B4">
        <w:t xml:space="preserve"> rulings are </w:t>
      </w:r>
      <w:r w:rsidR="002206F1">
        <w:t xml:space="preserve">more </w:t>
      </w:r>
      <w:r w:rsidR="00593CF2" w:rsidRPr="008074B4">
        <w:t xml:space="preserve">common. </w:t>
      </w:r>
      <w:r w:rsidR="00B725F0" w:rsidRPr="008074B4">
        <w:t xml:space="preserve">The technology makes this unsurprising. </w:t>
      </w:r>
      <w:r w:rsidR="00593CF2" w:rsidRPr="008074B4">
        <w:t xml:space="preserve">NLP-based </w:t>
      </w:r>
      <w:r w:rsidR="00B725F0" w:rsidRPr="008074B4">
        <w:t>AI systems rely on training data and keep changing as they process new inputs, so infringing uses can be hard to observe and may occur only momentarily.</w:t>
      </w:r>
      <w:r w:rsidR="00B725F0" w:rsidRPr="008074B4">
        <w:rPr>
          <w:rStyle w:val="FootnoteReference"/>
        </w:rPr>
        <w:footnoteReference w:id="62"/>
      </w:r>
      <w:r w:rsidR="00B725F0" w:rsidRPr="008074B4">
        <w:t xml:space="preserve"> The infringer can </w:t>
      </w:r>
      <w:r w:rsidR="00262A25">
        <w:t xml:space="preserve">also </w:t>
      </w:r>
      <w:r w:rsidR="00B725F0" w:rsidRPr="008074B4">
        <w:t xml:space="preserve">be hard to identify as well, because AI is often developed by one entity, sold to a second, and trained and operated by a third, so pinning the direct infringer of a method </w:t>
      </w:r>
      <w:r w:rsidR="00B725F0" w:rsidRPr="008074B4">
        <w:lastRenderedPageBreak/>
        <w:t>claim when several actors each perform a distinct step becomes difficult.</w:t>
      </w:r>
      <w:r w:rsidR="00B725F0" w:rsidRPr="008074B4">
        <w:rPr>
          <w:rStyle w:val="FootnoteReference"/>
        </w:rPr>
        <w:footnoteReference w:id="63"/>
      </w:r>
      <w:r w:rsidR="00B725F0" w:rsidRPr="008074B4">
        <w:t xml:space="preserve"> Jurisdiction adds a further layer, since a neural network distributed across the cloud in several countries may have no fixed place of infringement.</w:t>
      </w:r>
      <w:r w:rsidRPr="008074B4">
        <w:t xml:space="preserve"> Infringers can be direct or indirect, and as such, it may be especially hard to prove indirect infringement of an AI patent, especially by third parties. </w:t>
      </w:r>
      <w:r w:rsidR="00B725F0" w:rsidRPr="008074B4">
        <w:t>Whether an AI program has substantial noninfringing uses, and so escapes contributory liability, can be difficult to determine. Inducement is harder still, because the knowledge it requires is elusive. Consider a party that supplies a training set to another that uses it to infringe</w:t>
      </w:r>
      <w:r w:rsidR="00F471E9">
        <w:t xml:space="preserve"> </w:t>
      </w:r>
      <w:r w:rsidR="00B725F0" w:rsidRPr="008074B4">
        <w:t>and ask whether the supplier induced the infringement.</w:t>
      </w:r>
      <w:r w:rsidR="00B725F0" w:rsidRPr="008074B4">
        <w:rPr>
          <w:rStyle w:val="FootnoteReference"/>
        </w:rPr>
        <w:footnoteReference w:id="64"/>
      </w:r>
      <w:r w:rsidR="00B725F0" w:rsidRPr="008074B4">
        <w:t xml:space="preserve"> These questions are specific to AI, and the law may have to adapt to answer them.</w:t>
      </w:r>
      <w:r w:rsidR="005D1068" w:rsidRPr="008074B4">
        <w:t xml:space="preserve"> AI systems may also be spread among third parties,</w:t>
      </w:r>
      <w:r w:rsidR="00593CF2" w:rsidRPr="008074B4">
        <w:t xml:space="preserve"> and a</w:t>
      </w:r>
      <w:r w:rsidR="00B725F0" w:rsidRPr="008074B4">
        <w:t xml:space="preserve">ccused systems in these fields may be harder to map onto the claimed elements, whether from narrower effective scope or greater architectural complexity. </w:t>
      </w:r>
    </w:p>
    <w:p w14:paraId="665C8019" w14:textId="5E4036E0" w:rsidR="008074B4" w:rsidRPr="008074B4" w:rsidRDefault="00B725F0" w:rsidP="00D57A20">
      <w:pPr>
        <w:spacing w:before="280" w:after="160" w:line="480" w:lineRule="auto"/>
        <w:jc w:val="center"/>
        <w:rPr>
          <w:b/>
          <w:bCs/>
          <w:smallCaps/>
        </w:rPr>
      </w:pPr>
      <w:r w:rsidRPr="008074B4">
        <w:rPr>
          <w:b/>
          <w:bCs/>
          <w:smallCaps/>
        </w:rPr>
        <w:t>IV.  Multivariate Results and Robustness</w:t>
      </w:r>
    </w:p>
    <w:p w14:paraId="273CABF0" w14:textId="29DA27CE" w:rsidR="00B725F0" w:rsidRPr="008074B4" w:rsidRDefault="00B725F0" w:rsidP="00D57A20">
      <w:pPr>
        <w:spacing w:line="480" w:lineRule="auto"/>
        <w:ind w:firstLine="720"/>
        <w:jc w:val="both"/>
      </w:pPr>
      <w:r w:rsidRPr="008074B4">
        <w:t>The descriptive patterns suggest that AI patents face distinct procedural and doctrinal headwinds</w:t>
      </w:r>
      <w:r w:rsidR="00262A25">
        <w:t xml:space="preserve"> on both invalidity and infringement</w:t>
      </w:r>
      <w:r w:rsidRPr="008074B4">
        <w:t xml:space="preserve">. Cross-tabulations cannot tell me whether those differences come from AI status itself or from correlated case characteristics such as technology mix, forum, party type, claim scope, or litigation posture, each of which also affects </w:t>
      </w:r>
      <w:r w:rsidR="00262A25">
        <w:t>case outcome</w:t>
      </w:r>
      <w:r w:rsidRPr="008074B4">
        <w:t xml:space="preserve">. Multivariate regression isolates the marginal effect of AI classification while holding other observable features constant. I estimate linear probability models in which each </w:t>
      </w:r>
      <w:r w:rsidR="00032257">
        <w:t>patent-case</w:t>
      </w:r>
      <w:r w:rsidRPr="008074B4">
        <w:t xml:space="preserve"> </w:t>
      </w:r>
      <w:r w:rsidRPr="008074B4">
        <w:lastRenderedPageBreak/>
        <w:t xml:space="preserve">outcome equals one </w:t>
      </w:r>
      <w:r w:rsidR="00032257">
        <w:t>it is represents an AI patent and 0 otherwise.</w:t>
      </w:r>
      <w:r w:rsidR="001B761B">
        <w:rPr>
          <w:rStyle w:val="FootnoteReference"/>
        </w:rPr>
        <w:footnoteReference w:id="65"/>
      </w:r>
      <w:r w:rsidR="00032257">
        <w:t xml:space="preserve"> The main specification uses the 50% confidence threshold</w:t>
      </w:r>
      <w:r w:rsidR="0008532B">
        <w:t xml:space="preserve"> to define an AI invention</w:t>
      </w:r>
      <w:r w:rsidR="00032257">
        <w:t>, with the 86% and 93% thresholds added as robustness checks</w:t>
      </w:r>
      <w:r w:rsidR="00F471E9">
        <w:t xml:space="preserve"> in some specifications.</w:t>
      </w:r>
      <w:r w:rsidR="00032257">
        <w:t xml:space="preserve"> </w:t>
      </w:r>
    </w:p>
    <w:p w14:paraId="64A91CA4" w14:textId="186726FF" w:rsidR="005A6406" w:rsidRDefault="005A6406" w:rsidP="00E333AB">
      <w:pPr>
        <w:spacing w:line="480" w:lineRule="auto"/>
        <w:ind w:firstLine="720"/>
        <w:jc w:val="both"/>
      </w:pPr>
      <w:r w:rsidRPr="008074B4">
        <w:t xml:space="preserve">To isolate the relationship between AI status and outcomes, I first include an extensive set of patent-level controls. Patent age is the number of years between issuance and the </w:t>
      </w:r>
      <w:r w:rsidR="00032257">
        <w:t>filing of the litigation or the date on which the court makes the validity and/or infringement determination</w:t>
      </w:r>
      <w:r w:rsidRPr="008074B4">
        <w:t>. I also include the logged number of claims</w:t>
      </w:r>
      <w:r w:rsidR="00032257">
        <w:t xml:space="preserve"> of the patent</w:t>
      </w:r>
      <w:r w:rsidRPr="008074B4">
        <w:t>, which capture scope and drafting density.</w:t>
      </w:r>
      <w:r w:rsidRPr="008074B4">
        <w:rPr>
          <w:rStyle w:val="FootnoteReference"/>
        </w:rPr>
        <w:footnoteReference w:id="66"/>
      </w:r>
      <w:r w:rsidRPr="008074B4">
        <w:t xml:space="preserve"> Claim count </w:t>
      </w:r>
      <w:r w:rsidR="00032257">
        <w:t xml:space="preserve">also </w:t>
      </w:r>
      <w:r w:rsidRPr="008074B4">
        <w:t>proxies for breadth, because a patent with more claims is mechanically more likely to have at least one claim invalidated. I include logged backward and forward citation counts. Backward citations proxy for prior-art density and exposure to §§ 102 and 103, and forward citations track technological impact and litigation salience.</w:t>
      </w:r>
      <w:r w:rsidRPr="008074B4">
        <w:rPr>
          <w:rStyle w:val="FootnoteReference"/>
        </w:rPr>
        <w:footnoteReference w:id="67"/>
      </w:r>
      <w:r w:rsidRPr="008074B4">
        <w:t xml:space="preserve"> </w:t>
      </w:r>
      <w:r w:rsidR="00E333AB" w:rsidRPr="008074B4">
        <w:t>The empirical literature has long treated patent citations as informative proxies for innovation impact and knowledge spillovers.</w:t>
      </w:r>
      <w:r w:rsidR="00E333AB" w:rsidRPr="008074B4">
        <w:rPr>
          <w:rStyle w:val="FootnoteReference"/>
        </w:rPr>
        <w:footnoteReference w:id="68"/>
      </w:r>
      <w:r w:rsidR="00E333AB" w:rsidRPr="008074B4">
        <w:t xml:space="preserve"> </w:t>
      </w:r>
      <w:r w:rsidRPr="008074B4">
        <w:t>Party controls include whether the asserter is a non-practicing entity.</w:t>
      </w:r>
      <w:r w:rsidRPr="008074B4">
        <w:rPr>
          <w:rStyle w:val="FootnoteReference"/>
        </w:rPr>
        <w:footnoteReference w:id="69"/>
      </w:r>
      <w:r w:rsidRPr="008074B4">
        <w:t xml:space="preserve"> Because patent disputes </w:t>
      </w:r>
      <w:r w:rsidRPr="008074B4">
        <w:lastRenderedPageBreak/>
        <w:t>increasingly run across forums, a parallel indicator equals one when the asserted patent is also challenged at the PTAB or the ITC during the life of the case. These cross-forum measures capture both a selection effect, in which weaker patents draw more challenges, and the shadow that one forum casts on another. I also downloaded patent-specific files from PatentsView and classified whether the assignment and/or the inventor of the patent came from a foreign country.</w:t>
      </w:r>
      <w:r w:rsidRPr="008074B4">
        <w:rPr>
          <w:rStyle w:val="FootnoteReference"/>
        </w:rPr>
        <w:footnoteReference w:id="70"/>
      </w:r>
      <w:r w:rsidRPr="008074B4">
        <w:t xml:space="preserve"> In addition, I included in various models fixed effects that absorb what the covariates cannot. District, technological</w:t>
      </w:r>
      <w:r w:rsidRPr="008074B4">
        <w:rPr>
          <w:rStyle w:val="FootnoteReference"/>
        </w:rPr>
        <w:footnoteReference w:id="71"/>
      </w:r>
      <w:r w:rsidRPr="008074B4">
        <w:t xml:space="preserve"> and year effects hold constant the venue, technological field and doctrinal era. I estimate linear probability models at the patent-case level with standard errors clustered at the patent, which keeps interpretation transparent and accommodates the high-dimensional fixed effects common in patent litigation analysis.</w:t>
      </w:r>
      <w:r w:rsidR="00032257" w:rsidRPr="00032257">
        <w:rPr>
          <w:rStyle w:val="FootnoteReference"/>
        </w:rPr>
        <w:t xml:space="preserve"> </w:t>
      </w:r>
      <w:r w:rsidR="00032257" w:rsidRPr="008074B4">
        <w:rPr>
          <w:rStyle w:val="FootnoteReference"/>
        </w:rPr>
        <w:footnoteReference w:id="72"/>
      </w:r>
      <w:r w:rsidRPr="008074B4">
        <w:t xml:space="preserve"> </w:t>
      </w:r>
      <w:r w:rsidR="00875DF7">
        <w:t>The results are robust to alternative definitions of the unit of analysis such as if the data are collapsed to unique case-court units or to unique patents.</w:t>
      </w:r>
      <w:r w:rsidR="004A62BB">
        <w:rPr>
          <w:rStyle w:val="FootnoteReference"/>
        </w:rPr>
        <w:footnoteReference w:id="73"/>
      </w:r>
      <w:r w:rsidR="00875DF7">
        <w:t xml:space="preserve"> </w:t>
      </w:r>
      <w:r w:rsidRPr="008074B4">
        <w:t xml:space="preserve">Table </w:t>
      </w:r>
      <w:r w:rsidR="0004315F">
        <w:t>1</w:t>
      </w:r>
      <w:r w:rsidRPr="008074B4">
        <w:t xml:space="preserve"> reports summary statistics. </w:t>
      </w:r>
    </w:p>
    <w:p w14:paraId="77C0B3BF" w14:textId="7BCE91B9" w:rsidR="0004315F" w:rsidRPr="006A6423" w:rsidRDefault="0004315F" w:rsidP="006A6423">
      <w:pPr>
        <w:pStyle w:val="Heading3"/>
        <w:jc w:val="center"/>
        <w:rPr>
          <w:rFonts w:cs="Times New Roman"/>
          <w:b/>
          <w:bCs/>
          <w:color w:val="000000" w:themeColor="text1"/>
          <w:sz w:val="24"/>
          <w:szCs w:val="24"/>
        </w:rPr>
      </w:pPr>
      <w:r w:rsidRPr="006A6423">
        <w:rPr>
          <w:rFonts w:cs="Times New Roman"/>
          <w:b/>
          <w:bCs/>
          <w:color w:val="000000" w:themeColor="text1"/>
          <w:sz w:val="24"/>
          <w:szCs w:val="24"/>
        </w:rPr>
        <w:lastRenderedPageBreak/>
        <w:t>Table 1: Summary Statistics for Regression Variables</w:t>
      </w:r>
    </w:p>
    <w:tbl>
      <w:tblPr>
        <w:tblStyle w:val="TableGrid"/>
        <w:tblW w:w="9360" w:type="dxa"/>
        <w:tblLayout w:type="fixed"/>
        <w:tblLook w:val="04A0" w:firstRow="1" w:lastRow="0" w:firstColumn="1" w:lastColumn="0" w:noHBand="0" w:noVBand="1"/>
      </w:tblPr>
      <w:tblGrid>
        <w:gridCol w:w="2622"/>
        <w:gridCol w:w="1499"/>
        <w:gridCol w:w="979"/>
        <w:gridCol w:w="1065"/>
        <w:gridCol w:w="1065"/>
        <w:gridCol w:w="1065"/>
        <w:gridCol w:w="1065"/>
      </w:tblGrid>
      <w:tr w:rsidR="0004315F" w:rsidRPr="005A2545" w14:paraId="3EC8EB0B" w14:textId="77777777" w:rsidTr="0004315F">
        <w:tc>
          <w:tcPr>
            <w:tcW w:w="2622" w:type="dxa"/>
            <w:shd w:val="clear" w:color="auto" w:fill="F2F2F2"/>
            <w:vAlign w:val="center"/>
          </w:tcPr>
          <w:p w14:paraId="36BCAE4F" w14:textId="77777777" w:rsidR="0004315F" w:rsidRPr="005A2545" w:rsidRDefault="0004315F" w:rsidP="00287451">
            <w:pPr>
              <w:jc w:val="center"/>
              <w:rPr>
                <w:sz w:val="20"/>
                <w:szCs w:val="20"/>
              </w:rPr>
            </w:pPr>
            <w:r w:rsidRPr="005A2545">
              <w:rPr>
                <w:b/>
                <w:sz w:val="20"/>
                <w:szCs w:val="20"/>
              </w:rPr>
              <w:t>Variable</w:t>
            </w:r>
          </w:p>
        </w:tc>
        <w:tc>
          <w:tcPr>
            <w:tcW w:w="1499" w:type="dxa"/>
            <w:shd w:val="clear" w:color="auto" w:fill="F2F2F2"/>
            <w:vAlign w:val="center"/>
          </w:tcPr>
          <w:p w14:paraId="7F77D334" w14:textId="77777777" w:rsidR="0004315F" w:rsidRPr="005A2545" w:rsidRDefault="0004315F" w:rsidP="00287451">
            <w:pPr>
              <w:jc w:val="center"/>
              <w:rPr>
                <w:sz w:val="20"/>
                <w:szCs w:val="20"/>
              </w:rPr>
            </w:pPr>
            <w:r w:rsidRPr="005A2545">
              <w:rPr>
                <w:b/>
                <w:sz w:val="20"/>
                <w:szCs w:val="20"/>
              </w:rPr>
              <w:t>Sample</w:t>
            </w:r>
          </w:p>
        </w:tc>
        <w:tc>
          <w:tcPr>
            <w:tcW w:w="979" w:type="dxa"/>
            <w:shd w:val="clear" w:color="auto" w:fill="F2F2F2"/>
            <w:vAlign w:val="center"/>
          </w:tcPr>
          <w:p w14:paraId="32EE6F2C" w14:textId="77777777" w:rsidR="0004315F" w:rsidRPr="005A2545" w:rsidRDefault="0004315F" w:rsidP="00287451">
            <w:pPr>
              <w:jc w:val="center"/>
              <w:rPr>
                <w:sz w:val="20"/>
                <w:szCs w:val="20"/>
              </w:rPr>
            </w:pPr>
            <w:r w:rsidRPr="005A2545">
              <w:rPr>
                <w:b/>
                <w:sz w:val="20"/>
                <w:szCs w:val="20"/>
              </w:rPr>
              <w:t>N</w:t>
            </w:r>
          </w:p>
        </w:tc>
        <w:tc>
          <w:tcPr>
            <w:tcW w:w="1065" w:type="dxa"/>
            <w:shd w:val="clear" w:color="auto" w:fill="F2F2F2"/>
            <w:vAlign w:val="center"/>
          </w:tcPr>
          <w:p w14:paraId="002BB970" w14:textId="77777777" w:rsidR="0004315F" w:rsidRPr="005A2545" w:rsidRDefault="0004315F" w:rsidP="00287451">
            <w:pPr>
              <w:jc w:val="center"/>
              <w:rPr>
                <w:sz w:val="20"/>
                <w:szCs w:val="20"/>
              </w:rPr>
            </w:pPr>
            <w:r w:rsidRPr="005A2545">
              <w:rPr>
                <w:b/>
                <w:sz w:val="20"/>
                <w:szCs w:val="20"/>
              </w:rPr>
              <w:t>Mean</w:t>
            </w:r>
          </w:p>
        </w:tc>
        <w:tc>
          <w:tcPr>
            <w:tcW w:w="1065" w:type="dxa"/>
            <w:shd w:val="clear" w:color="auto" w:fill="F2F2F2"/>
            <w:vAlign w:val="center"/>
          </w:tcPr>
          <w:p w14:paraId="2875B7FC" w14:textId="77777777" w:rsidR="0004315F" w:rsidRPr="005A2545" w:rsidRDefault="0004315F" w:rsidP="00287451">
            <w:pPr>
              <w:jc w:val="center"/>
              <w:rPr>
                <w:sz w:val="20"/>
                <w:szCs w:val="20"/>
              </w:rPr>
            </w:pPr>
            <w:r w:rsidRPr="005A2545">
              <w:rPr>
                <w:b/>
                <w:sz w:val="20"/>
                <w:szCs w:val="20"/>
              </w:rPr>
              <w:t>SD</w:t>
            </w:r>
          </w:p>
        </w:tc>
        <w:tc>
          <w:tcPr>
            <w:tcW w:w="1065" w:type="dxa"/>
            <w:shd w:val="clear" w:color="auto" w:fill="F2F2F2"/>
            <w:vAlign w:val="center"/>
          </w:tcPr>
          <w:p w14:paraId="471FFE2A" w14:textId="77777777" w:rsidR="0004315F" w:rsidRPr="005A2545" w:rsidRDefault="0004315F" w:rsidP="00287451">
            <w:pPr>
              <w:jc w:val="center"/>
              <w:rPr>
                <w:sz w:val="20"/>
                <w:szCs w:val="20"/>
              </w:rPr>
            </w:pPr>
            <w:r w:rsidRPr="005A2545">
              <w:rPr>
                <w:b/>
                <w:sz w:val="20"/>
                <w:szCs w:val="20"/>
              </w:rPr>
              <w:t>Min</w:t>
            </w:r>
          </w:p>
        </w:tc>
        <w:tc>
          <w:tcPr>
            <w:tcW w:w="1065" w:type="dxa"/>
            <w:shd w:val="clear" w:color="auto" w:fill="F2F2F2"/>
            <w:vAlign w:val="center"/>
          </w:tcPr>
          <w:p w14:paraId="31665B4A" w14:textId="77777777" w:rsidR="0004315F" w:rsidRPr="005A2545" w:rsidRDefault="0004315F" w:rsidP="00287451">
            <w:pPr>
              <w:jc w:val="center"/>
              <w:rPr>
                <w:sz w:val="20"/>
                <w:szCs w:val="20"/>
              </w:rPr>
            </w:pPr>
            <w:r w:rsidRPr="005A2545">
              <w:rPr>
                <w:b/>
                <w:sz w:val="20"/>
                <w:szCs w:val="20"/>
              </w:rPr>
              <w:t>Max</w:t>
            </w:r>
          </w:p>
        </w:tc>
      </w:tr>
      <w:tr w:rsidR="0004315F" w:rsidRPr="005A2545" w14:paraId="0FAD3FC7" w14:textId="77777777" w:rsidTr="0004315F">
        <w:tc>
          <w:tcPr>
            <w:tcW w:w="2622" w:type="dxa"/>
            <w:vAlign w:val="center"/>
          </w:tcPr>
          <w:p w14:paraId="3CEDD193" w14:textId="77777777" w:rsidR="0004315F" w:rsidRPr="005A2545" w:rsidRDefault="0004315F" w:rsidP="00287451">
            <w:pPr>
              <w:rPr>
                <w:sz w:val="20"/>
                <w:szCs w:val="20"/>
              </w:rPr>
            </w:pPr>
            <w:r w:rsidRPr="005A2545">
              <w:rPr>
                <w:b/>
                <w:sz w:val="20"/>
                <w:szCs w:val="20"/>
              </w:rPr>
              <w:t>AI Tier 50%</w:t>
            </w:r>
          </w:p>
        </w:tc>
        <w:tc>
          <w:tcPr>
            <w:tcW w:w="1499" w:type="dxa"/>
            <w:vAlign w:val="center"/>
          </w:tcPr>
          <w:p w14:paraId="0A8DC04F" w14:textId="77777777" w:rsidR="0004315F" w:rsidRPr="005A2545" w:rsidRDefault="0004315F" w:rsidP="00287451">
            <w:pPr>
              <w:jc w:val="center"/>
              <w:rPr>
                <w:sz w:val="20"/>
                <w:szCs w:val="20"/>
              </w:rPr>
            </w:pPr>
            <w:r w:rsidRPr="005A2545">
              <w:rPr>
                <w:sz w:val="20"/>
                <w:szCs w:val="20"/>
              </w:rPr>
              <w:t>Invalidity merits</w:t>
            </w:r>
          </w:p>
        </w:tc>
        <w:tc>
          <w:tcPr>
            <w:tcW w:w="979" w:type="dxa"/>
            <w:vAlign w:val="center"/>
          </w:tcPr>
          <w:p w14:paraId="7B174A3F" w14:textId="77777777" w:rsidR="0004315F" w:rsidRPr="005A2545" w:rsidRDefault="0004315F" w:rsidP="00287451">
            <w:pPr>
              <w:jc w:val="center"/>
              <w:rPr>
                <w:sz w:val="20"/>
                <w:szCs w:val="20"/>
              </w:rPr>
            </w:pPr>
            <w:r w:rsidRPr="005A2545">
              <w:rPr>
                <w:sz w:val="20"/>
                <w:szCs w:val="20"/>
              </w:rPr>
              <w:t>5,751</w:t>
            </w:r>
          </w:p>
        </w:tc>
        <w:tc>
          <w:tcPr>
            <w:tcW w:w="1065" w:type="dxa"/>
            <w:vAlign w:val="center"/>
          </w:tcPr>
          <w:p w14:paraId="478851E4" w14:textId="77777777" w:rsidR="0004315F" w:rsidRPr="005A2545" w:rsidRDefault="0004315F" w:rsidP="00287451">
            <w:pPr>
              <w:jc w:val="center"/>
              <w:rPr>
                <w:sz w:val="20"/>
                <w:szCs w:val="20"/>
              </w:rPr>
            </w:pPr>
            <w:r w:rsidRPr="005A2545">
              <w:rPr>
                <w:sz w:val="20"/>
                <w:szCs w:val="20"/>
              </w:rPr>
              <w:t>0.297</w:t>
            </w:r>
          </w:p>
        </w:tc>
        <w:tc>
          <w:tcPr>
            <w:tcW w:w="1065" w:type="dxa"/>
            <w:vAlign w:val="center"/>
          </w:tcPr>
          <w:p w14:paraId="53BA6D2C" w14:textId="77777777" w:rsidR="0004315F" w:rsidRPr="005A2545" w:rsidRDefault="0004315F" w:rsidP="00287451">
            <w:pPr>
              <w:jc w:val="center"/>
              <w:rPr>
                <w:sz w:val="20"/>
                <w:szCs w:val="20"/>
              </w:rPr>
            </w:pPr>
            <w:r w:rsidRPr="005A2545">
              <w:rPr>
                <w:sz w:val="20"/>
                <w:szCs w:val="20"/>
              </w:rPr>
              <w:t>0.457</w:t>
            </w:r>
          </w:p>
        </w:tc>
        <w:tc>
          <w:tcPr>
            <w:tcW w:w="1065" w:type="dxa"/>
            <w:vAlign w:val="center"/>
          </w:tcPr>
          <w:p w14:paraId="31FB068E" w14:textId="77777777" w:rsidR="0004315F" w:rsidRPr="005A2545" w:rsidRDefault="0004315F" w:rsidP="00287451">
            <w:pPr>
              <w:jc w:val="center"/>
              <w:rPr>
                <w:sz w:val="20"/>
                <w:szCs w:val="20"/>
              </w:rPr>
            </w:pPr>
            <w:r w:rsidRPr="005A2545">
              <w:rPr>
                <w:sz w:val="20"/>
                <w:szCs w:val="20"/>
              </w:rPr>
              <w:t>0.000</w:t>
            </w:r>
          </w:p>
        </w:tc>
        <w:tc>
          <w:tcPr>
            <w:tcW w:w="1065" w:type="dxa"/>
            <w:vAlign w:val="center"/>
          </w:tcPr>
          <w:p w14:paraId="063739B3" w14:textId="77777777" w:rsidR="0004315F" w:rsidRPr="005A2545" w:rsidRDefault="0004315F" w:rsidP="00287451">
            <w:pPr>
              <w:jc w:val="center"/>
              <w:rPr>
                <w:sz w:val="20"/>
                <w:szCs w:val="20"/>
              </w:rPr>
            </w:pPr>
            <w:r w:rsidRPr="005A2545">
              <w:rPr>
                <w:sz w:val="20"/>
                <w:szCs w:val="20"/>
              </w:rPr>
              <w:t>1.000</w:t>
            </w:r>
          </w:p>
        </w:tc>
      </w:tr>
      <w:tr w:rsidR="0004315F" w:rsidRPr="005A2545" w14:paraId="243E6148" w14:textId="77777777" w:rsidTr="0004315F">
        <w:tc>
          <w:tcPr>
            <w:tcW w:w="2622" w:type="dxa"/>
            <w:vAlign w:val="center"/>
          </w:tcPr>
          <w:p w14:paraId="04746E2B" w14:textId="77777777" w:rsidR="0004315F" w:rsidRPr="005A2545" w:rsidRDefault="0004315F" w:rsidP="00287451">
            <w:pPr>
              <w:rPr>
                <w:sz w:val="20"/>
                <w:szCs w:val="20"/>
              </w:rPr>
            </w:pPr>
            <w:r w:rsidRPr="005A2545">
              <w:rPr>
                <w:b/>
                <w:sz w:val="20"/>
                <w:szCs w:val="20"/>
              </w:rPr>
              <w:t>AI Tier 86%</w:t>
            </w:r>
          </w:p>
        </w:tc>
        <w:tc>
          <w:tcPr>
            <w:tcW w:w="1499" w:type="dxa"/>
            <w:vAlign w:val="center"/>
          </w:tcPr>
          <w:p w14:paraId="01B315EE" w14:textId="77777777" w:rsidR="0004315F" w:rsidRPr="005A2545" w:rsidRDefault="0004315F" w:rsidP="00287451">
            <w:pPr>
              <w:jc w:val="center"/>
              <w:rPr>
                <w:sz w:val="20"/>
                <w:szCs w:val="20"/>
              </w:rPr>
            </w:pPr>
            <w:r w:rsidRPr="005A2545">
              <w:rPr>
                <w:sz w:val="20"/>
                <w:szCs w:val="20"/>
              </w:rPr>
              <w:t>Invalidity merits</w:t>
            </w:r>
          </w:p>
        </w:tc>
        <w:tc>
          <w:tcPr>
            <w:tcW w:w="979" w:type="dxa"/>
            <w:vAlign w:val="center"/>
          </w:tcPr>
          <w:p w14:paraId="4E5D08AD" w14:textId="77777777" w:rsidR="0004315F" w:rsidRPr="005A2545" w:rsidRDefault="0004315F" w:rsidP="00287451">
            <w:pPr>
              <w:jc w:val="center"/>
              <w:rPr>
                <w:sz w:val="20"/>
                <w:szCs w:val="20"/>
              </w:rPr>
            </w:pPr>
            <w:r w:rsidRPr="005A2545">
              <w:rPr>
                <w:sz w:val="20"/>
                <w:szCs w:val="20"/>
              </w:rPr>
              <w:t>5,751</w:t>
            </w:r>
          </w:p>
        </w:tc>
        <w:tc>
          <w:tcPr>
            <w:tcW w:w="1065" w:type="dxa"/>
            <w:vAlign w:val="center"/>
          </w:tcPr>
          <w:p w14:paraId="6222BE0C" w14:textId="77777777" w:rsidR="0004315F" w:rsidRPr="005A2545" w:rsidRDefault="0004315F" w:rsidP="00287451">
            <w:pPr>
              <w:jc w:val="center"/>
              <w:rPr>
                <w:sz w:val="20"/>
                <w:szCs w:val="20"/>
              </w:rPr>
            </w:pPr>
            <w:r w:rsidRPr="005A2545">
              <w:rPr>
                <w:sz w:val="20"/>
                <w:szCs w:val="20"/>
              </w:rPr>
              <w:t>0.226</w:t>
            </w:r>
          </w:p>
        </w:tc>
        <w:tc>
          <w:tcPr>
            <w:tcW w:w="1065" w:type="dxa"/>
            <w:vAlign w:val="center"/>
          </w:tcPr>
          <w:p w14:paraId="69E1C419" w14:textId="77777777" w:rsidR="0004315F" w:rsidRPr="005A2545" w:rsidRDefault="0004315F" w:rsidP="00287451">
            <w:pPr>
              <w:jc w:val="center"/>
              <w:rPr>
                <w:sz w:val="20"/>
                <w:szCs w:val="20"/>
              </w:rPr>
            </w:pPr>
            <w:r w:rsidRPr="005A2545">
              <w:rPr>
                <w:sz w:val="20"/>
                <w:szCs w:val="20"/>
              </w:rPr>
              <w:t>0.418</w:t>
            </w:r>
          </w:p>
        </w:tc>
        <w:tc>
          <w:tcPr>
            <w:tcW w:w="1065" w:type="dxa"/>
            <w:vAlign w:val="center"/>
          </w:tcPr>
          <w:p w14:paraId="152CE8F2" w14:textId="77777777" w:rsidR="0004315F" w:rsidRPr="005A2545" w:rsidRDefault="0004315F" w:rsidP="00287451">
            <w:pPr>
              <w:jc w:val="center"/>
              <w:rPr>
                <w:sz w:val="20"/>
                <w:szCs w:val="20"/>
              </w:rPr>
            </w:pPr>
            <w:r w:rsidRPr="005A2545">
              <w:rPr>
                <w:sz w:val="20"/>
                <w:szCs w:val="20"/>
              </w:rPr>
              <w:t>0.000</w:t>
            </w:r>
          </w:p>
        </w:tc>
        <w:tc>
          <w:tcPr>
            <w:tcW w:w="1065" w:type="dxa"/>
            <w:vAlign w:val="center"/>
          </w:tcPr>
          <w:p w14:paraId="76F15B09" w14:textId="77777777" w:rsidR="0004315F" w:rsidRPr="005A2545" w:rsidRDefault="0004315F" w:rsidP="00287451">
            <w:pPr>
              <w:jc w:val="center"/>
              <w:rPr>
                <w:sz w:val="20"/>
                <w:szCs w:val="20"/>
              </w:rPr>
            </w:pPr>
            <w:r w:rsidRPr="005A2545">
              <w:rPr>
                <w:sz w:val="20"/>
                <w:szCs w:val="20"/>
              </w:rPr>
              <w:t>1.000</w:t>
            </w:r>
          </w:p>
        </w:tc>
      </w:tr>
      <w:tr w:rsidR="0004315F" w:rsidRPr="005A2545" w14:paraId="71017ABE" w14:textId="77777777" w:rsidTr="0004315F">
        <w:tc>
          <w:tcPr>
            <w:tcW w:w="2622" w:type="dxa"/>
            <w:vAlign w:val="center"/>
          </w:tcPr>
          <w:p w14:paraId="0826C81F" w14:textId="77777777" w:rsidR="0004315F" w:rsidRPr="005A2545" w:rsidRDefault="0004315F" w:rsidP="00287451">
            <w:pPr>
              <w:rPr>
                <w:sz w:val="20"/>
                <w:szCs w:val="20"/>
              </w:rPr>
            </w:pPr>
            <w:r w:rsidRPr="005A2545">
              <w:rPr>
                <w:b/>
                <w:sz w:val="20"/>
                <w:szCs w:val="20"/>
              </w:rPr>
              <w:t>AI Tier 93%</w:t>
            </w:r>
          </w:p>
        </w:tc>
        <w:tc>
          <w:tcPr>
            <w:tcW w:w="1499" w:type="dxa"/>
            <w:vAlign w:val="center"/>
          </w:tcPr>
          <w:p w14:paraId="52D8133E" w14:textId="77777777" w:rsidR="0004315F" w:rsidRPr="005A2545" w:rsidRDefault="0004315F" w:rsidP="00287451">
            <w:pPr>
              <w:jc w:val="center"/>
              <w:rPr>
                <w:sz w:val="20"/>
                <w:szCs w:val="20"/>
              </w:rPr>
            </w:pPr>
            <w:r w:rsidRPr="005A2545">
              <w:rPr>
                <w:sz w:val="20"/>
                <w:szCs w:val="20"/>
              </w:rPr>
              <w:t>Invalidity merits</w:t>
            </w:r>
          </w:p>
        </w:tc>
        <w:tc>
          <w:tcPr>
            <w:tcW w:w="979" w:type="dxa"/>
            <w:vAlign w:val="center"/>
          </w:tcPr>
          <w:p w14:paraId="46672463" w14:textId="77777777" w:rsidR="0004315F" w:rsidRPr="005A2545" w:rsidRDefault="0004315F" w:rsidP="00287451">
            <w:pPr>
              <w:jc w:val="center"/>
              <w:rPr>
                <w:sz w:val="20"/>
                <w:szCs w:val="20"/>
              </w:rPr>
            </w:pPr>
            <w:r w:rsidRPr="005A2545">
              <w:rPr>
                <w:sz w:val="20"/>
                <w:szCs w:val="20"/>
              </w:rPr>
              <w:t>5,751</w:t>
            </w:r>
          </w:p>
        </w:tc>
        <w:tc>
          <w:tcPr>
            <w:tcW w:w="1065" w:type="dxa"/>
            <w:vAlign w:val="center"/>
          </w:tcPr>
          <w:p w14:paraId="7DEBD542" w14:textId="77777777" w:rsidR="0004315F" w:rsidRPr="005A2545" w:rsidRDefault="0004315F" w:rsidP="00287451">
            <w:pPr>
              <w:jc w:val="center"/>
              <w:rPr>
                <w:sz w:val="20"/>
                <w:szCs w:val="20"/>
              </w:rPr>
            </w:pPr>
            <w:r w:rsidRPr="005A2545">
              <w:rPr>
                <w:sz w:val="20"/>
                <w:szCs w:val="20"/>
              </w:rPr>
              <w:t>0.201</w:t>
            </w:r>
          </w:p>
        </w:tc>
        <w:tc>
          <w:tcPr>
            <w:tcW w:w="1065" w:type="dxa"/>
            <w:vAlign w:val="center"/>
          </w:tcPr>
          <w:p w14:paraId="5B614960" w14:textId="77777777" w:rsidR="0004315F" w:rsidRPr="005A2545" w:rsidRDefault="0004315F" w:rsidP="00287451">
            <w:pPr>
              <w:jc w:val="center"/>
              <w:rPr>
                <w:sz w:val="20"/>
                <w:szCs w:val="20"/>
              </w:rPr>
            </w:pPr>
            <w:r w:rsidRPr="005A2545">
              <w:rPr>
                <w:sz w:val="20"/>
                <w:szCs w:val="20"/>
              </w:rPr>
              <w:t>0.401</w:t>
            </w:r>
          </w:p>
        </w:tc>
        <w:tc>
          <w:tcPr>
            <w:tcW w:w="1065" w:type="dxa"/>
            <w:vAlign w:val="center"/>
          </w:tcPr>
          <w:p w14:paraId="3E48C037" w14:textId="77777777" w:rsidR="0004315F" w:rsidRPr="005A2545" w:rsidRDefault="0004315F" w:rsidP="00287451">
            <w:pPr>
              <w:jc w:val="center"/>
              <w:rPr>
                <w:sz w:val="20"/>
                <w:szCs w:val="20"/>
              </w:rPr>
            </w:pPr>
            <w:r w:rsidRPr="005A2545">
              <w:rPr>
                <w:sz w:val="20"/>
                <w:szCs w:val="20"/>
              </w:rPr>
              <w:t>0.000</w:t>
            </w:r>
          </w:p>
        </w:tc>
        <w:tc>
          <w:tcPr>
            <w:tcW w:w="1065" w:type="dxa"/>
            <w:vAlign w:val="center"/>
          </w:tcPr>
          <w:p w14:paraId="0802DDBE" w14:textId="77777777" w:rsidR="0004315F" w:rsidRPr="005A2545" w:rsidRDefault="0004315F" w:rsidP="00287451">
            <w:pPr>
              <w:jc w:val="center"/>
              <w:rPr>
                <w:sz w:val="20"/>
                <w:szCs w:val="20"/>
              </w:rPr>
            </w:pPr>
            <w:r w:rsidRPr="005A2545">
              <w:rPr>
                <w:sz w:val="20"/>
                <w:szCs w:val="20"/>
              </w:rPr>
              <w:t>1.000</w:t>
            </w:r>
          </w:p>
        </w:tc>
      </w:tr>
      <w:tr w:rsidR="0004315F" w:rsidRPr="005A2545" w14:paraId="414CCFFA" w14:textId="77777777" w:rsidTr="0004315F">
        <w:tc>
          <w:tcPr>
            <w:tcW w:w="2622" w:type="dxa"/>
            <w:vAlign w:val="center"/>
          </w:tcPr>
          <w:p w14:paraId="60CEB81E" w14:textId="77777777" w:rsidR="0004315F" w:rsidRPr="005A2545" w:rsidRDefault="0004315F" w:rsidP="00287451">
            <w:pPr>
              <w:rPr>
                <w:sz w:val="20"/>
                <w:szCs w:val="20"/>
              </w:rPr>
            </w:pPr>
            <w:r w:rsidRPr="005A2545">
              <w:rPr>
                <w:b/>
                <w:sz w:val="20"/>
                <w:szCs w:val="20"/>
              </w:rPr>
              <w:t>Invalidity outcome</w:t>
            </w:r>
          </w:p>
        </w:tc>
        <w:tc>
          <w:tcPr>
            <w:tcW w:w="1499" w:type="dxa"/>
            <w:vAlign w:val="center"/>
          </w:tcPr>
          <w:p w14:paraId="757A42B8" w14:textId="77777777" w:rsidR="0004315F" w:rsidRPr="005A2545" w:rsidRDefault="0004315F" w:rsidP="00287451">
            <w:pPr>
              <w:jc w:val="center"/>
              <w:rPr>
                <w:sz w:val="20"/>
                <w:szCs w:val="20"/>
              </w:rPr>
            </w:pPr>
            <w:r w:rsidRPr="005A2545">
              <w:rPr>
                <w:sz w:val="20"/>
                <w:szCs w:val="20"/>
              </w:rPr>
              <w:t>Invalidity merits</w:t>
            </w:r>
          </w:p>
        </w:tc>
        <w:tc>
          <w:tcPr>
            <w:tcW w:w="979" w:type="dxa"/>
            <w:vAlign w:val="center"/>
          </w:tcPr>
          <w:p w14:paraId="6E5E754B" w14:textId="77777777" w:rsidR="0004315F" w:rsidRPr="005A2545" w:rsidRDefault="0004315F" w:rsidP="00287451">
            <w:pPr>
              <w:jc w:val="center"/>
              <w:rPr>
                <w:sz w:val="20"/>
                <w:szCs w:val="20"/>
              </w:rPr>
            </w:pPr>
            <w:r w:rsidRPr="005A2545">
              <w:rPr>
                <w:sz w:val="20"/>
                <w:szCs w:val="20"/>
              </w:rPr>
              <w:t>5,751</w:t>
            </w:r>
          </w:p>
        </w:tc>
        <w:tc>
          <w:tcPr>
            <w:tcW w:w="1065" w:type="dxa"/>
            <w:vAlign w:val="center"/>
          </w:tcPr>
          <w:p w14:paraId="38C6A007" w14:textId="77777777" w:rsidR="0004315F" w:rsidRPr="005A2545" w:rsidRDefault="0004315F" w:rsidP="00287451">
            <w:pPr>
              <w:jc w:val="center"/>
              <w:rPr>
                <w:sz w:val="20"/>
                <w:szCs w:val="20"/>
              </w:rPr>
            </w:pPr>
            <w:r w:rsidRPr="005A2545">
              <w:rPr>
                <w:sz w:val="20"/>
                <w:szCs w:val="20"/>
              </w:rPr>
              <w:t>0.557</w:t>
            </w:r>
          </w:p>
        </w:tc>
        <w:tc>
          <w:tcPr>
            <w:tcW w:w="1065" w:type="dxa"/>
            <w:vAlign w:val="center"/>
          </w:tcPr>
          <w:p w14:paraId="36F60808" w14:textId="77777777" w:rsidR="0004315F" w:rsidRPr="005A2545" w:rsidRDefault="0004315F" w:rsidP="00287451">
            <w:pPr>
              <w:jc w:val="center"/>
              <w:rPr>
                <w:sz w:val="20"/>
                <w:szCs w:val="20"/>
              </w:rPr>
            </w:pPr>
            <w:r w:rsidRPr="005A2545">
              <w:rPr>
                <w:sz w:val="20"/>
                <w:szCs w:val="20"/>
              </w:rPr>
              <w:t>0.497</w:t>
            </w:r>
          </w:p>
        </w:tc>
        <w:tc>
          <w:tcPr>
            <w:tcW w:w="1065" w:type="dxa"/>
            <w:vAlign w:val="center"/>
          </w:tcPr>
          <w:p w14:paraId="179EEC6E" w14:textId="77777777" w:rsidR="0004315F" w:rsidRPr="005A2545" w:rsidRDefault="0004315F" w:rsidP="00287451">
            <w:pPr>
              <w:jc w:val="center"/>
              <w:rPr>
                <w:sz w:val="20"/>
                <w:szCs w:val="20"/>
              </w:rPr>
            </w:pPr>
            <w:r w:rsidRPr="005A2545">
              <w:rPr>
                <w:sz w:val="20"/>
                <w:szCs w:val="20"/>
              </w:rPr>
              <w:t>0.000</w:t>
            </w:r>
          </w:p>
        </w:tc>
        <w:tc>
          <w:tcPr>
            <w:tcW w:w="1065" w:type="dxa"/>
            <w:vAlign w:val="center"/>
          </w:tcPr>
          <w:p w14:paraId="46E1036A" w14:textId="77777777" w:rsidR="0004315F" w:rsidRPr="005A2545" w:rsidRDefault="0004315F" w:rsidP="00287451">
            <w:pPr>
              <w:jc w:val="center"/>
              <w:rPr>
                <w:sz w:val="20"/>
                <w:szCs w:val="20"/>
              </w:rPr>
            </w:pPr>
            <w:r w:rsidRPr="005A2545">
              <w:rPr>
                <w:sz w:val="20"/>
                <w:szCs w:val="20"/>
              </w:rPr>
              <w:t>1.000</w:t>
            </w:r>
          </w:p>
        </w:tc>
      </w:tr>
      <w:tr w:rsidR="0004315F" w:rsidRPr="005A2545" w14:paraId="4A4B627F" w14:textId="77777777" w:rsidTr="0004315F">
        <w:tc>
          <w:tcPr>
            <w:tcW w:w="2622" w:type="dxa"/>
            <w:vAlign w:val="center"/>
          </w:tcPr>
          <w:p w14:paraId="3AD374D3" w14:textId="77777777" w:rsidR="0004315F" w:rsidRPr="005A2545" w:rsidRDefault="0004315F" w:rsidP="00287451">
            <w:pPr>
              <w:rPr>
                <w:sz w:val="20"/>
                <w:szCs w:val="20"/>
              </w:rPr>
            </w:pPr>
            <w:r w:rsidRPr="005A2545">
              <w:rPr>
                <w:b/>
                <w:sz w:val="20"/>
                <w:szCs w:val="20"/>
              </w:rPr>
              <w:t>Infringement outcome</w:t>
            </w:r>
          </w:p>
        </w:tc>
        <w:tc>
          <w:tcPr>
            <w:tcW w:w="1499" w:type="dxa"/>
            <w:vAlign w:val="center"/>
          </w:tcPr>
          <w:p w14:paraId="5D3595AC" w14:textId="77777777" w:rsidR="0004315F" w:rsidRPr="005A2545" w:rsidRDefault="0004315F" w:rsidP="00287451">
            <w:pPr>
              <w:jc w:val="center"/>
              <w:rPr>
                <w:sz w:val="20"/>
                <w:szCs w:val="20"/>
              </w:rPr>
            </w:pPr>
            <w:r w:rsidRPr="005A2545">
              <w:rPr>
                <w:sz w:val="20"/>
                <w:szCs w:val="20"/>
              </w:rPr>
              <w:t>Infringement merits</w:t>
            </w:r>
          </w:p>
        </w:tc>
        <w:tc>
          <w:tcPr>
            <w:tcW w:w="979" w:type="dxa"/>
            <w:vAlign w:val="center"/>
          </w:tcPr>
          <w:p w14:paraId="6BBBCB36" w14:textId="77777777" w:rsidR="0004315F" w:rsidRPr="005A2545" w:rsidRDefault="0004315F" w:rsidP="00287451">
            <w:pPr>
              <w:jc w:val="center"/>
              <w:rPr>
                <w:sz w:val="20"/>
                <w:szCs w:val="20"/>
              </w:rPr>
            </w:pPr>
            <w:r w:rsidRPr="005A2545">
              <w:rPr>
                <w:sz w:val="20"/>
                <w:szCs w:val="20"/>
              </w:rPr>
              <w:t>6,362</w:t>
            </w:r>
          </w:p>
        </w:tc>
        <w:tc>
          <w:tcPr>
            <w:tcW w:w="1065" w:type="dxa"/>
            <w:vAlign w:val="center"/>
          </w:tcPr>
          <w:p w14:paraId="1E6FCDC1" w14:textId="77777777" w:rsidR="0004315F" w:rsidRPr="005A2545" w:rsidRDefault="0004315F" w:rsidP="00287451">
            <w:pPr>
              <w:jc w:val="center"/>
              <w:rPr>
                <w:sz w:val="20"/>
                <w:szCs w:val="20"/>
              </w:rPr>
            </w:pPr>
            <w:r w:rsidRPr="005A2545">
              <w:rPr>
                <w:sz w:val="20"/>
                <w:szCs w:val="20"/>
              </w:rPr>
              <w:t>0.327</w:t>
            </w:r>
          </w:p>
        </w:tc>
        <w:tc>
          <w:tcPr>
            <w:tcW w:w="1065" w:type="dxa"/>
            <w:vAlign w:val="center"/>
          </w:tcPr>
          <w:p w14:paraId="4235379C" w14:textId="77777777" w:rsidR="0004315F" w:rsidRPr="005A2545" w:rsidRDefault="0004315F" w:rsidP="00287451">
            <w:pPr>
              <w:jc w:val="center"/>
              <w:rPr>
                <w:sz w:val="20"/>
                <w:szCs w:val="20"/>
              </w:rPr>
            </w:pPr>
            <w:r w:rsidRPr="005A2545">
              <w:rPr>
                <w:sz w:val="20"/>
                <w:szCs w:val="20"/>
              </w:rPr>
              <w:t>0.469</w:t>
            </w:r>
          </w:p>
        </w:tc>
        <w:tc>
          <w:tcPr>
            <w:tcW w:w="1065" w:type="dxa"/>
            <w:vAlign w:val="center"/>
          </w:tcPr>
          <w:p w14:paraId="0EA334FD" w14:textId="77777777" w:rsidR="0004315F" w:rsidRPr="005A2545" w:rsidRDefault="0004315F" w:rsidP="00287451">
            <w:pPr>
              <w:jc w:val="center"/>
              <w:rPr>
                <w:sz w:val="20"/>
                <w:szCs w:val="20"/>
              </w:rPr>
            </w:pPr>
            <w:r w:rsidRPr="005A2545">
              <w:rPr>
                <w:sz w:val="20"/>
                <w:szCs w:val="20"/>
              </w:rPr>
              <w:t>0.000</w:t>
            </w:r>
          </w:p>
        </w:tc>
        <w:tc>
          <w:tcPr>
            <w:tcW w:w="1065" w:type="dxa"/>
            <w:vAlign w:val="center"/>
          </w:tcPr>
          <w:p w14:paraId="2634952B" w14:textId="77777777" w:rsidR="0004315F" w:rsidRPr="005A2545" w:rsidRDefault="0004315F" w:rsidP="00287451">
            <w:pPr>
              <w:jc w:val="center"/>
              <w:rPr>
                <w:sz w:val="20"/>
                <w:szCs w:val="20"/>
              </w:rPr>
            </w:pPr>
            <w:r w:rsidRPr="005A2545">
              <w:rPr>
                <w:sz w:val="20"/>
                <w:szCs w:val="20"/>
              </w:rPr>
              <w:t>1.000</w:t>
            </w:r>
          </w:p>
        </w:tc>
      </w:tr>
      <w:tr w:rsidR="0004315F" w:rsidRPr="005A2545" w14:paraId="21C02787" w14:textId="77777777" w:rsidTr="0004315F">
        <w:tc>
          <w:tcPr>
            <w:tcW w:w="2622" w:type="dxa"/>
            <w:vAlign w:val="center"/>
          </w:tcPr>
          <w:p w14:paraId="490E6DBD" w14:textId="77777777" w:rsidR="0004315F" w:rsidRPr="005A2545" w:rsidRDefault="0004315F" w:rsidP="00287451">
            <w:pPr>
              <w:rPr>
                <w:sz w:val="20"/>
                <w:szCs w:val="20"/>
              </w:rPr>
            </w:pPr>
            <w:r w:rsidRPr="005A2545">
              <w:rPr>
                <w:b/>
                <w:sz w:val="20"/>
                <w:szCs w:val="20"/>
              </w:rPr>
              <w:t>S101: Subject Matter</w:t>
            </w:r>
          </w:p>
        </w:tc>
        <w:tc>
          <w:tcPr>
            <w:tcW w:w="1499" w:type="dxa"/>
            <w:vAlign w:val="center"/>
          </w:tcPr>
          <w:p w14:paraId="4994D010" w14:textId="77777777" w:rsidR="0004315F" w:rsidRPr="005A2545" w:rsidRDefault="0004315F" w:rsidP="00287451">
            <w:pPr>
              <w:jc w:val="center"/>
              <w:rPr>
                <w:sz w:val="20"/>
                <w:szCs w:val="20"/>
              </w:rPr>
            </w:pPr>
            <w:r w:rsidRPr="005A2545">
              <w:rPr>
                <w:sz w:val="20"/>
                <w:szCs w:val="20"/>
              </w:rPr>
              <w:t>Invalid-only</w:t>
            </w:r>
          </w:p>
        </w:tc>
        <w:tc>
          <w:tcPr>
            <w:tcW w:w="979" w:type="dxa"/>
            <w:vAlign w:val="center"/>
          </w:tcPr>
          <w:p w14:paraId="6CFEDEEF" w14:textId="77777777" w:rsidR="0004315F" w:rsidRPr="005A2545" w:rsidRDefault="0004315F" w:rsidP="00287451">
            <w:pPr>
              <w:jc w:val="center"/>
              <w:rPr>
                <w:sz w:val="20"/>
                <w:szCs w:val="20"/>
              </w:rPr>
            </w:pPr>
            <w:r w:rsidRPr="005A2545">
              <w:rPr>
                <w:sz w:val="20"/>
                <w:szCs w:val="20"/>
              </w:rPr>
              <w:t>3,206</w:t>
            </w:r>
          </w:p>
        </w:tc>
        <w:tc>
          <w:tcPr>
            <w:tcW w:w="1065" w:type="dxa"/>
            <w:vAlign w:val="center"/>
          </w:tcPr>
          <w:p w14:paraId="08BB70F6" w14:textId="77777777" w:rsidR="0004315F" w:rsidRPr="005A2545" w:rsidRDefault="0004315F" w:rsidP="00287451">
            <w:pPr>
              <w:jc w:val="center"/>
              <w:rPr>
                <w:sz w:val="20"/>
                <w:szCs w:val="20"/>
              </w:rPr>
            </w:pPr>
            <w:r w:rsidRPr="005A2545">
              <w:rPr>
                <w:sz w:val="20"/>
                <w:szCs w:val="20"/>
              </w:rPr>
              <w:t>0.408</w:t>
            </w:r>
          </w:p>
        </w:tc>
        <w:tc>
          <w:tcPr>
            <w:tcW w:w="1065" w:type="dxa"/>
            <w:vAlign w:val="center"/>
          </w:tcPr>
          <w:p w14:paraId="19E943B1" w14:textId="77777777" w:rsidR="0004315F" w:rsidRPr="005A2545" w:rsidRDefault="0004315F" w:rsidP="00287451">
            <w:pPr>
              <w:jc w:val="center"/>
              <w:rPr>
                <w:sz w:val="20"/>
                <w:szCs w:val="20"/>
              </w:rPr>
            </w:pPr>
            <w:r w:rsidRPr="005A2545">
              <w:rPr>
                <w:sz w:val="20"/>
                <w:szCs w:val="20"/>
              </w:rPr>
              <w:t>0.492</w:t>
            </w:r>
          </w:p>
        </w:tc>
        <w:tc>
          <w:tcPr>
            <w:tcW w:w="1065" w:type="dxa"/>
            <w:vAlign w:val="center"/>
          </w:tcPr>
          <w:p w14:paraId="24D6AB3A" w14:textId="77777777" w:rsidR="0004315F" w:rsidRPr="005A2545" w:rsidRDefault="0004315F" w:rsidP="00287451">
            <w:pPr>
              <w:jc w:val="center"/>
              <w:rPr>
                <w:sz w:val="20"/>
                <w:szCs w:val="20"/>
              </w:rPr>
            </w:pPr>
            <w:r w:rsidRPr="005A2545">
              <w:rPr>
                <w:sz w:val="20"/>
                <w:szCs w:val="20"/>
              </w:rPr>
              <w:t>0.000</w:t>
            </w:r>
          </w:p>
        </w:tc>
        <w:tc>
          <w:tcPr>
            <w:tcW w:w="1065" w:type="dxa"/>
            <w:vAlign w:val="center"/>
          </w:tcPr>
          <w:p w14:paraId="5A73A650" w14:textId="77777777" w:rsidR="0004315F" w:rsidRPr="005A2545" w:rsidRDefault="0004315F" w:rsidP="00287451">
            <w:pPr>
              <w:jc w:val="center"/>
              <w:rPr>
                <w:sz w:val="20"/>
                <w:szCs w:val="20"/>
              </w:rPr>
            </w:pPr>
            <w:r w:rsidRPr="005A2545">
              <w:rPr>
                <w:sz w:val="20"/>
                <w:szCs w:val="20"/>
              </w:rPr>
              <w:t>1.000</w:t>
            </w:r>
          </w:p>
        </w:tc>
      </w:tr>
      <w:tr w:rsidR="0004315F" w:rsidRPr="005A2545" w14:paraId="69074CA0" w14:textId="77777777" w:rsidTr="0004315F">
        <w:tc>
          <w:tcPr>
            <w:tcW w:w="2622" w:type="dxa"/>
            <w:vAlign w:val="center"/>
          </w:tcPr>
          <w:p w14:paraId="63B91F10" w14:textId="77777777" w:rsidR="0004315F" w:rsidRPr="005A2545" w:rsidRDefault="0004315F" w:rsidP="00287451">
            <w:pPr>
              <w:rPr>
                <w:sz w:val="20"/>
                <w:szCs w:val="20"/>
              </w:rPr>
            </w:pPr>
            <w:r w:rsidRPr="005A2545">
              <w:rPr>
                <w:b/>
                <w:sz w:val="20"/>
                <w:szCs w:val="20"/>
              </w:rPr>
              <w:t>S102: Anticipation</w:t>
            </w:r>
          </w:p>
        </w:tc>
        <w:tc>
          <w:tcPr>
            <w:tcW w:w="1499" w:type="dxa"/>
            <w:vAlign w:val="center"/>
          </w:tcPr>
          <w:p w14:paraId="4FE98B6B" w14:textId="77777777" w:rsidR="0004315F" w:rsidRPr="005A2545" w:rsidRDefault="0004315F" w:rsidP="00287451">
            <w:pPr>
              <w:jc w:val="center"/>
              <w:rPr>
                <w:sz w:val="20"/>
                <w:szCs w:val="20"/>
              </w:rPr>
            </w:pPr>
            <w:r w:rsidRPr="005A2545">
              <w:rPr>
                <w:sz w:val="20"/>
                <w:szCs w:val="20"/>
              </w:rPr>
              <w:t>Invalid-only</w:t>
            </w:r>
          </w:p>
        </w:tc>
        <w:tc>
          <w:tcPr>
            <w:tcW w:w="979" w:type="dxa"/>
            <w:vAlign w:val="center"/>
          </w:tcPr>
          <w:p w14:paraId="4D966335" w14:textId="77777777" w:rsidR="0004315F" w:rsidRPr="005A2545" w:rsidRDefault="0004315F" w:rsidP="00287451">
            <w:pPr>
              <w:jc w:val="center"/>
              <w:rPr>
                <w:sz w:val="20"/>
                <w:szCs w:val="20"/>
              </w:rPr>
            </w:pPr>
            <w:r w:rsidRPr="005A2545">
              <w:rPr>
                <w:sz w:val="20"/>
                <w:szCs w:val="20"/>
              </w:rPr>
              <w:t>3,206</w:t>
            </w:r>
          </w:p>
        </w:tc>
        <w:tc>
          <w:tcPr>
            <w:tcW w:w="1065" w:type="dxa"/>
            <w:vAlign w:val="center"/>
          </w:tcPr>
          <w:p w14:paraId="1D68D234" w14:textId="77777777" w:rsidR="0004315F" w:rsidRPr="005A2545" w:rsidRDefault="0004315F" w:rsidP="00287451">
            <w:pPr>
              <w:jc w:val="center"/>
              <w:rPr>
                <w:sz w:val="20"/>
                <w:szCs w:val="20"/>
              </w:rPr>
            </w:pPr>
            <w:r w:rsidRPr="005A2545">
              <w:rPr>
                <w:sz w:val="20"/>
                <w:szCs w:val="20"/>
              </w:rPr>
              <w:t>0.191</w:t>
            </w:r>
          </w:p>
        </w:tc>
        <w:tc>
          <w:tcPr>
            <w:tcW w:w="1065" w:type="dxa"/>
            <w:vAlign w:val="center"/>
          </w:tcPr>
          <w:p w14:paraId="5954E896" w14:textId="77777777" w:rsidR="0004315F" w:rsidRPr="005A2545" w:rsidRDefault="0004315F" w:rsidP="00287451">
            <w:pPr>
              <w:jc w:val="center"/>
              <w:rPr>
                <w:sz w:val="20"/>
                <w:szCs w:val="20"/>
              </w:rPr>
            </w:pPr>
            <w:r w:rsidRPr="005A2545">
              <w:rPr>
                <w:sz w:val="20"/>
                <w:szCs w:val="20"/>
              </w:rPr>
              <w:t>0.393</w:t>
            </w:r>
          </w:p>
        </w:tc>
        <w:tc>
          <w:tcPr>
            <w:tcW w:w="1065" w:type="dxa"/>
            <w:vAlign w:val="center"/>
          </w:tcPr>
          <w:p w14:paraId="296B9836" w14:textId="77777777" w:rsidR="0004315F" w:rsidRPr="005A2545" w:rsidRDefault="0004315F" w:rsidP="00287451">
            <w:pPr>
              <w:jc w:val="center"/>
              <w:rPr>
                <w:sz w:val="20"/>
                <w:szCs w:val="20"/>
              </w:rPr>
            </w:pPr>
            <w:r w:rsidRPr="005A2545">
              <w:rPr>
                <w:sz w:val="20"/>
                <w:szCs w:val="20"/>
              </w:rPr>
              <w:t>0.000</w:t>
            </w:r>
          </w:p>
        </w:tc>
        <w:tc>
          <w:tcPr>
            <w:tcW w:w="1065" w:type="dxa"/>
            <w:vAlign w:val="center"/>
          </w:tcPr>
          <w:p w14:paraId="1FBB21AA" w14:textId="77777777" w:rsidR="0004315F" w:rsidRPr="005A2545" w:rsidRDefault="0004315F" w:rsidP="00287451">
            <w:pPr>
              <w:jc w:val="center"/>
              <w:rPr>
                <w:sz w:val="20"/>
                <w:szCs w:val="20"/>
              </w:rPr>
            </w:pPr>
            <w:r w:rsidRPr="005A2545">
              <w:rPr>
                <w:sz w:val="20"/>
                <w:szCs w:val="20"/>
              </w:rPr>
              <w:t>1.000</w:t>
            </w:r>
          </w:p>
        </w:tc>
      </w:tr>
      <w:tr w:rsidR="0004315F" w:rsidRPr="005A2545" w14:paraId="2F3BD0BB" w14:textId="77777777" w:rsidTr="0004315F">
        <w:tc>
          <w:tcPr>
            <w:tcW w:w="2622" w:type="dxa"/>
            <w:vAlign w:val="center"/>
          </w:tcPr>
          <w:p w14:paraId="5813761B" w14:textId="77777777" w:rsidR="0004315F" w:rsidRPr="005A2545" w:rsidRDefault="0004315F" w:rsidP="00287451">
            <w:pPr>
              <w:rPr>
                <w:sz w:val="20"/>
                <w:szCs w:val="20"/>
              </w:rPr>
            </w:pPr>
            <w:r w:rsidRPr="005A2545">
              <w:rPr>
                <w:b/>
                <w:sz w:val="20"/>
                <w:szCs w:val="20"/>
              </w:rPr>
              <w:t>S103: Obviousness</w:t>
            </w:r>
          </w:p>
        </w:tc>
        <w:tc>
          <w:tcPr>
            <w:tcW w:w="1499" w:type="dxa"/>
            <w:vAlign w:val="center"/>
          </w:tcPr>
          <w:p w14:paraId="7DA6DDCB" w14:textId="77777777" w:rsidR="0004315F" w:rsidRPr="005A2545" w:rsidRDefault="0004315F" w:rsidP="00287451">
            <w:pPr>
              <w:jc w:val="center"/>
              <w:rPr>
                <w:sz w:val="20"/>
                <w:szCs w:val="20"/>
              </w:rPr>
            </w:pPr>
            <w:r w:rsidRPr="005A2545">
              <w:rPr>
                <w:sz w:val="20"/>
                <w:szCs w:val="20"/>
              </w:rPr>
              <w:t>Invalid-only</w:t>
            </w:r>
          </w:p>
        </w:tc>
        <w:tc>
          <w:tcPr>
            <w:tcW w:w="979" w:type="dxa"/>
            <w:vAlign w:val="center"/>
          </w:tcPr>
          <w:p w14:paraId="0597BBD8" w14:textId="77777777" w:rsidR="0004315F" w:rsidRPr="005A2545" w:rsidRDefault="0004315F" w:rsidP="00287451">
            <w:pPr>
              <w:jc w:val="center"/>
              <w:rPr>
                <w:sz w:val="20"/>
                <w:szCs w:val="20"/>
              </w:rPr>
            </w:pPr>
            <w:r w:rsidRPr="005A2545">
              <w:rPr>
                <w:sz w:val="20"/>
                <w:szCs w:val="20"/>
              </w:rPr>
              <w:t>3,206</w:t>
            </w:r>
          </w:p>
        </w:tc>
        <w:tc>
          <w:tcPr>
            <w:tcW w:w="1065" w:type="dxa"/>
            <w:vAlign w:val="center"/>
          </w:tcPr>
          <w:p w14:paraId="290E1421" w14:textId="77777777" w:rsidR="0004315F" w:rsidRPr="005A2545" w:rsidRDefault="0004315F" w:rsidP="00287451">
            <w:pPr>
              <w:jc w:val="center"/>
              <w:rPr>
                <w:sz w:val="20"/>
                <w:szCs w:val="20"/>
              </w:rPr>
            </w:pPr>
            <w:r w:rsidRPr="005A2545">
              <w:rPr>
                <w:sz w:val="20"/>
                <w:szCs w:val="20"/>
              </w:rPr>
              <w:t>0.172</w:t>
            </w:r>
          </w:p>
        </w:tc>
        <w:tc>
          <w:tcPr>
            <w:tcW w:w="1065" w:type="dxa"/>
            <w:vAlign w:val="center"/>
          </w:tcPr>
          <w:p w14:paraId="1C26F47B" w14:textId="77777777" w:rsidR="0004315F" w:rsidRPr="005A2545" w:rsidRDefault="0004315F" w:rsidP="00287451">
            <w:pPr>
              <w:jc w:val="center"/>
              <w:rPr>
                <w:sz w:val="20"/>
                <w:szCs w:val="20"/>
              </w:rPr>
            </w:pPr>
            <w:r w:rsidRPr="005A2545">
              <w:rPr>
                <w:sz w:val="20"/>
                <w:szCs w:val="20"/>
              </w:rPr>
              <w:t>0.377</w:t>
            </w:r>
          </w:p>
        </w:tc>
        <w:tc>
          <w:tcPr>
            <w:tcW w:w="1065" w:type="dxa"/>
            <w:vAlign w:val="center"/>
          </w:tcPr>
          <w:p w14:paraId="1D7DD8E5" w14:textId="77777777" w:rsidR="0004315F" w:rsidRPr="005A2545" w:rsidRDefault="0004315F" w:rsidP="00287451">
            <w:pPr>
              <w:jc w:val="center"/>
              <w:rPr>
                <w:sz w:val="20"/>
                <w:szCs w:val="20"/>
              </w:rPr>
            </w:pPr>
            <w:r w:rsidRPr="005A2545">
              <w:rPr>
                <w:sz w:val="20"/>
                <w:szCs w:val="20"/>
              </w:rPr>
              <w:t>0.000</w:t>
            </w:r>
          </w:p>
        </w:tc>
        <w:tc>
          <w:tcPr>
            <w:tcW w:w="1065" w:type="dxa"/>
            <w:vAlign w:val="center"/>
          </w:tcPr>
          <w:p w14:paraId="7FF6843B" w14:textId="77777777" w:rsidR="0004315F" w:rsidRPr="005A2545" w:rsidRDefault="0004315F" w:rsidP="00287451">
            <w:pPr>
              <w:jc w:val="center"/>
              <w:rPr>
                <w:sz w:val="20"/>
                <w:szCs w:val="20"/>
              </w:rPr>
            </w:pPr>
            <w:r w:rsidRPr="005A2545">
              <w:rPr>
                <w:sz w:val="20"/>
                <w:szCs w:val="20"/>
              </w:rPr>
              <w:t>1.000</w:t>
            </w:r>
          </w:p>
        </w:tc>
      </w:tr>
      <w:tr w:rsidR="0004315F" w:rsidRPr="005A2545" w14:paraId="697FEC7A" w14:textId="77777777" w:rsidTr="0004315F">
        <w:tc>
          <w:tcPr>
            <w:tcW w:w="2622" w:type="dxa"/>
            <w:vAlign w:val="center"/>
          </w:tcPr>
          <w:p w14:paraId="24C3752B" w14:textId="77777777" w:rsidR="0004315F" w:rsidRPr="005A2545" w:rsidRDefault="0004315F" w:rsidP="00287451">
            <w:pPr>
              <w:rPr>
                <w:sz w:val="20"/>
                <w:szCs w:val="20"/>
              </w:rPr>
            </w:pPr>
            <w:r w:rsidRPr="005A2545">
              <w:rPr>
                <w:b/>
                <w:sz w:val="20"/>
                <w:szCs w:val="20"/>
              </w:rPr>
              <w:t>S112: Written Description</w:t>
            </w:r>
          </w:p>
        </w:tc>
        <w:tc>
          <w:tcPr>
            <w:tcW w:w="1499" w:type="dxa"/>
            <w:vAlign w:val="center"/>
          </w:tcPr>
          <w:p w14:paraId="7972C749" w14:textId="77777777" w:rsidR="0004315F" w:rsidRPr="005A2545" w:rsidRDefault="0004315F" w:rsidP="00287451">
            <w:pPr>
              <w:jc w:val="center"/>
              <w:rPr>
                <w:sz w:val="20"/>
                <w:szCs w:val="20"/>
              </w:rPr>
            </w:pPr>
            <w:r w:rsidRPr="005A2545">
              <w:rPr>
                <w:sz w:val="20"/>
                <w:szCs w:val="20"/>
              </w:rPr>
              <w:t>Invalid-only</w:t>
            </w:r>
          </w:p>
        </w:tc>
        <w:tc>
          <w:tcPr>
            <w:tcW w:w="979" w:type="dxa"/>
            <w:vAlign w:val="center"/>
          </w:tcPr>
          <w:p w14:paraId="43544576" w14:textId="77777777" w:rsidR="0004315F" w:rsidRPr="005A2545" w:rsidRDefault="0004315F" w:rsidP="00287451">
            <w:pPr>
              <w:jc w:val="center"/>
              <w:rPr>
                <w:sz w:val="20"/>
                <w:szCs w:val="20"/>
              </w:rPr>
            </w:pPr>
            <w:r w:rsidRPr="005A2545">
              <w:rPr>
                <w:sz w:val="20"/>
                <w:szCs w:val="20"/>
              </w:rPr>
              <w:t>3,206</w:t>
            </w:r>
          </w:p>
        </w:tc>
        <w:tc>
          <w:tcPr>
            <w:tcW w:w="1065" w:type="dxa"/>
            <w:vAlign w:val="center"/>
          </w:tcPr>
          <w:p w14:paraId="12F9A925" w14:textId="77777777" w:rsidR="0004315F" w:rsidRPr="005A2545" w:rsidRDefault="0004315F" w:rsidP="00287451">
            <w:pPr>
              <w:jc w:val="center"/>
              <w:rPr>
                <w:sz w:val="20"/>
                <w:szCs w:val="20"/>
              </w:rPr>
            </w:pPr>
            <w:r w:rsidRPr="005A2545">
              <w:rPr>
                <w:sz w:val="20"/>
                <w:szCs w:val="20"/>
              </w:rPr>
              <w:t>0.054</w:t>
            </w:r>
          </w:p>
        </w:tc>
        <w:tc>
          <w:tcPr>
            <w:tcW w:w="1065" w:type="dxa"/>
            <w:vAlign w:val="center"/>
          </w:tcPr>
          <w:p w14:paraId="0EDAABCA" w14:textId="77777777" w:rsidR="0004315F" w:rsidRPr="005A2545" w:rsidRDefault="0004315F" w:rsidP="00287451">
            <w:pPr>
              <w:jc w:val="center"/>
              <w:rPr>
                <w:sz w:val="20"/>
                <w:szCs w:val="20"/>
              </w:rPr>
            </w:pPr>
            <w:r w:rsidRPr="005A2545">
              <w:rPr>
                <w:sz w:val="20"/>
                <w:szCs w:val="20"/>
              </w:rPr>
              <w:t>0.225</w:t>
            </w:r>
          </w:p>
        </w:tc>
        <w:tc>
          <w:tcPr>
            <w:tcW w:w="1065" w:type="dxa"/>
            <w:vAlign w:val="center"/>
          </w:tcPr>
          <w:p w14:paraId="75FD1276" w14:textId="77777777" w:rsidR="0004315F" w:rsidRPr="005A2545" w:rsidRDefault="0004315F" w:rsidP="00287451">
            <w:pPr>
              <w:jc w:val="center"/>
              <w:rPr>
                <w:sz w:val="20"/>
                <w:szCs w:val="20"/>
              </w:rPr>
            </w:pPr>
            <w:r w:rsidRPr="005A2545">
              <w:rPr>
                <w:sz w:val="20"/>
                <w:szCs w:val="20"/>
              </w:rPr>
              <w:t>0.000</w:t>
            </w:r>
          </w:p>
        </w:tc>
        <w:tc>
          <w:tcPr>
            <w:tcW w:w="1065" w:type="dxa"/>
            <w:vAlign w:val="center"/>
          </w:tcPr>
          <w:p w14:paraId="08BA2DE9" w14:textId="77777777" w:rsidR="0004315F" w:rsidRPr="005A2545" w:rsidRDefault="0004315F" w:rsidP="00287451">
            <w:pPr>
              <w:jc w:val="center"/>
              <w:rPr>
                <w:sz w:val="20"/>
                <w:szCs w:val="20"/>
              </w:rPr>
            </w:pPr>
            <w:r w:rsidRPr="005A2545">
              <w:rPr>
                <w:sz w:val="20"/>
                <w:szCs w:val="20"/>
              </w:rPr>
              <w:t>1.000</w:t>
            </w:r>
          </w:p>
        </w:tc>
      </w:tr>
      <w:tr w:rsidR="0004315F" w:rsidRPr="005A2545" w14:paraId="364DF9E8" w14:textId="77777777" w:rsidTr="0004315F">
        <w:tc>
          <w:tcPr>
            <w:tcW w:w="2622" w:type="dxa"/>
            <w:vAlign w:val="center"/>
          </w:tcPr>
          <w:p w14:paraId="6BA0044C" w14:textId="77777777" w:rsidR="0004315F" w:rsidRPr="005A2545" w:rsidRDefault="0004315F" w:rsidP="00287451">
            <w:pPr>
              <w:rPr>
                <w:sz w:val="20"/>
                <w:szCs w:val="20"/>
              </w:rPr>
            </w:pPr>
            <w:r w:rsidRPr="005A2545">
              <w:rPr>
                <w:b/>
                <w:sz w:val="20"/>
                <w:szCs w:val="20"/>
              </w:rPr>
              <w:t>S112: Enablement</w:t>
            </w:r>
          </w:p>
        </w:tc>
        <w:tc>
          <w:tcPr>
            <w:tcW w:w="1499" w:type="dxa"/>
            <w:vAlign w:val="center"/>
          </w:tcPr>
          <w:p w14:paraId="74D1BABD" w14:textId="77777777" w:rsidR="0004315F" w:rsidRPr="005A2545" w:rsidRDefault="0004315F" w:rsidP="00287451">
            <w:pPr>
              <w:jc w:val="center"/>
              <w:rPr>
                <w:sz w:val="20"/>
                <w:szCs w:val="20"/>
              </w:rPr>
            </w:pPr>
            <w:r w:rsidRPr="005A2545">
              <w:rPr>
                <w:sz w:val="20"/>
                <w:szCs w:val="20"/>
              </w:rPr>
              <w:t>Invalid-only</w:t>
            </w:r>
          </w:p>
        </w:tc>
        <w:tc>
          <w:tcPr>
            <w:tcW w:w="979" w:type="dxa"/>
            <w:vAlign w:val="center"/>
          </w:tcPr>
          <w:p w14:paraId="2CF5CA7D" w14:textId="77777777" w:rsidR="0004315F" w:rsidRPr="005A2545" w:rsidRDefault="0004315F" w:rsidP="00287451">
            <w:pPr>
              <w:jc w:val="center"/>
              <w:rPr>
                <w:sz w:val="20"/>
                <w:szCs w:val="20"/>
              </w:rPr>
            </w:pPr>
            <w:r w:rsidRPr="005A2545">
              <w:rPr>
                <w:sz w:val="20"/>
                <w:szCs w:val="20"/>
              </w:rPr>
              <w:t>3,206</w:t>
            </w:r>
          </w:p>
        </w:tc>
        <w:tc>
          <w:tcPr>
            <w:tcW w:w="1065" w:type="dxa"/>
            <w:vAlign w:val="center"/>
          </w:tcPr>
          <w:p w14:paraId="6C65F18D" w14:textId="77777777" w:rsidR="0004315F" w:rsidRPr="005A2545" w:rsidRDefault="0004315F" w:rsidP="00287451">
            <w:pPr>
              <w:jc w:val="center"/>
              <w:rPr>
                <w:sz w:val="20"/>
                <w:szCs w:val="20"/>
              </w:rPr>
            </w:pPr>
            <w:r w:rsidRPr="005A2545">
              <w:rPr>
                <w:sz w:val="20"/>
                <w:szCs w:val="20"/>
              </w:rPr>
              <w:t>0.036</w:t>
            </w:r>
          </w:p>
        </w:tc>
        <w:tc>
          <w:tcPr>
            <w:tcW w:w="1065" w:type="dxa"/>
            <w:vAlign w:val="center"/>
          </w:tcPr>
          <w:p w14:paraId="1DF0ADC1" w14:textId="77777777" w:rsidR="0004315F" w:rsidRPr="005A2545" w:rsidRDefault="0004315F" w:rsidP="00287451">
            <w:pPr>
              <w:jc w:val="center"/>
              <w:rPr>
                <w:sz w:val="20"/>
                <w:szCs w:val="20"/>
              </w:rPr>
            </w:pPr>
            <w:r w:rsidRPr="005A2545">
              <w:rPr>
                <w:sz w:val="20"/>
                <w:szCs w:val="20"/>
              </w:rPr>
              <w:t>0.187</w:t>
            </w:r>
          </w:p>
        </w:tc>
        <w:tc>
          <w:tcPr>
            <w:tcW w:w="1065" w:type="dxa"/>
            <w:vAlign w:val="center"/>
          </w:tcPr>
          <w:p w14:paraId="35467E6F" w14:textId="77777777" w:rsidR="0004315F" w:rsidRPr="005A2545" w:rsidRDefault="0004315F" w:rsidP="00287451">
            <w:pPr>
              <w:jc w:val="center"/>
              <w:rPr>
                <w:sz w:val="20"/>
                <w:szCs w:val="20"/>
              </w:rPr>
            </w:pPr>
            <w:r w:rsidRPr="005A2545">
              <w:rPr>
                <w:sz w:val="20"/>
                <w:szCs w:val="20"/>
              </w:rPr>
              <w:t>0.000</w:t>
            </w:r>
          </w:p>
        </w:tc>
        <w:tc>
          <w:tcPr>
            <w:tcW w:w="1065" w:type="dxa"/>
            <w:vAlign w:val="center"/>
          </w:tcPr>
          <w:p w14:paraId="6C6D4070" w14:textId="77777777" w:rsidR="0004315F" w:rsidRPr="005A2545" w:rsidRDefault="0004315F" w:rsidP="00287451">
            <w:pPr>
              <w:jc w:val="center"/>
              <w:rPr>
                <w:sz w:val="20"/>
                <w:szCs w:val="20"/>
              </w:rPr>
            </w:pPr>
            <w:r w:rsidRPr="005A2545">
              <w:rPr>
                <w:sz w:val="20"/>
                <w:szCs w:val="20"/>
              </w:rPr>
              <w:t>1.000</w:t>
            </w:r>
          </w:p>
        </w:tc>
      </w:tr>
      <w:tr w:rsidR="0004315F" w:rsidRPr="005A2545" w14:paraId="625EE12C" w14:textId="77777777" w:rsidTr="0004315F">
        <w:tc>
          <w:tcPr>
            <w:tcW w:w="2622" w:type="dxa"/>
            <w:vAlign w:val="center"/>
          </w:tcPr>
          <w:p w14:paraId="6878FE70" w14:textId="77777777" w:rsidR="0004315F" w:rsidRPr="005A2545" w:rsidRDefault="0004315F" w:rsidP="00287451">
            <w:pPr>
              <w:rPr>
                <w:sz w:val="20"/>
                <w:szCs w:val="20"/>
              </w:rPr>
            </w:pPr>
            <w:r w:rsidRPr="005A2545">
              <w:rPr>
                <w:b/>
                <w:sz w:val="20"/>
                <w:szCs w:val="20"/>
              </w:rPr>
              <w:t>S112: Definiteness</w:t>
            </w:r>
          </w:p>
        </w:tc>
        <w:tc>
          <w:tcPr>
            <w:tcW w:w="1499" w:type="dxa"/>
            <w:vAlign w:val="center"/>
          </w:tcPr>
          <w:p w14:paraId="04C601A2" w14:textId="77777777" w:rsidR="0004315F" w:rsidRPr="005A2545" w:rsidRDefault="0004315F" w:rsidP="00287451">
            <w:pPr>
              <w:jc w:val="center"/>
              <w:rPr>
                <w:sz w:val="20"/>
                <w:szCs w:val="20"/>
              </w:rPr>
            </w:pPr>
            <w:r w:rsidRPr="005A2545">
              <w:rPr>
                <w:sz w:val="20"/>
                <w:szCs w:val="20"/>
              </w:rPr>
              <w:t>Invalid-only</w:t>
            </w:r>
          </w:p>
        </w:tc>
        <w:tc>
          <w:tcPr>
            <w:tcW w:w="979" w:type="dxa"/>
            <w:vAlign w:val="center"/>
          </w:tcPr>
          <w:p w14:paraId="3B394964" w14:textId="77777777" w:rsidR="0004315F" w:rsidRPr="005A2545" w:rsidRDefault="0004315F" w:rsidP="00287451">
            <w:pPr>
              <w:jc w:val="center"/>
              <w:rPr>
                <w:sz w:val="20"/>
                <w:szCs w:val="20"/>
              </w:rPr>
            </w:pPr>
            <w:r w:rsidRPr="005A2545">
              <w:rPr>
                <w:sz w:val="20"/>
                <w:szCs w:val="20"/>
              </w:rPr>
              <w:t>3,206</w:t>
            </w:r>
          </w:p>
        </w:tc>
        <w:tc>
          <w:tcPr>
            <w:tcW w:w="1065" w:type="dxa"/>
            <w:vAlign w:val="center"/>
          </w:tcPr>
          <w:p w14:paraId="1FC15B3F" w14:textId="77777777" w:rsidR="0004315F" w:rsidRPr="005A2545" w:rsidRDefault="0004315F" w:rsidP="00287451">
            <w:pPr>
              <w:jc w:val="center"/>
              <w:rPr>
                <w:sz w:val="20"/>
                <w:szCs w:val="20"/>
              </w:rPr>
            </w:pPr>
            <w:r w:rsidRPr="005A2545">
              <w:rPr>
                <w:sz w:val="20"/>
                <w:szCs w:val="20"/>
              </w:rPr>
              <w:t>0.234</w:t>
            </w:r>
          </w:p>
        </w:tc>
        <w:tc>
          <w:tcPr>
            <w:tcW w:w="1065" w:type="dxa"/>
            <w:vAlign w:val="center"/>
          </w:tcPr>
          <w:p w14:paraId="57D6322A" w14:textId="77777777" w:rsidR="0004315F" w:rsidRPr="005A2545" w:rsidRDefault="0004315F" w:rsidP="00287451">
            <w:pPr>
              <w:jc w:val="center"/>
              <w:rPr>
                <w:sz w:val="20"/>
                <w:szCs w:val="20"/>
              </w:rPr>
            </w:pPr>
            <w:r w:rsidRPr="005A2545">
              <w:rPr>
                <w:sz w:val="20"/>
                <w:szCs w:val="20"/>
              </w:rPr>
              <w:t>0.423</w:t>
            </w:r>
          </w:p>
        </w:tc>
        <w:tc>
          <w:tcPr>
            <w:tcW w:w="1065" w:type="dxa"/>
            <w:vAlign w:val="center"/>
          </w:tcPr>
          <w:p w14:paraId="4F4F4A87" w14:textId="77777777" w:rsidR="0004315F" w:rsidRPr="005A2545" w:rsidRDefault="0004315F" w:rsidP="00287451">
            <w:pPr>
              <w:jc w:val="center"/>
              <w:rPr>
                <w:sz w:val="20"/>
                <w:szCs w:val="20"/>
              </w:rPr>
            </w:pPr>
            <w:r w:rsidRPr="005A2545">
              <w:rPr>
                <w:sz w:val="20"/>
                <w:szCs w:val="20"/>
              </w:rPr>
              <w:t>0.000</w:t>
            </w:r>
          </w:p>
        </w:tc>
        <w:tc>
          <w:tcPr>
            <w:tcW w:w="1065" w:type="dxa"/>
            <w:vAlign w:val="center"/>
          </w:tcPr>
          <w:p w14:paraId="2FEAEBA5" w14:textId="77777777" w:rsidR="0004315F" w:rsidRPr="005A2545" w:rsidRDefault="0004315F" w:rsidP="00287451">
            <w:pPr>
              <w:jc w:val="center"/>
              <w:rPr>
                <w:sz w:val="20"/>
                <w:szCs w:val="20"/>
              </w:rPr>
            </w:pPr>
            <w:r w:rsidRPr="005A2545">
              <w:rPr>
                <w:sz w:val="20"/>
                <w:szCs w:val="20"/>
              </w:rPr>
              <w:t>1.000</w:t>
            </w:r>
          </w:p>
        </w:tc>
      </w:tr>
      <w:tr w:rsidR="0004315F" w:rsidRPr="005A2545" w14:paraId="317EF8F5" w14:textId="77777777" w:rsidTr="0004315F">
        <w:tc>
          <w:tcPr>
            <w:tcW w:w="2622" w:type="dxa"/>
            <w:vAlign w:val="center"/>
          </w:tcPr>
          <w:p w14:paraId="6CF132B8" w14:textId="77777777" w:rsidR="0004315F" w:rsidRPr="005A2545" w:rsidRDefault="0004315F" w:rsidP="00287451">
            <w:pPr>
              <w:rPr>
                <w:sz w:val="20"/>
                <w:szCs w:val="20"/>
              </w:rPr>
            </w:pPr>
            <w:r w:rsidRPr="005A2545">
              <w:rPr>
                <w:b/>
                <w:sz w:val="20"/>
                <w:szCs w:val="20"/>
              </w:rPr>
              <w:t>Patent age, invalidity event</w:t>
            </w:r>
          </w:p>
        </w:tc>
        <w:tc>
          <w:tcPr>
            <w:tcW w:w="1499" w:type="dxa"/>
            <w:vAlign w:val="center"/>
          </w:tcPr>
          <w:p w14:paraId="7C339F99" w14:textId="77777777" w:rsidR="0004315F" w:rsidRPr="005A2545" w:rsidRDefault="0004315F" w:rsidP="00287451">
            <w:pPr>
              <w:jc w:val="center"/>
              <w:rPr>
                <w:sz w:val="20"/>
                <w:szCs w:val="20"/>
              </w:rPr>
            </w:pPr>
            <w:r w:rsidRPr="005A2545">
              <w:rPr>
                <w:sz w:val="20"/>
                <w:szCs w:val="20"/>
              </w:rPr>
              <w:t>Invalidity merits</w:t>
            </w:r>
          </w:p>
        </w:tc>
        <w:tc>
          <w:tcPr>
            <w:tcW w:w="979" w:type="dxa"/>
            <w:vAlign w:val="center"/>
          </w:tcPr>
          <w:p w14:paraId="637E99DB" w14:textId="77777777" w:rsidR="0004315F" w:rsidRPr="005A2545" w:rsidRDefault="0004315F" w:rsidP="00287451">
            <w:pPr>
              <w:jc w:val="center"/>
              <w:rPr>
                <w:sz w:val="20"/>
                <w:szCs w:val="20"/>
              </w:rPr>
            </w:pPr>
            <w:r w:rsidRPr="005A2545">
              <w:rPr>
                <w:sz w:val="20"/>
                <w:szCs w:val="20"/>
              </w:rPr>
              <w:t>5,751</w:t>
            </w:r>
          </w:p>
        </w:tc>
        <w:tc>
          <w:tcPr>
            <w:tcW w:w="1065" w:type="dxa"/>
            <w:vAlign w:val="center"/>
          </w:tcPr>
          <w:p w14:paraId="0AE14858" w14:textId="77777777" w:rsidR="0004315F" w:rsidRPr="005A2545" w:rsidRDefault="0004315F" w:rsidP="00287451">
            <w:pPr>
              <w:jc w:val="center"/>
              <w:rPr>
                <w:sz w:val="20"/>
                <w:szCs w:val="20"/>
              </w:rPr>
            </w:pPr>
            <w:r w:rsidRPr="005A2545">
              <w:rPr>
                <w:sz w:val="20"/>
                <w:szCs w:val="20"/>
              </w:rPr>
              <w:t>8.093</w:t>
            </w:r>
          </w:p>
        </w:tc>
        <w:tc>
          <w:tcPr>
            <w:tcW w:w="1065" w:type="dxa"/>
            <w:vAlign w:val="center"/>
          </w:tcPr>
          <w:p w14:paraId="7FA10D04" w14:textId="77777777" w:rsidR="0004315F" w:rsidRPr="005A2545" w:rsidRDefault="0004315F" w:rsidP="00287451">
            <w:pPr>
              <w:jc w:val="center"/>
              <w:rPr>
                <w:sz w:val="20"/>
                <w:szCs w:val="20"/>
              </w:rPr>
            </w:pPr>
            <w:r w:rsidRPr="005A2545">
              <w:rPr>
                <w:sz w:val="20"/>
                <w:szCs w:val="20"/>
              </w:rPr>
              <w:t>5.184</w:t>
            </w:r>
          </w:p>
        </w:tc>
        <w:tc>
          <w:tcPr>
            <w:tcW w:w="1065" w:type="dxa"/>
            <w:vAlign w:val="center"/>
          </w:tcPr>
          <w:p w14:paraId="607D435E" w14:textId="77777777" w:rsidR="0004315F" w:rsidRPr="005A2545" w:rsidRDefault="0004315F" w:rsidP="00287451">
            <w:pPr>
              <w:jc w:val="center"/>
              <w:rPr>
                <w:sz w:val="20"/>
                <w:szCs w:val="20"/>
              </w:rPr>
            </w:pPr>
            <w:r w:rsidRPr="005A2545">
              <w:rPr>
                <w:sz w:val="20"/>
                <w:szCs w:val="20"/>
              </w:rPr>
              <w:t>0.227</w:t>
            </w:r>
          </w:p>
        </w:tc>
        <w:tc>
          <w:tcPr>
            <w:tcW w:w="1065" w:type="dxa"/>
            <w:vAlign w:val="center"/>
          </w:tcPr>
          <w:p w14:paraId="408E6329" w14:textId="77777777" w:rsidR="0004315F" w:rsidRPr="005A2545" w:rsidRDefault="0004315F" w:rsidP="00287451">
            <w:pPr>
              <w:jc w:val="center"/>
              <w:rPr>
                <w:sz w:val="20"/>
                <w:szCs w:val="20"/>
              </w:rPr>
            </w:pPr>
            <w:r w:rsidRPr="005A2545">
              <w:rPr>
                <w:sz w:val="20"/>
                <w:szCs w:val="20"/>
              </w:rPr>
              <w:t>29.878</w:t>
            </w:r>
          </w:p>
        </w:tc>
      </w:tr>
      <w:tr w:rsidR="0004315F" w:rsidRPr="005A2545" w14:paraId="7ED16055" w14:textId="77777777" w:rsidTr="0004315F">
        <w:tc>
          <w:tcPr>
            <w:tcW w:w="2622" w:type="dxa"/>
            <w:vAlign w:val="center"/>
          </w:tcPr>
          <w:p w14:paraId="6F219968" w14:textId="77777777" w:rsidR="0004315F" w:rsidRPr="005A2545" w:rsidRDefault="0004315F" w:rsidP="00287451">
            <w:pPr>
              <w:rPr>
                <w:sz w:val="20"/>
                <w:szCs w:val="20"/>
              </w:rPr>
            </w:pPr>
            <w:r w:rsidRPr="005A2545">
              <w:rPr>
                <w:b/>
                <w:sz w:val="20"/>
                <w:szCs w:val="20"/>
              </w:rPr>
              <w:t>Patent age, infringement event</w:t>
            </w:r>
          </w:p>
        </w:tc>
        <w:tc>
          <w:tcPr>
            <w:tcW w:w="1499" w:type="dxa"/>
            <w:vAlign w:val="center"/>
          </w:tcPr>
          <w:p w14:paraId="770712C7" w14:textId="77777777" w:rsidR="0004315F" w:rsidRPr="005A2545" w:rsidRDefault="0004315F" w:rsidP="00287451">
            <w:pPr>
              <w:jc w:val="center"/>
              <w:rPr>
                <w:sz w:val="20"/>
                <w:szCs w:val="20"/>
              </w:rPr>
            </w:pPr>
            <w:r w:rsidRPr="005A2545">
              <w:rPr>
                <w:sz w:val="20"/>
                <w:szCs w:val="20"/>
              </w:rPr>
              <w:t>Infringement merits</w:t>
            </w:r>
          </w:p>
        </w:tc>
        <w:tc>
          <w:tcPr>
            <w:tcW w:w="979" w:type="dxa"/>
            <w:vAlign w:val="center"/>
          </w:tcPr>
          <w:p w14:paraId="656860FD" w14:textId="77777777" w:rsidR="0004315F" w:rsidRPr="005A2545" w:rsidRDefault="0004315F" w:rsidP="00287451">
            <w:pPr>
              <w:jc w:val="center"/>
              <w:rPr>
                <w:sz w:val="20"/>
                <w:szCs w:val="20"/>
              </w:rPr>
            </w:pPr>
            <w:r w:rsidRPr="005A2545">
              <w:rPr>
                <w:sz w:val="20"/>
                <w:szCs w:val="20"/>
              </w:rPr>
              <w:t>6,362</w:t>
            </w:r>
          </w:p>
        </w:tc>
        <w:tc>
          <w:tcPr>
            <w:tcW w:w="1065" w:type="dxa"/>
            <w:vAlign w:val="center"/>
          </w:tcPr>
          <w:p w14:paraId="705DBE1F" w14:textId="77777777" w:rsidR="0004315F" w:rsidRPr="005A2545" w:rsidRDefault="0004315F" w:rsidP="00287451">
            <w:pPr>
              <w:jc w:val="center"/>
              <w:rPr>
                <w:sz w:val="20"/>
                <w:szCs w:val="20"/>
              </w:rPr>
            </w:pPr>
            <w:r w:rsidRPr="005A2545">
              <w:rPr>
                <w:sz w:val="20"/>
                <w:szCs w:val="20"/>
              </w:rPr>
              <w:t>8.531</w:t>
            </w:r>
          </w:p>
        </w:tc>
        <w:tc>
          <w:tcPr>
            <w:tcW w:w="1065" w:type="dxa"/>
            <w:vAlign w:val="center"/>
          </w:tcPr>
          <w:p w14:paraId="5753A0E6" w14:textId="77777777" w:rsidR="0004315F" w:rsidRPr="005A2545" w:rsidRDefault="0004315F" w:rsidP="00287451">
            <w:pPr>
              <w:jc w:val="center"/>
              <w:rPr>
                <w:sz w:val="20"/>
                <w:szCs w:val="20"/>
              </w:rPr>
            </w:pPr>
            <w:r w:rsidRPr="005A2545">
              <w:rPr>
                <w:sz w:val="20"/>
                <w:szCs w:val="20"/>
              </w:rPr>
              <w:t>5.260</w:t>
            </w:r>
          </w:p>
        </w:tc>
        <w:tc>
          <w:tcPr>
            <w:tcW w:w="1065" w:type="dxa"/>
            <w:vAlign w:val="center"/>
          </w:tcPr>
          <w:p w14:paraId="3E507823" w14:textId="77777777" w:rsidR="0004315F" w:rsidRPr="005A2545" w:rsidRDefault="0004315F" w:rsidP="00287451">
            <w:pPr>
              <w:jc w:val="center"/>
              <w:rPr>
                <w:sz w:val="20"/>
                <w:szCs w:val="20"/>
              </w:rPr>
            </w:pPr>
            <w:r w:rsidRPr="005A2545">
              <w:rPr>
                <w:sz w:val="20"/>
                <w:szCs w:val="20"/>
              </w:rPr>
              <w:t>0.016</w:t>
            </w:r>
          </w:p>
        </w:tc>
        <w:tc>
          <w:tcPr>
            <w:tcW w:w="1065" w:type="dxa"/>
            <w:vAlign w:val="center"/>
          </w:tcPr>
          <w:p w14:paraId="301DB5BA" w14:textId="77777777" w:rsidR="0004315F" w:rsidRPr="005A2545" w:rsidRDefault="0004315F" w:rsidP="00287451">
            <w:pPr>
              <w:jc w:val="center"/>
              <w:rPr>
                <w:sz w:val="20"/>
                <w:szCs w:val="20"/>
              </w:rPr>
            </w:pPr>
            <w:r w:rsidRPr="005A2545">
              <w:rPr>
                <w:sz w:val="20"/>
                <w:szCs w:val="20"/>
              </w:rPr>
              <w:t>26.300</w:t>
            </w:r>
          </w:p>
        </w:tc>
      </w:tr>
      <w:tr w:rsidR="0004315F" w:rsidRPr="005A2545" w14:paraId="1649F6D1" w14:textId="77777777" w:rsidTr="0004315F">
        <w:tc>
          <w:tcPr>
            <w:tcW w:w="2622" w:type="dxa"/>
            <w:vAlign w:val="center"/>
          </w:tcPr>
          <w:p w14:paraId="41698CD2" w14:textId="77777777" w:rsidR="0004315F" w:rsidRPr="005A2545" w:rsidRDefault="0004315F" w:rsidP="00287451">
            <w:pPr>
              <w:rPr>
                <w:sz w:val="20"/>
                <w:szCs w:val="20"/>
              </w:rPr>
            </w:pPr>
            <w:r w:rsidRPr="005A2545">
              <w:rPr>
                <w:b/>
                <w:sz w:val="20"/>
                <w:szCs w:val="20"/>
              </w:rPr>
              <w:t>Log patent claims</w:t>
            </w:r>
          </w:p>
        </w:tc>
        <w:tc>
          <w:tcPr>
            <w:tcW w:w="1499" w:type="dxa"/>
            <w:vAlign w:val="center"/>
          </w:tcPr>
          <w:p w14:paraId="094C3C5E" w14:textId="77777777" w:rsidR="0004315F" w:rsidRPr="005A2545" w:rsidRDefault="0004315F" w:rsidP="00287451">
            <w:pPr>
              <w:jc w:val="center"/>
              <w:rPr>
                <w:sz w:val="20"/>
                <w:szCs w:val="20"/>
              </w:rPr>
            </w:pPr>
            <w:r w:rsidRPr="005A2545">
              <w:rPr>
                <w:sz w:val="20"/>
                <w:szCs w:val="20"/>
              </w:rPr>
              <w:t>Invalidity merits</w:t>
            </w:r>
          </w:p>
        </w:tc>
        <w:tc>
          <w:tcPr>
            <w:tcW w:w="979" w:type="dxa"/>
            <w:vAlign w:val="center"/>
          </w:tcPr>
          <w:p w14:paraId="4CB4A116" w14:textId="77777777" w:rsidR="0004315F" w:rsidRPr="005A2545" w:rsidRDefault="0004315F" w:rsidP="00287451">
            <w:pPr>
              <w:jc w:val="center"/>
              <w:rPr>
                <w:sz w:val="20"/>
                <w:szCs w:val="20"/>
              </w:rPr>
            </w:pPr>
            <w:r w:rsidRPr="005A2545">
              <w:rPr>
                <w:sz w:val="20"/>
                <w:szCs w:val="20"/>
              </w:rPr>
              <w:t>5,751</w:t>
            </w:r>
          </w:p>
        </w:tc>
        <w:tc>
          <w:tcPr>
            <w:tcW w:w="1065" w:type="dxa"/>
            <w:vAlign w:val="center"/>
          </w:tcPr>
          <w:p w14:paraId="4894B903" w14:textId="77777777" w:rsidR="0004315F" w:rsidRPr="005A2545" w:rsidRDefault="0004315F" w:rsidP="00287451">
            <w:pPr>
              <w:jc w:val="center"/>
              <w:rPr>
                <w:sz w:val="20"/>
                <w:szCs w:val="20"/>
              </w:rPr>
            </w:pPr>
            <w:r w:rsidRPr="005A2545">
              <w:rPr>
                <w:sz w:val="20"/>
                <w:szCs w:val="20"/>
              </w:rPr>
              <w:t>3.029</w:t>
            </w:r>
          </w:p>
        </w:tc>
        <w:tc>
          <w:tcPr>
            <w:tcW w:w="1065" w:type="dxa"/>
            <w:vAlign w:val="center"/>
          </w:tcPr>
          <w:p w14:paraId="0C8A70C6" w14:textId="77777777" w:rsidR="0004315F" w:rsidRPr="005A2545" w:rsidRDefault="0004315F" w:rsidP="00287451">
            <w:pPr>
              <w:jc w:val="center"/>
              <w:rPr>
                <w:sz w:val="20"/>
                <w:szCs w:val="20"/>
              </w:rPr>
            </w:pPr>
            <w:r w:rsidRPr="005A2545">
              <w:rPr>
                <w:sz w:val="20"/>
                <w:szCs w:val="20"/>
              </w:rPr>
              <w:t>0.808</w:t>
            </w:r>
          </w:p>
        </w:tc>
        <w:tc>
          <w:tcPr>
            <w:tcW w:w="1065" w:type="dxa"/>
            <w:vAlign w:val="center"/>
          </w:tcPr>
          <w:p w14:paraId="361516C0" w14:textId="77777777" w:rsidR="0004315F" w:rsidRPr="005A2545" w:rsidRDefault="0004315F" w:rsidP="00287451">
            <w:pPr>
              <w:jc w:val="center"/>
              <w:rPr>
                <w:sz w:val="20"/>
                <w:szCs w:val="20"/>
              </w:rPr>
            </w:pPr>
            <w:r w:rsidRPr="005A2545">
              <w:rPr>
                <w:sz w:val="20"/>
                <w:szCs w:val="20"/>
              </w:rPr>
              <w:t>0.693</w:t>
            </w:r>
          </w:p>
        </w:tc>
        <w:tc>
          <w:tcPr>
            <w:tcW w:w="1065" w:type="dxa"/>
            <w:vAlign w:val="center"/>
          </w:tcPr>
          <w:p w14:paraId="62168DC7" w14:textId="77777777" w:rsidR="0004315F" w:rsidRPr="005A2545" w:rsidRDefault="0004315F" w:rsidP="00287451">
            <w:pPr>
              <w:jc w:val="center"/>
              <w:rPr>
                <w:sz w:val="20"/>
                <w:szCs w:val="20"/>
              </w:rPr>
            </w:pPr>
            <w:r w:rsidRPr="005A2545">
              <w:rPr>
                <w:sz w:val="20"/>
                <w:szCs w:val="20"/>
              </w:rPr>
              <w:t>6.789</w:t>
            </w:r>
          </w:p>
        </w:tc>
      </w:tr>
      <w:tr w:rsidR="0004315F" w:rsidRPr="005A2545" w14:paraId="0B9AB760" w14:textId="77777777" w:rsidTr="0004315F">
        <w:tc>
          <w:tcPr>
            <w:tcW w:w="2622" w:type="dxa"/>
            <w:vAlign w:val="center"/>
          </w:tcPr>
          <w:p w14:paraId="2E8E7C81" w14:textId="77777777" w:rsidR="0004315F" w:rsidRPr="005A2545" w:rsidRDefault="0004315F" w:rsidP="00287451">
            <w:pPr>
              <w:rPr>
                <w:sz w:val="20"/>
                <w:szCs w:val="20"/>
              </w:rPr>
            </w:pPr>
            <w:r w:rsidRPr="005A2545">
              <w:rPr>
                <w:b/>
                <w:sz w:val="20"/>
                <w:szCs w:val="20"/>
              </w:rPr>
              <w:t>Log backward citations</w:t>
            </w:r>
          </w:p>
        </w:tc>
        <w:tc>
          <w:tcPr>
            <w:tcW w:w="1499" w:type="dxa"/>
            <w:vAlign w:val="center"/>
          </w:tcPr>
          <w:p w14:paraId="2B4B2CC4" w14:textId="77777777" w:rsidR="0004315F" w:rsidRPr="005A2545" w:rsidRDefault="0004315F" w:rsidP="00287451">
            <w:pPr>
              <w:jc w:val="center"/>
              <w:rPr>
                <w:sz w:val="20"/>
                <w:szCs w:val="20"/>
              </w:rPr>
            </w:pPr>
            <w:r w:rsidRPr="005A2545">
              <w:rPr>
                <w:sz w:val="20"/>
                <w:szCs w:val="20"/>
              </w:rPr>
              <w:t>Invalidity merits</w:t>
            </w:r>
          </w:p>
        </w:tc>
        <w:tc>
          <w:tcPr>
            <w:tcW w:w="979" w:type="dxa"/>
            <w:vAlign w:val="center"/>
          </w:tcPr>
          <w:p w14:paraId="7E01351D" w14:textId="77777777" w:rsidR="0004315F" w:rsidRPr="005A2545" w:rsidRDefault="0004315F" w:rsidP="00287451">
            <w:pPr>
              <w:jc w:val="center"/>
              <w:rPr>
                <w:sz w:val="20"/>
                <w:szCs w:val="20"/>
              </w:rPr>
            </w:pPr>
            <w:r w:rsidRPr="005A2545">
              <w:rPr>
                <w:sz w:val="20"/>
                <w:szCs w:val="20"/>
              </w:rPr>
              <w:t>5,751</w:t>
            </w:r>
          </w:p>
        </w:tc>
        <w:tc>
          <w:tcPr>
            <w:tcW w:w="1065" w:type="dxa"/>
            <w:vAlign w:val="center"/>
          </w:tcPr>
          <w:p w14:paraId="0F5F988B" w14:textId="77777777" w:rsidR="0004315F" w:rsidRPr="005A2545" w:rsidRDefault="0004315F" w:rsidP="00287451">
            <w:pPr>
              <w:jc w:val="center"/>
              <w:rPr>
                <w:sz w:val="20"/>
                <w:szCs w:val="20"/>
              </w:rPr>
            </w:pPr>
            <w:r w:rsidRPr="005A2545">
              <w:rPr>
                <w:sz w:val="20"/>
                <w:szCs w:val="20"/>
              </w:rPr>
              <w:t>3.697</w:t>
            </w:r>
          </w:p>
        </w:tc>
        <w:tc>
          <w:tcPr>
            <w:tcW w:w="1065" w:type="dxa"/>
            <w:vAlign w:val="center"/>
          </w:tcPr>
          <w:p w14:paraId="616BBB79" w14:textId="77777777" w:rsidR="0004315F" w:rsidRPr="005A2545" w:rsidRDefault="0004315F" w:rsidP="00287451">
            <w:pPr>
              <w:jc w:val="center"/>
              <w:rPr>
                <w:sz w:val="20"/>
                <w:szCs w:val="20"/>
              </w:rPr>
            </w:pPr>
            <w:r w:rsidRPr="005A2545">
              <w:rPr>
                <w:sz w:val="20"/>
                <w:szCs w:val="20"/>
              </w:rPr>
              <w:t>1.396</w:t>
            </w:r>
          </w:p>
        </w:tc>
        <w:tc>
          <w:tcPr>
            <w:tcW w:w="1065" w:type="dxa"/>
            <w:vAlign w:val="center"/>
          </w:tcPr>
          <w:p w14:paraId="7D040CE3" w14:textId="77777777" w:rsidR="0004315F" w:rsidRPr="005A2545" w:rsidRDefault="0004315F" w:rsidP="00287451">
            <w:pPr>
              <w:jc w:val="center"/>
              <w:rPr>
                <w:sz w:val="20"/>
                <w:szCs w:val="20"/>
              </w:rPr>
            </w:pPr>
            <w:r w:rsidRPr="005A2545">
              <w:rPr>
                <w:sz w:val="20"/>
                <w:szCs w:val="20"/>
              </w:rPr>
              <w:t>0.000</w:t>
            </w:r>
          </w:p>
        </w:tc>
        <w:tc>
          <w:tcPr>
            <w:tcW w:w="1065" w:type="dxa"/>
            <w:vAlign w:val="center"/>
          </w:tcPr>
          <w:p w14:paraId="1F6F4AF1" w14:textId="77777777" w:rsidR="0004315F" w:rsidRPr="005A2545" w:rsidRDefault="0004315F" w:rsidP="00287451">
            <w:pPr>
              <w:jc w:val="center"/>
              <w:rPr>
                <w:sz w:val="20"/>
                <w:szCs w:val="20"/>
              </w:rPr>
            </w:pPr>
            <w:r w:rsidRPr="005A2545">
              <w:rPr>
                <w:sz w:val="20"/>
                <w:szCs w:val="20"/>
              </w:rPr>
              <w:t>8.270</w:t>
            </w:r>
          </w:p>
        </w:tc>
      </w:tr>
      <w:tr w:rsidR="0004315F" w:rsidRPr="005A2545" w14:paraId="5CDE5419" w14:textId="77777777" w:rsidTr="0004315F">
        <w:tc>
          <w:tcPr>
            <w:tcW w:w="2622" w:type="dxa"/>
            <w:vAlign w:val="center"/>
          </w:tcPr>
          <w:p w14:paraId="49799DB7" w14:textId="77777777" w:rsidR="0004315F" w:rsidRPr="005A2545" w:rsidRDefault="0004315F" w:rsidP="00287451">
            <w:pPr>
              <w:rPr>
                <w:sz w:val="20"/>
                <w:szCs w:val="20"/>
              </w:rPr>
            </w:pPr>
            <w:r w:rsidRPr="005A2545">
              <w:rPr>
                <w:b/>
                <w:sz w:val="20"/>
                <w:szCs w:val="20"/>
              </w:rPr>
              <w:t>Log forward citations</w:t>
            </w:r>
          </w:p>
        </w:tc>
        <w:tc>
          <w:tcPr>
            <w:tcW w:w="1499" w:type="dxa"/>
            <w:vAlign w:val="center"/>
          </w:tcPr>
          <w:p w14:paraId="59A44607" w14:textId="77777777" w:rsidR="0004315F" w:rsidRPr="005A2545" w:rsidRDefault="0004315F" w:rsidP="00287451">
            <w:pPr>
              <w:jc w:val="center"/>
              <w:rPr>
                <w:sz w:val="20"/>
                <w:szCs w:val="20"/>
              </w:rPr>
            </w:pPr>
            <w:r w:rsidRPr="005A2545">
              <w:rPr>
                <w:sz w:val="20"/>
                <w:szCs w:val="20"/>
              </w:rPr>
              <w:t>Invalidity merits</w:t>
            </w:r>
          </w:p>
        </w:tc>
        <w:tc>
          <w:tcPr>
            <w:tcW w:w="979" w:type="dxa"/>
            <w:vAlign w:val="center"/>
          </w:tcPr>
          <w:p w14:paraId="0E1F5E80" w14:textId="77777777" w:rsidR="0004315F" w:rsidRPr="005A2545" w:rsidRDefault="0004315F" w:rsidP="00287451">
            <w:pPr>
              <w:jc w:val="center"/>
              <w:rPr>
                <w:sz w:val="20"/>
                <w:szCs w:val="20"/>
              </w:rPr>
            </w:pPr>
            <w:r w:rsidRPr="005A2545">
              <w:rPr>
                <w:sz w:val="20"/>
                <w:szCs w:val="20"/>
              </w:rPr>
              <w:t>5,751</w:t>
            </w:r>
          </w:p>
        </w:tc>
        <w:tc>
          <w:tcPr>
            <w:tcW w:w="1065" w:type="dxa"/>
            <w:vAlign w:val="center"/>
          </w:tcPr>
          <w:p w14:paraId="647913D0" w14:textId="77777777" w:rsidR="0004315F" w:rsidRPr="005A2545" w:rsidRDefault="0004315F" w:rsidP="00287451">
            <w:pPr>
              <w:jc w:val="center"/>
              <w:rPr>
                <w:sz w:val="20"/>
                <w:szCs w:val="20"/>
              </w:rPr>
            </w:pPr>
            <w:r w:rsidRPr="005A2545">
              <w:rPr>
                <w:sz w:val="20"/>
                <w:szCs w:val="20"/>
              </w:rPr>
              <w:t>3.171</w:t>
            </w:r>
          </w:p>
        </w:tc>
        <w:tc>
          <w:tcPr>
            <w:tcW w:w="1065" w:type="dxa"/>
            <w:vAlign w:val="center"/>
          </w:tcPr>
          <w:p w14:paraId="13F9FF10" w14:textId="77777777" w:rsidR="0004315F" w:rsidRPr="005A2545" w:rsidRDefault="0004315F" w:rsidP="00287451">
            <w:pPr>
              <w:jc w:val="center"/>
              <w:rPr>
                <w:sz w:val="20"/>
                <w:szCs w:val="20"/>
              </w:rPr>
            </w:pPr>
            <w:r w:rsidRPr="005A2545">
              <w:rPr>
                <w:sz w:val="20"/>
                <w:szCs w:val="20"/>
              </w:rPr>
              <w:t>1.662</w:t>
            </w:r>
          </w:p>
        </w:tc>
        <w:tc>
          <w:tcPr>
            <w:tcW w:w="1065" w:type="dxa"/>
            <w:vAlign w:val="center"/>
          </w:tcPr>
          <w:p w14:paraId="78BABCE2" w14:textId="77777777" w:rsidR="0004315F" w:rsidRPr="005A2545" w:rsidRDefault="0004315F" w:rsidP="00287451">
            <w:pPr>
              <w:jc w:val="center"/>
              <w:rPr>
                <w:sz w:val="20"/>
                <w:szCs w:val="20"/>
              </w:rPr>
            </w:pPr>
            <w:r w:rsidRPr="005A2545">
              <w:rPr>
                <w:sz w:val="20"/>
                <w:szCs w:val="20"/>
              </w:rPr>
              <w:t>0.000</w:t>
            </w:r>
          </w:p>
        </w:tc>
        <w:tc>
          <w:tcPr>
            <w:tcW w:w="1065" w:type="dxa"/>
            <w:vAlign w:val="center"/>
          </w:tcPr>
          <w:p w14:paraId="2EED3385" w14:textId="77777777" w:rsidR="0004315F" w:rsidRPr="005A2545" w:rsidRDefault="0004315F" w:rsidP="00287451">
            <w:pPr>
              <w:jc w:val="center"/>
              <w:rPr>
                <w:sz w:val="20"/>
                <w:szCs w:val="20"/>
              </w:rPr>
            </w:pPr>
            <w:r w:rsidRPr="005A2545">
              <w:rPr>
                <w:sz w:val="20"/>
                <w:szCs w:val="20"/>
              </w:rPr>
              <w:t>7.816</w:t>
            </w:r>
          </w:p>
        </w:tc>
      </w:tr>
      <w:tr w:rsidR="0004315F" w:rsidRPr="005A2545" w14:paraId="0D7F8B3E" w14:textId="77777777" w:rsidTr="0004315F">
        <w:tc>
          <w:tcPr>
            <w:tcW w:w="2622" w:type="dxa"/>
            <w:vAlign w:val="center"/>
          </w:tcPr>
          <w:p w14:paraId="584D3AAB" w14:textId="77777777" w:rsidR="0004315F" w:rsidRPr="005A2545" w:rsidRDefault="0004315F" w:rsidP="00287451">
            <w:pPr>
              <w:rPr>
                <w:sz w:val="20"/>
                <w:szCs w:val="20"/>
              </w:rPr>
            </w:pPr>
            <w:r w:rsidRPr="005A2545">
              <w:rPr>
                <w:b/>
                <w:sz w:val="20"/>
                <w:szCs w:val="20"/>
              </w:rPr>
              <w:t>PTAB/ITC challenge</w:t>
            </w:r>
          </w:p>
        </w:tc>
        <w:tc>
          <w:tcPr>
            <w:tcW w:w="1499" w:type="dxa"/>
            <w:vAlign w:val="center"/>
          </w:tcPr>
          <w:p w14:paraId="25D08811" w14:textId="77777777" w:rsidR="0004315F" w:rsidRPr="005A2545" w:rsidRDefault="0004315F" w:rsidP="00287451">
            <w:pPr>
              <w:jc w:val="center"/>
              <w:rPr>
                <w:sz w:val="20"/>
                <w:szCs w:val="20"/>
              </w:rPr>
            </w:pPr>
            <w:r w:rsidRPr="005A2545">
              <w:rPr>
                <w:sz w:val="20"/>
                <w:szCs w:val="20"/>
              </w:rPr>
              <w:t>Invalidity merits</w:t>
            </w:r>
          </w:p>
        </w:tc>
        <w:tc>
          <w:tcPr>
            <w:tcW w:w="979" w:type="dxa"/>
            <w:vAlign w:val="center"/>
          </w:tcPr>
          <w:p w14:paraId="4C00B4C3" w14:textId="77777777" w:rsidR="0004315F" w:rsidRPr="005A2545" w:rsidRDefault="0004315F" w:rsidP="00287451">
            <w:pPr>
              <w:jc w:val="center"/>
              <w:rPr>
                <w:sz w:val="20"/>
                <w:szCs w:val="20"/>
              </w:rPr>
            </w:pPr>
            <w:r w:rsidRPr="005A2545">
              <w:rPr>
                <w:sz w:val="20"/>
                <w:szCs w:val="20"/>
              </w:rPr>
              <w:t>5,751</w:t>
            </w:r>
          </w:p>
        </w:tc>
        <w:tc>
          <w:tcPr>
            <w:tcW w:w="1065" w:type="dxa"/>
            <w:vAlign w:val="center"/>
          </w:tcPr>
          <w:p w14:paraId="52238CB5" w14:textId="77777777" w:rsidR="0004315F" w:rsidRPr="005A2545" w:rsidRDefault="0004315F" w:rsidP="00287451">
            <w:pPr>
              <w:jc w:val="center"/>
              <w:rPr>
                <w:sz w:val="20"/>
                <w:szCs w:val="20"/>
              </w:rPr>
            </w:pPr>
            <w:r w:rsidRPr="005A2545">
              <w:rPr>
                <w:sz w:val="20"/>
                <w:szCs w:val="20"/>
              </w:rPr>
              <w:t>0.322</w:t>
            </w:r>
          </w:p>
        </w:tc>
        <w:tc>
          <w:tcPr>
            <w:tcW w:w="1065" w:type="dxa"/>
            <w:vAlign w:val="center"/>
          </w:tcPr>
          <w:p w14:paraId="38D9DCDD" w14:textId="77777777" w:rsidR="0004315F" w:rsidRPr="005A2545" w:rsidRDefault="0004315F" w:rsidP="00287451">
            <w:pPr>
              <w:jc w:val="center"/>
              <w:rPr>
                <w:sz w:val="20"/>
                <w:szCs w:val="20"/>
              </w:rPr>
            </w:pPr>
            <w:r w:rsidRPr="005A2545">
              <w:rPr>
                <w:sz w:val="20"/>
                <w:szCs w:val="20"/>
              </w:rPr>
              <w:t>0.467</w:t>
            </w:r>
          </w:p>
        </w:tc>
        <w:tc>
          <w:tcPr>
            <w:tcW w:w="1065" w:type="dxa"/>
            <w:vAlign w:val="center"/>
          </w:tcPr>
          <w:p w14:paraId="18FACD59" w14:textId="77777777" w:rsidR="0004315F" w:rsidRPr="005A2545" w:rsidRDefault="0004315F" w:rsidP="00287451">
            <w:pPr>
              <w:jc w:val="center"/>
              <w:rPr>
                <w:sz w:val="20"/>
                <w:szCs w:val="20"/>
              </w:rPr>
            </w:pPr>
            <w:r w:rsidRPr="005A2545">
              <w:rPr>
                <w:sz w:val="20"/>
                <w:szCs w:val="20"/>
              </w:rPr>
              <w:t>0.000</w:t>
            </w:r>
          </w:p>
        </w:tc>
        <w:tc>
          <w:tcPr>
            <w:tcW w:w="1065" w:type="dxa"/>
            <w:vAlign w:val="center"/>
          </w:tcPr>
          <w:p w14:paraId="68A4989C" w14:textId="77777777" w:rsidR="0004315F" w:rsidRPr="005A2545" w:rsidRDefault="0004315F" w:rsidP="00287451">
            <w:pPr>
              <w:jc w:val="center"/>
              <w:rPr>
                <w:sz w:val="20"/>
                <w:szCs w:val="20"/>
              </w:rPr>
            </w:pPr>
            <w:r w:rsidRPr="005A2545">
              <w:rPr>
                <w:sz w:val="20"/>
                <w:szCs w:val="20"/>
              </w:rPr>
              <w:t>1.000</w:t>
            </w:r>
          </w:p>
        </w:tc>
      </w:tr>
      <w:tr w:rsidR="0004315F" w:rsidRPr="005A2545" w14:paraId="5081CD00" w14:textId="77777777" w:rsidTr="0004315F">
        <w:tc>
          <w:tcPr>
            <w:tcW w:w="2622" w:type="dxa"/>
            <w:vAlign w:val="center"/>
          </w:tcPr>
          <w:p w14:paraId="710D7295" w14:textId="77777777" w:rsidR="0004315F" w:rsidRPr="005A2545" w:rsidRDefault="0004315F" w:rsidP="00287451">
            <w:pPr>
              <w:rPr>
                <w:sz w:val="20"/>
                <w:szCs w:val="20"/>
              </w:rPr>
            </w:pPr>
            <w:r w:rsidRPr="005A2545">
              <w:rPr>
                <w:b/>
                <w:sz w:val="20"/>
                <w:szCs w:val="20"/>
              </w:rPr>
              <w:t>Foreign assignee</w:t>
            </w:r>
          </w:p>
        </w:tc>
        <w:tc>
          <w:tcPr>
            <w:tcW w:w="1499" w:type="dxa"/>
            <w:vAlign w:val="center"/>
          </w:tcPr>
          <w:p w14:paraId="2BF1ACA6" w14:textId="77777777" w:rsidR="0004315F" w:rsidRPr="005A2545" w:rsidRDefault="0004315F" w:rsidP="00287451">
            <w:pPr>
              <w:jc w:val="center"/>
              <w:rPr>
                <w:sz w:val="20"/>
                <w:szCs w:val="20"/>
              </w:rPr>
            </w:pPr>
            <w:r w:rsidRPr="005A2545">
              <w:rPr>
                <w:sz w:val="20"/>
                <w:szCs w:val="20"/>
              </w:rPr>
              <w:t>Invalidity merits</w:t>
            </w:r>
          </w:p>
        </w:tc>
        <w:tc>
          <w:tcPr>
            <w:tcW w:w="979" w:type="dxa"/>
            <w:vAlign w:val="center"/>
          </w:tcPr>
          <w:p w14:paraId="71793325" w14:textId="77777777" w:rsidR="0004315F" w:rsidRPr="005A2545" w:rsidRDefault="0004315F" w:rsidP="00287451">
            <w:pPr>
              <w:jc w:val="center"/>
              <w:rPr>
                <w:sz w:val="20"/>
                <w:szCs w:val="20"/>
              </w:rPr>
            </w:pPr>
            <w:r w:rsidRPr="005A2545">
              <w:rPr>
                <w:sz w:val="20"/>
                <w:szCs w:val="20"/>
              </w:rPr>
              <w:t>5,751</w:t>
            </w:r>
          </w:p>
        </w:tc>
        <w:tc>
          <w:tcPr>
            <w:tcW w:w="1065" w:type="dxa"/>
            <w:vAlign w:val="center"/>
          </w:tcPr>
          <w:p w14:paraId="51AC0049" w14:textId="77777777" w:rsidR="0004315F" w:rsidRPr="005A2545" w:rsidRDefault="0004315F" w:rsidP="00287451">
            <w:pPr>
              <w:jc w:val="center"/>
              <w:rPr>
                <w:sz w:val="20"/>
                <w:szCs w:val="20"/>
              </w:rPr>
            </w:pPr>
            <w:r w:rsidRPr="005A2545">
              <w:rPr>
                <w:sz w:val="20"/>
                <w:szCs w:val="20"/>
              </w:rPr>
              <w:t>0.210</w:t>
            </w:r>
          </w:p>
        </w:tc>
        <w:tc>
          <w:tcPr>
            <w:tcW w:w="1065" w:type="dxa"/>
            <w:vAlign w:val="center"/>
          </w:tcPr>
          <w:p w14:paraId="4E93D54C" w14:textId="77777777" w:rsidR="0004315F" w:rsidRPr="005A2545" w:rsidRDefault="0004315F" w:rsidP="00287451">
            <w:pPr>
              <w:jc w:val="center"/>
              <w:rPr>
                <w:sz w:val="20"/>
                <w:szCs w:val="20"/>
              </w:rPr>
            </w:pPr>
            <w:r w:rsidRPr="005A2545">
              <w:rPr>
                <w:sz w:val="20"/>
                <w:szCs w:val="20"/>
              </w:rPr>
              <w:t>0.407</w:t>
            </w:r>
          </w:p>
        </w:tc>
        <w:tc>
          <w:tcPr>
            <w:tcW w:w="1065" w:type="dxa"/>
            <w:vAlign w:val="center"/>
          </w:tcPr>
          <w:p w14:paraId="186AAA37" w14:textId="77777777" w:rsidR="0004315F" w:rsidRPr="005A2545" w:rsidRDefault="0004315F" w:rsidP="00287451">
            <w:pPr>
              <w:jc w:val="center"/>
              <w:rPr>
                <w:sz w:val="20"/>
                <w:szCs w:val="20"/>
              </w:rPr>
            </w:pPr>
            <w:r w:rsidRPr="005A2545">
              <w:rPr>
                <w:sz w:val="20"/>
                <w:szCs w:val="20"/>
              </w:rPr>
              <w:t>0.000</w:t>
            </w:r>
          </w:p>
        </w:tc>
        <w:tc>
          <w:tcPr>
            <w:tcW w:w="1065" w:type="dxa"/>
            <w:vAlign w:val="center"/>
          </w:tcPr>
          <w:p w14:paraId="4F10BF25" w14:textId="77777777" w:rsidR="0004315F" w:rsidRPr="005A2545" w:rsidRDefault="0004315F" w:rsidP="00287451">
            <w:pPr>
              <w:jc w:val="center"/>
              <w:rPr>
                <w:sz w:val="20"/>
                <w:szCs w:val="20"/>
              </w:rPr>
            </w:pPr>
            <w:r w:rsidRPr="005A2545">
              <w:rPr>
                <w:sz w:val="20"/>
                <w:szCs w:val="20"/>
              </w:rPr>
              <w:t>1.000</w:t>
            </w:r>
          </w:p>
        </w:tc>
      </w:tr>
      <w:tr w:rsidR="0004315F" w:rsidRPr="005A2545" w14:paraId="688B06F7" w14:textId="77777777" w:rsidTr="0004315F">
        <w:tc>
          <w:tcPr>
            <w:tcW w:w="2622" w:type="dxa"/>
            <w:vAlign w:val="center"/>
          </w:tcPr>
          <w:p w14:paraId="1EA25BAF" w14:textId="77777777" w:rsidR="0004315F" w:rsidRPr="005A2545" w:rsidRDefault="0004315F" w:rsidP="00287451">
            <w:pPr>
              <w:rPr>
                <w:sz w:val="20"/>
                <w:szCs w:val="20"/>
              </w:rPr>
            </w:pPr>
            <w:r w:rsidRPr="005A2545">
              <w:rPr>
                <w:b/>
                <w:sz w:val="20"/>
                <w:szCs w:val="20"/>
              </w:rPr>
              <w:t>NPE</w:t>
            </w:r>
          </w:p>
        </w:tc>
        <w:tc>
          <w:tcPr>
            <w:tcW w:w="1499" w:type="dxa"/>
            <w:vAlign w:val="center"/>
          </w:tcPr>
          <w:p w14:paraId="55A40484" w14:textId="77777777" w:rsidR="0004315F" w:rsidRPr="005A2545" w:rsidRDefault="0004315F" w:rsidP="00287451">
            <w:pPr>
              <w:jc w:val="center"/>
              <w:rPr>
                <w:sz w:val="20"/>
                <w:szCs w:val="20"/>
              </w:rPr>
            </w:pPr>
            <w:r w:rsidRPr="005A2545">
              <w:rPr>
                <w:sz w:val="20"/>
                <w:szCs w:val="20"/>
              </w:rPr>
              <w:t>Invalidity merits</w:t>
            </w:r>
          </w:p>
        </w:tc>
        <w:tc>
          <w:tcPr>
            <w:tcW w:w="979" w:type="dxa"/>
            <w:vAlign w:val="center"/>
          </w:tcPr>
          <w:p w14:paraId="104E21C9" w14:textId="77777777" w:rsidR="0004315F" w:rsidRPr="005A2545" w:rsidRDefault="0004315F" w:rsidP="00287451">
            <w:pPr>
              <w:jc w:val="center"/>
              <w:rPr>
                <w:sz w:val="20"/>
                <w:szCs w:val="20"/>
              </w:rPr>
            </w:pPr>
            <w:r w:rsidRPr="005A2545">
              <w:rPr>
                <w:sz w:val="20"/>
                <w:szCs w:val="20"/>
              </w:rPr>
              <w:t>5,751</w:t>
            </w:r>
          </w:p>
        </w:tc>
        <w:tc>
          <w:tcPr>
            <w:tcW w:w="1065" w:type="dxa"/>
            <w:vAlign w:val="center"/>
          </w:tcPr>
          <w:p w14:paraId="2072C9BA" w14:textId="77777777" w:rsidR="0004315F" w:rsidRPr="005A2545" w:rsidRDefault="0004315F" w:rsidP="00287451">
            <w:pPr>
              <w:jc w:val="center"/>
              <w:rPr>
                <w:sz w:val="20"/>
                <w:szCs w:val="20"/>
              </w:rPr>
            </w:pPr>
            <w:r w:rsidRPr="005A2545">
              <w:rPr>
                <w:sz w:val="20"/>
                <w:szCs w:val="20"/>
              </w:rPr>
              <w:t>0.377</w:t>
            </w:r>
          </w:p>
        </w:tc>
        <w:tc>
          <w:tcPr>
            <w:tcW w:w="1065" w:type="dxa"/>
            <w:vAlign w:val="center"/>
          </w:tcPr>
          <w:p w14:paraId="6EB1B6C4" w14:textId="77777777" w:rsidR="0004315F" w:rsidRPr="005A2545" w:rsidRDefault="0004315F" w:rsidP="00287451">
            <w:pPr>
              <w:jc w:val="center"/>
              <w:rPr>
                <w:sz w:val="20"/>
                <w:szCs w:val="20"/>
              </w:rPr>
            </w:pPr>
            <w:r w:rsidRPr="005A2545">
              <w:rPr>
                <w:sz w:val="20"/>
                <w:szCs w:val="20"/>
              </w:rPr>
              <w:t>0.485</w:t>
            </w:r>
          </w:p>
        </w:tc>
        <w:tc>
          <w:tcPr>
            <w:tcW w:w="1065" w:type="dxa"/>
            <w:vAlign w:val="center"/>
          </w:tcPr>
          <w:p w14:paraId="32BD6102" w14:textId="77777777" w:rsidR="0004315F" w:rsidRPr="005A2545" w:rsidRDefault="0004315F" w:rsidP="00287451">
            <w:pPr>
              <w:jc w:val="center"/>
              <w:rPr>
                <w:sz w:val="20"/>
                <w:szCs w:val="20"/>
              </w:rPr>
            </w:pPr>
            <w:r w:rsidRPr="005A2545">
              <w:rPr>
                <w:sz w:val="20"/>
                <w:szCs w:val="20"/>
              </w:rPr>
              <w:t>0.000</w:t>
            </w:r>
          </w:p>
        </w:tc>
        <w:tc>
          <w:tcPr>
            <w:tcW w:w="1065" w:type="dxa"/>
            <w:vAlign w:val="center"/>
          </w:tcPr>
          <w:p w14:paraId="263F6178" w14:textId="77777777" w:rsidR="0004315F" w:rsidRPr="005A2545" w:rsidRDefault="0004315F" w:rsidP="00287451">
            <w:pPr>
              <w:jc w:val="center"/>
              <w:rPr>
                <w:sz w:val="20"/>
                <w:szCs w:val="20"/>
              </w:rPr>
            </w:pPr>
            <w:r w:rsidRPr="005A2545">
              <w:rPr>
                <w:sz w:val="20"/>
                <w:szCs w:val="20"/>
              </w:rPr>
              <w:t>1.000</w:t>
            </w:r>
          </w:p>
        </w:tc>
      </w:tr>
      <w:tr w:rsidR="0004315F" w:rsidRPr="005A2545" w14:paraId="4D2E4027" w14:textId="77777777" w:rsidTr="0004315F">
        <w:tc>
          <w:tcPr>
            <w:tcW w:w="2622" w:type="dxa"/>
            <w:vAlign w:val="center"/>
          </w:tcPr>
          <w:p w14:paraId="33A00823" w14:textId="77777777" w:rsidR="0004315F" w:rsidRPr="005A2545" w:rsidRDefault="0004315F" w:rsidP="00287451">
            <w:pPr>
              <w:rPr>
                <w:sz w:val="20"/>
                <w:szCs w:val="20"/>
              </w:rPr>
            </w:pPr>
            <w:r w:rsidRPr="005A2545">
              <w:rPr>
                <w:b/>
                <w:sz w:val="20"/>
                <w:szCs w:val="20"/>
              </w:rPr>
              <w:t>CPC broad software</w:t>
            </w:r>
          </w:p>
        </w:tc>
        <w:tc>
          <w:tcPr>
            <w:tcW w:w="1499" w:type="dxa"/>
            <w:vAlign w:val="center"/>
          </w:tcPr>
          <w:p w14:paraId="1D65056D" w14:textId="77777777" w:rsidR="0004315F" w:rsidRPr="005A2545" w:rsidRDefault="0004315F" w:rsidP="00287451">
            <w:pPr>
              <w:jc w:val="center"/>
              <w:rPr>
                <w:sz w:val="20"/>
                <w:szCs w:val="20"/>
              </w:rPr>
            </w:pPr>
            <w:r w:rsidRPr="005A2545">
              <w:rPr>
                <w:sz w:val="20"/>
                <w:szCs w:val="20"/>
              </w:rPr>
              <w:t>Invalidity merits</w:t>
            </w:r>
          </w:p>
        </w:tc>
        <w:tc>
          <w:tcPr>
            <w:tcW w:w="979" w:type="dxa"/>
            <w:vAlign w:val="center"/>
          </w:tcPr>
          <w:p w14:paraId="478DF0DA" w14:textId="77777777" w:rsidR="0004315F" w:rsidRPr="005A2545" w:rsidRDefault="0004315F" w:rsidP="00287451">
            <w:pPr>
              <w:jc w:val="center"/>
              <w:rPr>
                <w:sz w:val="20"/>
                <w:szCs w:val="20"/>
              </w:rPr>
            </w:pPr>
            <w:r w:rsidRPr="005A2545">
              <w:rPr>
                <w:sz w:val="20"/>
                <w:szCs w:val="20"/>
              </w:rPr>
              <w:t>5,751</w:t>
            </w:r>
          </w:p>
        </w:tc>
        <w:tc>
          <w:tcPr>
            <w:tcW w:w="1065" w:type="dxa"/>
            <w:vAlign w:val="center"/>
          </w:tcPr>
          <w:p w14:paraId="2B5DB543" w14:textId="77777777" w:rsidR="0004315F" w:rsidRPr="005A2545" w:rsidRDefault="0004315F" w:rsidP="00287451">
            <w:pPr>
              <w:jc w:val="center"/>
              <w:rPr>
                <w:sz w:val="20"/>
                <w:szCs w:val="20"/>
              </w:rPr>
            </w:pPr>
            <w:r w:rsidRPr="005A2545">
              <w:rPr>
                <w:sz w:val="20"/>
                <w:szCs w:val="20"/>
              </w:rPr>
              <w:t>0.329</w:t>
            </w:r>
          </w:p>
        </w:tc>
        <w:tc>
          <w:tcPr>
            <w:tcW w:w="1065" w:type="dxa"/>
            <w:vAlign w:val="center"/>
          </w:tcPr>
          <w:p w14:paraId="44FF8B8E" w14:textId="77777777" w:rsidR="0004315F" w:rsidRPr="005A2545" w:rsidRDefault="0004315F" w:rsidP="00287451">
            <w:pPr>
              <w:jc w:val="center"/>
              <w:rPr>
                <w:sz w:val="20"/>
                <w:szCs w:val="20"/>
              </w:rPr>
            </w:pPr>
            <w:r w:rsidRPr="005A2545">
              <w:rPr>
                <w:sz w:val="20"/>
                <w:szCs w:val="20"/>
              </w:rPr>
              <w:t>0.470</w:t>
            </w:r>
          </w:p>
        </w:tc>
        <w:tc>
          <w:tcPr>
            <w:tcW w:w="1065" w:type="dxa"/>
            <w:vAlign w:val="center"/>
          </w:tcPr>
          <w:p w14:paraId="1A99939D" w14:textId="77777777" w:rsidR="0004315F" w:rsidRPr="005A2545" w:rsidRDefault="0004315F" w:rsidP="00287451">
            <w:pPr>
              <w:jc w:val="center"/>
              <w:rPr>
                <w:sz w:val="20"/>
                <w:szCs w:val="20"/>
              </w:rPr>
            </w:pPr>
            <w:r w:rsidRPr="005A2545">
              <w:rPr>
                <w:sz w:val="20"/>
                <w:szCs w:val="20"/>
              </w:rPr>
              <w:t>0.000</w:t>
            </w:r>
          </w:p>
        </w:tc>
        <w:tc>
          <w:tcPr>
            <w:tcW w:w="1065" w:type="dxa"/>
            <w:vAlign w:val="center"/>
          </w:tcPr>
          <w:p w14:paraId="10C0BD63" w14:textId="77777777" w:rsidR="0004315F" w:rsidRPr="005A2545" w:rsidRDefault="0004315F" w:rsidP="00287451">
            <w:pPr>
              <w:jc w:val="center"/>
              <w:rPr>
                <w:sz w:val="20"/>
                <w:szCs w:val="20"/>
              </w:rPr>
            </w:pPr>
            <w:r w:rsidRPr="005A2545">
              <w:rPr>
                <w:sz w:val="20"/>
                <w:szCs w:val="20"/>
              </w:rPr>
              <w:t>1.000</w:t>
            </w:r>
          </w:p>
        </w:tc>
      </w:tr>
      <w:tr w:rsidR="0004315F" w:rsidRPr="005A2545" w14:paraId="083E40A6" w14:textId="77777777" w:rsidTr="0004315F">
        <w:tc>
          <w:tcPr>
            <w:tcW w:w="2622" w:type="dxa"/>
            <w:vAlign w:val="center"/>
          </w:tcPr>
          <w:p w14:paraId="025FF30F" w14:textId="77777777" w:rsidR="0004315F" w:rsidRPr="005A2545" w:rsidRDefault="0004315F" w:rsidP="00287451">
            <w:pPr>
              <w:rPr>
                <w:sz w:val="20"/>
                <w:szCs w:val="20"/>
              </w:rPr>
            </w:pPr>
            <w:r w:rsidRPr="005A2545">
              <w:rPr>
                <w:b/>
                <w:sz w:val="20"/>
                <w:szCs w:val="20"/>
              </w:rPr>
              <w:t>WIPO broad software</w:t>
            </w:r>
          </w:p>
        </w:tc>
        <w:tc>
          <w:tcPr>
            <w:tcW w:w="1499" w:type="dxa"/>
            <w:vAlign w:val="center"/>
          </w:tcPr>
          <w:p w14:paraId="35FC4697" w14:textId="77777777" w:rsidR="0004315F" w:rsidRPr="005A2545" w:rsidRDefault="0004315F" w:rsidP="00287451">
            <w:pPr>
              <w:jc w:val="center"/>
              <w:rPr>
                <w:sz w:val="20"/>
                <w:szCs w:val="20"/>
              </w:rPr>
            </w:pPr>
            <w:r w:rsidRPr="005A2545">
              <w:rPr>
                <w:sz w:val="20"/>
                <w:szCs w:val="20"/>
              </w:rPr>
              <w:t>Invalidity merits</w:t>
            </w:r>
          </w:p>
        </w:tc>
        <w:tc>
          <w:tcPr>
            <w:tcW w:w="979" w:type="dxa"/>
            <w:vAlign w:val="center"/>
          </w:tcPr>
          <w:p w14:paraId="2A2CD4EB" w14:textId="77777777" w:rsidR="0004315F" w:rsidRPr="005A2545" w:rsidRDefault="0004315F" w:rsidP="00287451">
            <w:pPr>
              <w:jc w:val="center"/>
              <w:rPr>
                <w:sz w:val="20"/>
                <w:szCs w:val="20"/>
              </w:rPr>
            </w:pPr>
            <w:r w:rsidRPr="005A2545">
              <w:rPr>
                <w:sz w:val="20"/>
                <w:szCs w:val="20"/>
              </w:rPr>
              <w:t>5,751</w:t>
            </w:r>
          </w:p>
        </w:tc>
        <w:tc>
          <w:tcPr>
            <w:tcW w:w="1065" w:type="dxa"/>
            <w:vAlign w:val="center"/>
          </w:tcPr>
          <w:p w14:paraId="14F0FF7C" w14:textId="77777777" w:rsidR="0004315F" w:rsidRPr="005A2545" w:rsidRDefault="0004315F" w:rsidP="00287451">
            <w:pPr>
              <w:jc w:val="center"/>
              <w:rPr>
                <w:sz w:val="20"/>
                <w:szCs w:val="20"/>
              </w:rPr>
            </w:pPr>
            <w:r w:rsidRPr="005A2545">
              <w:rPr>
                <w:sz w:val="20"/>
                <w:szCs w:val="20"/>
              </w:rPr>
              <w:t>0.487</w:t>
            </w:r>
          </w:p>
        </w:tc>
        <w:tc>
          <w:tcPr>
            <w:tcW w:w="1065" w:type="dxa"/>
            <w:vAlign w:val="center"/>
          </w:tcPr>
          <w:p w14:paraId="7C85EFCA" w14:textId="77777777" w:rsidR="0004315F" w:rsidRPr="005A2545" w:rsidRDefault="0004315F" w:rsidP="00287451">
            <w:pPr>
              <w:jc w:val="center"/>
              <w:rPr>
                <w:sz w:val="20"/>
                <w:szCs w:val="20"/>
              </w:rPr>
            </w:pPr>
            <w:r w:rsidRPr="005A2545">
              <w:rPr>
                <w:sz w:val="20"/>
                <w:szCs w:val="20"/>
              </w:rPr>
              <w:t>0.500</w:t>
            </w:r>
          </w:p>
        </w:tc>
        <w:tc>
          <w:tcPr>
            <w:tcW w:w="1065" w:type="dxa"/>
            <w:vAlign w:val="center"/>
          </w:tcPr>
          <w:p w14:paraId="394D1DFB" w14:textId="77777777" w:rsidR="0004315F" w:rsidRPr="005A2545" w:rsidRDefault="0004315F" w:rsidP="00287451">
            <w:pPr>
              <w:jc w:val="center"/>
              <w:rPr>
                <w:sz w:val="20"/>
                <w:szCs w:val="20"/>
              </w:rPr>
            </w:pPr>
            <w:r w:rsidRPr="005A2545">
              <w:rPr>
                <w:sz w:val="20"/>
                <w:szCs w:val="20"/>
              </w:rPr>
              <w:t>0.000</w:t>
            </w:r>
          </w:p>
        </w:tc>
        <w:tc>
          <w:tcPr>
            <w:tcW w:w="1065" w:type="dxa"/>
            <w:vAlign w:val="center"/>
          </w:tcPr>
          <w:p w14:paraId="5E83FAED" w14:textId="77777777" w:rsidR="0004315F" w:rsidRPr="005A2545" w:rsidRDefault="0004315F" w:rsidP="00287451">
            <w:pPr>
              <w:jc w:val="center"/>
              <w:rPr>
                <w:sz w:val="20"/>
                <w:szCs w:val="20"/>
              </w:rPr>
            </w:pPr>
            <w:r w:rsidRPr="005A2545">
              <w:rPr>
                <w:sz w:val="20"/>
                <w:szCs w:val="20"/>
              </w:rPr>
              <w:t>1.000</w:t>
            </w:r>
          </w:p>
        </w:tc>
      </w:tr>
    </w:tbl>
    <w:p w14:paraId="2AC236E5" w14:textId="58825A1F" w:rsidR="0004315F" w:rsidRPr="0004315F" w:rsidRDefault="0004315F" w:rsidP="0004315F">
      <w:pPr>
        <w:pStyle w:val="Caption"/>
        <w:rPr>
          <w:rFonts w:ascii="Times New Roman" w:hAnsi="Times New Roman" w:cs="Times New Roman"/>
          <w:sz w:val="20"/>
          <w:szCs w:val="20"/>
        </w:rPr>
      </w:pPr>
      <w:r w:rsidRPr="005A2545">
        <w:rPr>
          <w:rFonts w:ascii="Times New Roman" w:hAnsi="Times New Roman" w:cs="Times New Roman"/>
          <w:color w:val="505050"/>
          <w:sz w:val="20"/>
          <w:szCs w:val="20"/>
        </w:rPr>
        <w:t>Means for dichotomous variables are proportions. Outcome rows use the corresponding estimation universe; controls are summarized in the main all-patent merits sample. Court, filing-year, technology, and disposition fixed effects are included in the regressions but not expanded into separate dummy-variable rows.</w:t>
      </w:r>
    </w:p>
    <w:p w14:paraId="596C5F68" w14:textId="1740E50B" w:rsidR="00B725F0" w:rsidRPr="008074B4" w:rsidRDefault="00B725F0" w:rsidP="00D57A20">
      <w:pPr>
        <w:spacing w:line="480" w:lineRule="auto"/>
        <w:ind w:firstLine="720"/>
        <w:jc w:val="both"/>
      </w:pPr>
      <w:r w:rsidRPr="008074B4">
        <w:t>A word on what the regression does and does not establish. A regression estimates whether, and how strongly, one factor is associated with an outcome once other relevant factors are taken into account, which moves the analysis past a comparison of raw percentages. The descriptive statistics</w:t>
      </w:r>
      <w:r w:rsidR="005376C7">
        <w:t xml:space="preserve"> from the prior section</w:t>
      </w:r>
      <w:r w:rsidRPr="008074B4">
        <w:t xml:space="preserve"> show that AI patents experience different outcomes. The regressions test </w:t>
      </w:r>
      <w:r w:rsidR="005376C7">
        <w:t xml:space="preserve">here </w:t>
      </w:r>
      <w:r w:rsidRPr="008074B4">
        <w:t xml:space="preserve">whether those differences persist once comparable cases are placed on equal </w:t>
      </w:r>
      <w:r w:rsidRPr="008074B4">
        <w:lastRenderedPageBreak/>
        <w:t xml:space="preserve">footing, separating a structural AI effect from mere compositional differences in the sample. They do not, on their own, prove that AI status causes the outcomes, because </w:t>
      </w:r>
      <w:r w:rsidR="00262A25">
        <w:t xml:space="preserve">it could be that </w:t>
      </w:r>
      <w:r w:rsidRPr="008074B4">
        <w:t>some unobserved feature correlated with AI status could be doing the work. What they do establish is that the AI effect is not explained by the observable characteristics that distinguish AI cases from other patent cases, which is a demanding standard given how rich the control set is</w:t>
      </w:r>
      <w:r w:rsidR="003F1B5F">
        <w:t>.</w:t>
      </w:r>
      <w:r w:rsidRPr="008074B4">
        <w:rPr>
          <w:rStyle w:val="FootnoteReference"/>
        </w:rPr>
        <w:footnoteReference w:id="74"/>
      </w:r>
      <w:r w:rsidRPr="008074B4">
        <w:t xml:space="preserve"> The linear probability model keeps the interpretation transparent, because each coefficient reads directly as a percentage-point change in the probability of the outcome. The estimates are similar under logistic regression.</w:t>
      </w:r>
      <w:r w:rsidRPr="008074B4">
        <w:rPr>
          <w:rStyle w:val="FootnoteReference"/>
        </w:rPr>
        <w:footnoteReference w:id="75"/>
      </w:r>
      <w:r w:rsidRPr="008074B4">
        <w:t xml:space="preserve"> </w:t>
      </w:r>
    </w:p>
    <w:p w14:paraId="70F7B082" w14:textId="72835AF6" w:rsidR="008074B4" w:rsidRPr="003F1B5F" w:rsidRDefault="008074B4" w:rsidP="003F1B5F">
      <w:pPr>
        <w:pStyle w:val="Heading1"/>
        <w:spacing w:before="0" w:after="0" w:line="480" w:lineRule="auto"/>
        <w:rPr>
          <w:b/>
          <w:bCs/>
          <w:color w:val="000000" w:themeColor="text1"/>
        </w:rPr>
      </w:pPr>
      <w:r w:rsidRPr="008074B4">
        <w:rPr>
          <w:rFonts w:ascii="Times New Roman" w:hAnsi="Times New Roman" w:cs="Times New Roman"/>
          <w:sz w:val="24"/>
          <w:szCs w:val="24"/>
        </w:rPr>
        <w:lastRenderedPageBreak/>
        <w:t xml:space="preserve">A. </w:t>
      </w:r>
      <w:r w:rsidRPr="003F1B5F">
        <w:rPr>
          <w:rFonts w:ascii="Times New Roman" w:hAnsi="Times New Roman" w:cs="Times New Roman"/>
          <w:b/>
          <w:bCs/>
          <w:color w:val="000000" w:themeColor="text1"/>
          <w:sz w:val="24"/>
          <w:szCs w:val="24"/>
        </w:rPr>
        <w:t>Invalidity</w:t>
      </w:r>
    </w:p>
    <w:p w14:paraId="08DC9EEF" w14:textId="4D70669A" w:rsidR="0004315F" w:rsidRDefault="008074B4" w:rsidP="003F1B5F">
      <w:pPr>
        <w:pStyle w:val="Heading1"/>
        <w:spacing w:before="0" w:after="0" w:line="480" w:lineRule="auto"/>
        <w:ind w:firstLine="720"/>
        <w:rPr>
          <w:rFonts w:ascii="Times New Roman" w:hAnsi="Times New Roman" w:cs="Times New Roman"/>
          <w:color w:val="000000"/>
          <w:sz w:val="24"/>
          <w:szCs w:val="24"/>
        </w:rPr>
      </w:pPr>
      <w:r w:rsidRPr="008074B4">
        <w:rPr>
          <w:rFonts w:ascii="Times New Roman" w:hAnsi="Times New Roman" w:cs="Times New Roman"/>
          <w:color w:val="000000"/>
          <w:sz w:val="24"/>
          <w:szCs w:val="24"/>
        </w:rPr>
        <w:t xml:space="preserve">Table </w:t>
      </w:r>
      <w:r w:rsidR="0004315F">
        <w:rPr>
          <w:rFonts w:ascii="Times New Roman" w:hAnsi="Times New Roman" w:cs="Times New Roman"/>
          <w:color w:val="000000"/>
          <w:sz w:val="24"/>
          <w:szCs w:val="24"/>
        </w:rPr>
        <w:t xml:space="preserve">2 </w:t>
      </w:r>
      <w:r w:rsidRPr="008074B4">
        <w:rPr>
          <w:rFonts w:ascii="Times New Roman" w:hAnsi="Times New Roman" w:cs="Times New Roman"/>
          <w:color w:val="000000"/>
          <w:sz w:val="24"/>
          <w:szCs w:val="24"/>
        </w:rPr>
        <w:t>shows the results for the invalidity case</w:t>
      </w:r>
      <w:r w:rsidR="005376C7">
        <w:rPr>
          <w:rFonts w:ascii="Times New Roman" w:hAnsi="Times New Roman" w:cs="Times New Roman"/>
          <w:color w:val="000000"/>
          <w:sz w:val="24"/>
          <w:szCs w:val="24"/>
        </w:rPr>
        <w:t>s, using the 50% threshold for the definition of an AI invention</w:t>
      </w:r>
      <w:r w:rsidRPr="008074B4">
        <w:rPr>
          <w:rFonts w:ascii="Times New Roman" w:hAnsi="Times New Roman" w:cs="Times New Roman"/>
          <w:color w:val="000000"/>
          <w:sz w:val="24"/>
          <w:szCs w:val="24"/>
        </w:rPr>
        <w:t xml:space="preserve">. </w:t>
      </w:r>
      <w:r w:rsidR="008653D6">
        <w:rPr>
          <w:rFonts w:ascii="Times New Roman" w:hAnsi="Times New Roman" w:cs="Times New Roman"/>
          <w:color w:val="000000"/>
          <w:sz w:val="24"/>
          <w:szCs w:val="24"/>
        </w:rPr>
        <w:t>The dependent variable is whether or not the patent is invalidated, among all patents in which the court reached a substantive conclusion</w:t>
      </w:r>
      <w:r w:rsidR="00137227">
        <w:rPr>
          <w:rFonts w:ascii="Times New Roman" w:hAnsi="Times New Roman" w:cs="Times New Roman"/>
          <w:color w:val="000000"/>
          <w:sz w:val="24"/>
          <w:szCs w:val="24"/>
        </w:rPr>
        <w:t xml:space="preserve"> on validity</w:t>
      </w:r>
      <w:r w:rsidR="008653D6">
        <w:rPr>
          <w:rFonts w:ascii="Times New Roman" w:hAnsi="Times New Roman" w:cs="Times New Roman"/>
          <w:color w:val="000000"/>
          <w:sz w:val="24"/>
          <w:szCs w:val="24"/>
        </w:rPr>
        <w:t xml:space="preserve">. </w:t>
      </w:r>
      <w:r w:rsidRPr="008074B4">
        <w:rPr>
          <w:rFonts w:ascii="Times New Roman" w:hAnsi="Times New Roman" w:cs="Times New Roman"/>
          <w:color w:val="000000"/>
          <w:sz w:val="24"/>
          <w:szCs w:val="24"/>
        </w:rPr>
        <w:t xml:space="preserve">As shown in Table </w:t>
      </w:r>
      <w:r w:rsidR="0004315F">
        <w:rPr>
          <w:rFonts w:ascii="Times New Roman" w:hAnsi="Times New Roman" w:cs="Times New Roman"/>
          <w:color w:val="000000"/>
          <w:sz w:val="24"/>
          <w:szCs w:val="24"/>
        </w:rPr>
        <w:t>2</w:t>
      </w:r>
      <w:r w:rsidRPr="008074B4">
        <w:rPr>
          <w:rFonts w:ascii="Times New Roman" w:hAnsi="Times New Roman" w:cs="Times New Roman"/>
          <w:color w:val="000000"/>
          <w:sz w:val="24"/>
          <w:szCs w:val="24"/>
        </w:rPr>
        <w:t xml:space="preserve">, Model 1 includes only the AI indicator. Model 2 adds </w:t>
      </w:r>
      <w:r w:rsidR="005376C7">
        <w:rPr>
          <w:rFonts w:ascii="Times New Roman" w:hAnsi="Times New Roman" w:cs="Times New Roman"/>
          <w:color w:val="000000"/>
          <w:sz w:val="24"/>
          <w:szCs w:val="24"/>
        </w:rPr>
        <w:t xml:space="preserve">patent and case-level controls such as </w:t>
      </w:r>
      <w:r w:rsidRPr="008074B4">
        <w:rPr>
          <w:rFonts w:ascii="Times New Roman" w:hAnsi="Times New Roman" w:cs="Times New Roman"/>
          <w:color w:val="000000"/>
          <w:sz w:val="24"/>
          <w:szCs w:val="24"/>
        </w:rPr>
        <w:t>patent age at the relevant event date, log claims, log backward citations, log forward citations, and PTAB</w:t>
      </w:r>
      <w:r w:rsidR="00137227">
        <w:rPr>
          <w:rFonts w:ascii="Times New Roman" w:hAnsi="Times New Roman" w:cs="Times New Roman"/>
          <w:color w:val="000000"/>
          <w:sz w:val="24"/>
          <w:szCs w:val="24"/>
        </w:rPr>
        <w:t>/ITC</w:t>
      </w:r>
      <w:r w:rsidRPr="008074B4">
        <w:rPr>
          <w:rFonts w:ascii="Times New Roman" w:hAnsi="Times New Roman" w:cs="Times New Roman"/>
          <w:color w:val="000000"/>
          <w:sz w:val="24"/>
          <w:szCs w:val="24"/>
        </w:rPr>
        <w:t>-challenge status</w:t>
      </w:r>
      <w:r w:rsidR="005376C7">
        <w:rPr>
          <w:rFonts w:ascii="Times New Roman" w:hAnsi="Times New Roman" w:cs="Times New Roman"/>
          <w:color w:val="000000"/>
          <w:sz w:val="24"/>
          <w:szCs w:val="24"/>
        </w:rPr>
        <w:t xml:space="preserve"> as well as </w:t>
      </w:r>
      <w:r w:rsidRPr="008074B4">
        <w:rPr>
          <w:rFonts w:ascii="Times New Roman" w:hAnsi="Times New Roman" w:cs="Times New Roman"/>
          <w:color w:val="000000"/>
          <w:sz w:val="24"/>
          <w:szCs w:val="24"/>
        </w:rPr>
        <w:t>the binary foreign-assignee control and</w:t>
      </w:r>
      <w:r w:rsidR="005376C7">
        <w:rPr>
          <w:rFonts w:ascii="Times New Roman" w:hAnsi="Times New Roman" w:cs="Times New Roman"/>
          <w:color w:val="000000"/>
          <w:sz w:val="24"/>
          <w:szCs w:val="24"/>
        </w:rPr>
        <w:t xml:space="preserve"> whether the invention was patented by an NPE</w:t>
      </w:r>
      <w:r w:rsidRPr="008074B4">
        <w:rPr>
          <w:rFonts w:ascii="Times New Roman" w:hAnsi="Times New Roman" w:cs="Times New Roman"/>
          <w:color w:val="000000"/>
          <w:sz w:val="24"/>
          <w:szCs w:val="24"/>
        </w:rPr>
        <w:t xml:space="preserve">. Model </w:t>
      </w:r>
      <w:r w:rsidR="005376C7">
        <w:rPr>
          <w:rFonts w:ascii="Times New Roman" w:hAnsi="Times New Roman" w:cs="Times New Roman"/>
          <w:color w:val="000000"/>
          <w:sz w:val="24"/>
          <w:szCs w:val="24"/>
        </w:rPr>
        <w:t>3</w:t>
      </w:r>
      <w:r w:rsidRPr="008074B4">
        <w:rPr>
          <w:rFonts w:ascii="Times New Roman" w:hAnsi="Times New Roman" w:cs="Times New Roman"/>
          <w:color w:val="000000"/>
          <w:sz w:val="24"/>
          <w:szCs w:val="24"/>
        </w:rPr>
        <w:t xml:space="preserve"> adds </w:t>
      </w:r>
      <w:r w:rsidR="00137227">
        <w:rPr>
          <w:rFonts w:ascii="Times New Roman" w:hAnsi="Times New Roman" w:cs="Times New Roman"/>
          <w:color w:val="000000"/>
          <w:sz w:val="24"/>
          <w:szCs w:val="24"/>
        </w:rPr>
        <w:t xml:space="preserve">the </w:t>
      </w:r>
      <w:r w:rsidRPr="008074B4">
        <w:rPr>
          <w:rFonts w:ascii="Times New Roman" w:hAnsi="Times New Roman" w:cs="Times New Roman"/>
          <w:color w:val="000000"/>
          <w:sz w:val="24"/>
          <w:szCs w:val="24"/>
        </w:rPr>
        <w:t>three-part disposition control, with judgement on the pleadings as the reference category and summary judgment and Trial/JMOL as the remaining buckets</w:t>
      </w:r>
      <w:r w:rsidR="00C73461">
        <w:rPr>
          <w:rFonts w:ascii="Times New Roman" w:hAnsi="Times New Roman" w:cs="Times New Roman"/>
          <w:color w:val="000000"/>
          <w:sz w:val="24"/>
          <w:szCs w:val="24"/>
        </w:rPr>
        <w:t xml:space="preserve">, along with the </w:t>
      </w:r>
      <w:r w:rsidR="00137227">
        <w:rPr>
          <w:rFonts w:ascii="Times New Roman" w:hAnsi="Times New Roman" w:cs="Times New Roman"/>
          <w:color w:val="000000"/>
          <w:sz w:val="24"/>
          <w:szCs w:val="24"/>
        </w:rPr>
        <w:t>controls</w:t>
      </w:r>
      <w:r w:rsidR="00C73461">
        <w:rPr>
          <w:rFonts w:ascii="Times New Roman" w:hAnsi="Times New Roman" w:cs="Times New Roman"/>
          <w:color w:val="000000"/>
          <w:sz w:val="24"/>
          <w:szCs w:val="24"/>
        </w:rPr>
        <w:t xml:space="preserve"> from Model </w:t>
      </w:r>
      <w:r w:rsidR="00137227">
        <w:rPr>
          <w:rFonts w:ascii="Times New Roman" w:hAnsi="Times New Roman" w:cs="Times New Roman"/>
          <w:color w:val="000000"/>
          <w:sz w:val="24"/>
          <w:szCs w:val="24"/>
        </w:rPr>
        <w:t>2</w:t>
      </w:r>
      <w:r w:rsidRPr="008074B4">
        <w:rPr>
          <w:rFonts w:ascii="Times New Roman" w:hAnsi="Times New Roman" w:cs="Times New Roman"/>
          <w:color w:val="000000"/>
          <w:sz w:val="24"/>
          <w:szCs w:val="24"/>
        </w:rPr>
        <w:t xml:space="preserve">. </w:t>
      </w:r>
      <w:r w:rsidR="00137227">
        <w:rPr>
          <w:rFonts w:ascii="Times New Roman" w:hAnsi="Times New Roman" w:cs="Times New Roman"/>
          <w:color w:val="000000"/>
          <w:sz w:val="24"/>
          <w:szCs w:val="24"/>
        </w:rPr>
        <w:t xml:space="preserve">Model 4, the preferred specification, includes </w:t>
      </w:r>
      <w:r w:rsidR="00137227" w:rsidRPr="008074B4">
        <w:rPr>
          <w:rFonts w:ascii="Times New Roman" w:hAnsi="Times New Roman" w:cs="Times New Roman"/>
          <w:color w:val="000000"/>
          <w:sz w:val="24"/>
          <w:szCs w:val="24"/>
        </w:rPr>
        <w:t xml:space="preserve">technology-category, filing-year, </w:t>
      </w:r>
      <w:r w:rsidR="00401DDF">
        <w:rPr>
          <w:rFonts w:ascii="Times New Roman" w:hAnsi="Times New Roman" w:cs="Times New Roman"/>
          <w:color w:val="000000"/>
          <w:sz w:val="24"/>
          <w:szCs w:val="24"/>
        </w:rPr>
        <w:t xml:space="preserve">and court </w:t>
      </w:r>
      <w:r w:rsidR="00137227" w:rsidRPr="008074B4">
        <w:rPr>
          <w:rFonts w:ascii="Times New Roman" w:hAnsi="Times New Roman" w:cs="Times New Roman"/>
          <w:color w:val="000000"/>
          <w:sz w:val="24"/>
          <w:szCs w:val="24"/>
        </w:rPr>
        <w:t xml:space="preserve">effects. </w:t>
      </w:r>
      <w:r w:rsidRPr="008074B4">
        <w:rPr>
          <w:rFonts w:ascii="Times New Roman" w:hAnsi="Times New Roman" w:cs="Times New Roman"/>
          <w:color w:val="000000"/>
          <w:sz w:val="24"/>
          <w:szCs w:val="24"/>
        </w:rPr>
        <w:t>Default</w:t>
      </w:r>
      <w:r w:rsidR="008653D6">
        <w:rPr>
          <w:rFonts w:ascii="Times New Roman" w:hAnsi="Times New Roman" w:cs="Times New Roman"/>
          <w:color w:val="000000"/>
          <w:sz w:val="24"/>
          <w:szCs w:val="24"/>
        </w:rPr>
        <w:t xml:space="preserve"> judgments</w:t>
      </w:r>
      <w:r w:rsidR="005376C7">
        <w:rPr>
          <w:rFonts w:ascii="Times New Roman" w:hAnsi="Times New Roman" w:cs="Times New Roman"/>
          <w:color w:val="000000"/>
          <w:sz w:val="24"/>
          <w:szCs w:val="24"/>
        </w:rPr>
        <w:t xml:space="preserve"> and consent judgments as well as settlements</w:t>
      </w:r>
      <w:r w:rsidRPr="008074B4">
        <w:rPr>
          <w:rFonts w:ascii="Times New Roman" w:hAnsi="Times New Roman" w:cs="Times New Roman"/>
          <w:color w:val="000000"/>
          <w:sz w:val="24"/>
          <w:szCs w:val="24"/>
        </w:rPr>
        <w:t xml:space="preserve"> are excluded throughout.</w:t>
      </w:r>
      <w:r w:rsidR="00C20644">
        <w:rPr>
          <w:rStyle w:val="FootnoteReference"/>
          <w:rFonts w:ascii="Times New Roman" w:hAnsi="Times New Roman" w:cs="Times New Roman"/>
          <w:color w:val="000000"/>
          <w:sz w:val="24"/>
          <w:szCs w:val="24"/>
        </w:rPr>
        <w:footnoteReference w:id="76"/>
      </w:r>
      <w:r w:rsidRPr="008074B4">
        <w:rPr>
          <w:rFonts w:ascii="Times New Roman" w:hAnsi="Times New Roman" w:cs="Times New Roman"/>
          <w:color w:val="000000"/>
          <w:sz w:val="24"/>
          <w:szCs w:val="24"/>
        </w:rPr>
        <w:t xml:space="preserve"> </w:t>
      </w:r>
    </w:p>
    <w:p w14:paraId="0CF9706E" w14:textId="77777777" w:rsidR="006A6423" w:rsidRDefault="006A6423" w:rsidP="006A6423"/>
    <w:p w14:paraId="3370E3E2" w14:textId="77777777" w:rsidR="006A6423" w:rsidRDefault="006A6423" w:rsidP="006A6423"/>
    <w:p w14:paraId="018CD0BD" w14:textId="77777777" w:rsidR="006A6423" w:rsidRDefault="006A6423" w:rsidP="006A6423"/>
    <w:p w14:paraId="6A648C43" w14:textId="77777777" w:rsidR="006A6423" w:rsidRDefault="006A6423" w:rsidP="006A6423"/>
    <w:p w14:paraId="11215FA2" w14:textId="77777777" w:rsidR="006A6423" w:rsidRDefault="006A6423" w:rsidP="006A6423"/>
    <w:p w14:paraId="6E819416" w14:textId="77777777" w:rsidR="006A6423" w:rsidRPr="006A6423" w:rsidRDefault="006A6423" w:rsidP="006A6423"/>
    <w:p w14:paraId="59E71BC7" w14:textId="42AE58E9" w:rsidR="0004315F" w:rsidRPr="006A6423" w:rsidRDefault="0004315F" w:rsidP="006A6423">
      <w:pPr>
        <w:pStyle w:val="Heading3"/>
        <w:jc w:val="center"/>
        <w:rPr>
          <w:rFonts w:cs="Times New Roman"/>
          <w:b/>
          <w:bCs/>
          <w:color w:val="000000" w:themeColor="text1"/>
          <w:sz w:val="24"/>
          <w:szCs w:val="24"/>
        </w:rPr>
      </w:pPr>
      <w:r w:rsidRPr="006A6423">
        <w:rPr>
          <w:rFonts w:cs="Times New Roman"/>
          <w:b/>
          <w:bCs/>
          <w:color w:val="000000" w:themeColor="text1"/>
          <w:sz w:val="24"/>
          <w:szCs w:val="24"/>
        </w:rPr>
        <w:lastRenderedPageBreak/>
        <w:t>Table 2: Invalidity at AI Tier 50%</w:t>
      </w:r>
    </w:p>
    <w:tbl>
      <w:tblPr>
        <w:tblStyle w:val="TableGrid"/>
        <w:tblW w:w="9360" w:type="dxa"/>
        <w:tblLayout w:type="fixed"/>
        <w:tblLook w:val="04A0" w:firstRow="1" w:lastRow="0" w:firstColumn="1" w:lastColumn="0" w:noHBand="0" w:noVBand="1"/>
      </w:tblPr>
      <w:tblGrid>
        <w:gridCol w:w="2089"/>
        <w:gridCol w:w="1815"/>
        <w:gridCol w:w="1814"/>
        <w:gridCol w:w="1814"/>
        <w:gridCol w:w="1828"/>
      </w:tblGrid>
      <w:tr w:rsidR="0004315F" w:rsidRPr="005A2545" w14:paraId="1A96E4FD" w14:textId="77777777" w:rsidTr="00287451">
        <w:tc>
          <w:tcPr>
            <w:tcW w:w="2088" w:type="dxa"/>
            <w:shd w:val="clear" w:color="auto" w:fill="F2F2F2"/>
            <w:vAlign w:val="center"/>
          </w:tcPr>
          <w:p w14:paraId="12218AA5" w14:textId="77777777" w:rsidR="0004315F" w:rsidRPr="005A2545" w:rsidRDefault="0004315F" w:rsidP="00287451">
            <w:pPr>
              <w:jc w:val="center"/>
              <w:rPr>
                <w:sz w:val="20"/>
                <w:szCs w:val="20"/>
              </w:rPr>
            </w:pPr>
            <w:r w:rsidRPr="005A2545">
              <w:rPr>
                <w:b/>
                <w:sz w:val="20"/>
                <w:szCs w:val="20"/>
              </w:rPr>
              <w:t>Statistic</w:t>
            </w:r>
          </w:p>
        </w:tc>
        <w:tc>
          <w:tcPr>
            <w:tcW w:w="1814" w:type="dxa"/>
            <w:shd w:val="clear" w:color="auto" w:fill="F2F2F2"/>
            <w:vAlign w:val="center"/>
          </w:tcPr>
          <w:p w14:paraId="2BD09E41" w14:textId="77777777" w:rsidR="0004315F" w:rsidRPr="005A2545" w:rsidRDefault="0004315F" w:rsidP="00287451">
            <w:pPr>
              <w:jc w:val="center"/>
              <w:rPr>
                <w:sz w:val="20"/>
                <w:szCs w:val="20"/>
              </w:rPr>
            </w:pPr>
            <w:r w:rsidRPr="005A2545">
              <w:rPr>
                <w:b/>
                <w:sz w:val="20"/>
                <w:szCs w:val="20"/>
              </w:rPr>
              <w:t>Model 1</w:t>
            </w:r>
          </w:p>
        </w:tc>
        <w:tc>
          <w:tcPr>
            <w:tcW w:w="1814" w:type="dxa"/>
            <w:shd w:val="clear" w:color="auto" w:fill="F2F2F2"/>
            <w:vAlign w:val="center"/>
          </w:tcPr>
          <w:p w14:paraId="7D53F3EF" w14:textId="77777777" w:rsidR="0004315F" w:rsidRPr="005A2545" w:rsidRDefault="0004315F" w:rsidP="00287451">
            <w:pPr>
              <w:jc w:val="center"/>
              <w:rPr>
                <w:sz w:val="20"/>
                <w:szCs w:val="20"/>
              </w:rPr>
            </w:pPr>
            <w:r w:rsidRPr="005A2545">
              <w:rPr>
                <w:b/>
                <w:sz w:val="20"/>
                <w:szCs w:val="20"/>
              </w:rPr>
              <w:t>Model 2</w:t>
            </w:r>
          </w:p>
        </w:tc>
        <w:tc>
          <w:tcPr>
            <w:tcW w:w="1814" w:type="dxa"/>
            <w:shd w:val="clear" w:color="auto" w:fill="F2F2F2"/>
            <w:vAlign w:val="center"/>
          </w:tcPr>
          <w:p w14:paraId="18C20D3D" w14:textId="77777777" w:rsidR="0004315F" w:rsidRPr="005A2545" w:rsidRDefault="0004315F" w:rsidP="00287451">
            <w:pPr>
              <w:jc w:val="center"/>
              <w:rPr>
                <w:sz w:val="20"/>
                <w:szCs w:val="20"/>
              </w:rPr>
            </w:pPr>
            <w:r w:rsidRPr="005A2545">
              <w:rPr>
                <w:b/>
                <w:sz w:val="20"/>
                <w:szCs w:val="20"/>
              </w:rPr>
              <w:t>Model 3</w:t>
            </w:r>
          </w:p>
        </w:tc>
        <w:tc>
          <w:tcPr>
            <w:tcW w:w="1828" w:type="dxa"/>
            <w:shd w:val="clear" w:color="auto" w:fill="F2F2F2"/>
            <w:vAlign w:val="center"/>
          </w:tcPr>
          <w:p w14:paraId="6782A8E9" w14:textId="77777777" w:rsidR="0004315F" w:rsidRPr="005A2545" w:rsidRDefault="0004315F" w:rsidP="00287451">
            <w:pPr>
              <w:jc w:val="center"/>
              <w:rPr>
                <w:sz w:val="20"/>
                <w:szCs w:val="20"/>
              </w:rPr>
            </w:pPr>
            <w:r w:rsidRPr="005A2545">
              <w:rPr>
                <w:b/>
                <w:sz w:val="20"/>
                <w:szCs w:val="20"/>
              </w:rPr>
              <w:t>Model 4</w:t>
            </w:r>
          </w:p>
        </w:tc>
      </w:tr>
      <w:tr w:rsidR="0004315F" w:rsidRPr="005A2545" w14:paraId="0E9F32DE" w14:textId="77777777" w:rsidTr="00287451">
        <w:tc>
          <w:tcPr>
            <w:tcW w:w="2088" w:type="dxa"/>
            <w:vAlign w:val="center"/>
          </w:tcPr>
          <w:p w14:paraId="29DB786E" w14:textId="77777777" w:rsidR="0004315F" w:rsidRPr="005A2545" w:rsidRDefault="0004315F" w:rsidP="00287451">
            <w:pPr>
              <w:rPr>
                <w:sz w:val="20"/>
                <w:szCs w:val="20"/>
              </w:rPr>
            </w:pPr>
            <w:r w:rsidRPr="005A2545">
              <w:rPr>
                <w:b/>
                <w:sz w:val="20"/>
                <w:szCs w:val="20"/>
              </w:rPr>
              <w:t>AI coefficient</w:t>
            </w:r>
          </w:p>
        </w:tc>
        <w:tc>
          <w:tcPr>
            <w:tcW w:w="1814" w:type="dxa"/>
            <w:vAlign w:val="center"/>
          </w:tcPr>
          <w:p w14:paraId="63A7E87A" w14:textId="77777777" w:rsidR="0004315F" w:rsidRPr="005A2545" w:rsidRDefault="0004315F" w:rsidP="00287451">
            <w:pPr>
              <w:jc w:val="center"/>
              <w:rPr>
                <w:sz w:val="20"/>
                <w:szCs w:val="20"/>
              </w:rPr>
            </w:pPr>
            <w:r w:rsidRPr="005A2545">
              <w:rPr>
                <w:sz w:val="20"/>
                <w:szCs w:val="20"/>
              </w:rPr>
              <w:t>+26.28***</w:t>
            </w:r>
            <w:r w:rsidRPr="005A2545">
              <w:rPr>
                <w:sz w:val="20"/>
                <w:szCs w:val="20"/>
              </w:rPr>
              <w:br/>
              <w:t>(1.42)</w:t>
            </w:r>
          </w:p>
        </w:tc>
        <w:tc>
          <w:tcPr>
            <w:tcW w:w="1814" w:type="dxa"/>
            <w:vAlign w:val="center"/>
          </w:tcPr>
          <w:p w14:paraId="3B8E8C54" w14:textId="77777777" w:rsidR="0004315F" w:rsidRPr="005A2545" w:rsidRDefault="0004315F" w:rsidP="00287451">
            <w:pPr>
              <w:jc w:val="center"/>
              <w:rPr>
                <w:sz w:val="20"/>
                <w:szCs w:val="20"/>
              </w:rPr>
            </w:pPr>
            <w:r w:rsidRPr="005A2545">
              <w:rPr>
                <w:sz w:val="20"/>
                <w:szCs w:val="20"/>
              </w:rPr>
              <w:t>+23.03***</w:t>
            </w:r>
            <w:r w:rsidRPr="005A2545">
              <w:rPr>
                <w:sz w:val="20"/>
                <w:szCs w:val="20"/>
              </w:rPr>
              <w:br/>
              <w:t>(1.43)</w:t>
            </w:r>
          </w:p>
        </w:tc>
        <w:tc>
          <w:tcPr>
            <w:tcW w:w="1814" w:type="dxa"/>
            <w:vAlign w:val="center"/>
          </w:tcPr>
          <w:p w14:paraId="66AA3D97" w14:textId="77777777" w:rsidR="0004315F" w:rsidRPr="005A2545" w:rsidRDefault="0004315F" w:rsidP="00287451">
            <w:pPr>
              <w:jc w:val="center"/>
              <w:rPr>
                <w:sz w:val="20"/>
                <w:szCs w:val="20"/>
              </w:rPr>
            </w:pPr>
            <w:r w:rsidRPr="005A2545">
              <w:rPr>
                <w:sz w:val="20"/>
                <w:szCs w:val="20"/>
              </w:rPr>
              <w:t>+9.20***</w:t>
            </w:r>
            <w:r w:rsidRPr="005A2545">
              <w:rPr>
                <w:sz w:val="20"/>
                <w:szCs w:val="20"/>
              </w:rPr>
              <w:br/>
              <w:t>(1.24)</w:t>
            </w:r>
          </w:p>
        </w:tc>
        <w:tc>
          <w:tcPr>
            <w:tcW w:w="1828" w:type="dxa"/>
            <w:vAlign w:val="center"/>
          </w:tcPr>
          <w:p w14:paraId="2C09CA36" w14:textId="77777777" w:rsidR="0004315F" w:rsidRPr="005A2545" w:rsidRDefault="0004315F" w:rsidP="00287451">
            <w:pPr>
              <w:jc w:val="center"/>
              <w:rPr>
                <w:sz w:val="20"/>
                <w:szCs w:val="20"/>
              </w:rPr>
            </w:pPr>
            <w:r w:rsidRPr="005A2545">
              <w:rPr>
                <w:sz w:val="20"/>
                <w:szCs w:val="20"/>
              </w:rPr>
              <w:t>+4.86***</w:t>
            </w:r>
            <w:r w:rsidRPr="005A2545">
              <w:rPr>
                <w:sz w:val="20"/>
                <w:szCs w:val="20"/>
              </w:rPr>
              <w:br/>
              <w:t>(1.29)</w:t>
            </w:r>
          </w:p>
        </w:tc>
      </w:tr>
      <w:tr w:rsidR="0004315F" w:rsidRPr="005A2545" w14:paraId="00B7BB7D" w14:textId="77777777" w:rsidTr="00287451">
        <w:tc>
          <w:tcPr>
            <w:tcW w:w="2088" w:type="dxa"/>
            <w:vAlign w:val="center"/>
          </w:tcPr>
          <w:p w14:paraId="0C6F1970" w14:textId="77777777" w:rsidR="0004315F" w:rsidRPr="005A2545" w:rsidRDefault="0004315F" w:rsidP="00287451">
            <w:pPr>
              <w:rPr>
                <w:sz w:val="20"/>
                <w:szCs w:val="20"/>
              </w:rPr>
            </w:pPr>
            <w:r w:rsidRPr="005A2545">
              <w:rPr>
                <w:b/>
                <w:sz w:val="20"/>
                <w:szCs w:val="20"/>
              </w:rPr>
              <w:t>Alpha</w:t>
            </w:r>
          </w:p>
        </w:tc>
        <w:tc>
          <w:tcPr>
            <w:tcW w:w="1814" w:type="dxa"/>
            <w:vAlign w:val="center"/>
          </w:tcPr>
          <w:p w14:paraId="1D2F864D" w14:textId="77777777" w:rsidR="0004315F" w:rsidRPr="005A2545" w:rsidRDefault="0004315F" w:rsidP="00287451">
            <w:pPr>
              <w:jc w:val="center"/>
              <w:rPr>
                <w:sz w:val="20"/>
                <w:szCs w:val="20"/>
              </w:rPr>
            </w:pPr>
            <w:r w:rsidRPr="005A2545">
              <w:rPr>
                <w:sz w:val="20"/>
                <w:szCs w:val="20"/>
              </w:rPr>
              <w:t>0.01</w:t>
            </w:r>
          </w:p>
        </w:tc>
        <w:tc>
          <w:tcPr>
            <w:tcW w:w="1814" w:type="dxa"/>
            <w:vAlign w:val="center"/>
          </w:tcPr>
          <w:p w14:paraId="433FFCAF" w14:textId="77777777" w:rsidR="0004315F" w:rsidRPr="005A2545" w:rsidRDefault="0004315F" w:rsidP="00287451">
            <w:pPr>
              <w:jc w:val="center"/>
              <w:rPr>
                <w:sz w:val="20"/>
                <w:szCs w:val="20"/>
              </w:rPr>
            </w:pPr>
            <w:r w:rsidRPr="005A2545">
              <w:rPr>
                <w:sz w:val="20"/>
                <w:szCs w:val="20"/>
              </w:rPr>
              <w:t>0.01</w:t>
            </w:r>
          </w:p>
        </w:tc>
        <w:tc>
          <w:tcPr>
            <w:tcW w:w="1814" w:type="dxa"/>
            <w:vAlign w:val="center"/>
          </w:tcPr>
          <w:p w14:paraId="08CD8EB5" w14:textId="77777777" w:rsidR="0004315F" w:rsidRPr="005A2545" w:rsidRDefault="0004315F" w:rsidP="00287451">
            <w:pPr>
              <w:jc w:val="center"/>
              <w:rPr>
                <w:sz w:val="20"/>
                <w:szCs w:val="20"/>
              </w:rPr>
            </w:pPr>
            <w:r w:rsidRPr="005A2545">
              <w:rPr>
                <w:sz w:val="20"/>
                <w:szCs w:val="20"/>
              </w:rPr>
              <w:t>0.01</w:t>
            </w:r>
          </w:p>
        </w:tc>
        <w:tc>
          <w:tcPr>
            <w:tcW w:w="1828" w:type="dxa"/>
            <w:vAlign w:val="center"/>
          </w:tcPr>
          <w:p w14:paraId="50E87405" w14:textId="77777777" w:rsidR="0004315F" w:rsidRPr="005A2545" w:rsidRDefault="0004315F" w:rsidP="00287451">
            <w:pPr>
              <w:jc w:val="center"/>
              <w:rPr>
                <w:sz w:val="20"/>
                <w:szCs w:val="20"/>
              </w:rPr>
            </w:pPr>
            <w:r w:rsidRPr="005A2545">
              <w:rPr>
                <w:sz w:val="20"/>
                <w:szCs w:val="20"/>
              </w:rPr>
              <w:t>0.01</w:t>
            </w:r>
          </w:p>
        </w:tc>
      </w:tr>
      <w:tr w:rsidR="0004315F" w:rsidRPr="005A2545" w14:paraId="7030953D" w14:textId="77777777" w:rsidTr="00287451">
        <w:tc>
          <w:tcPr>
            <w:tcW w:w="2088" w:type="dxa"/>
            <w:vAlign w:val="center"/>
          </w:tcPr>
          <w:p w14:paraId="23A04B75" w14:textId="77777777" w:rsidR="0004315F" w:rsidRPr="005A2545" w:rsidRDefault="0004315F" w:rsidP="00287451">
            <w:pPr>
              <w:rPr>
                <w:sz w:val="20"/>
                <w:szCs w:val="20"/>
              </w:rPr>
            </w:pPr>
            <w:r w:rsidRPr="005A2545">
              <w:rPr>
                <w:b/>
                <w:sz w:val="20"/>
                <w:szCs w:val="20"/>
              </w:rPr>
              <w:t>Pr(non-AI)</w:t>
            </w:r>
          </w:p>
        </w:tc>
        <w:tc>
          <w:tcPr>
            <w:tcW w:w="1814" w:type="dxa"/>
            <w:vAlign w:val="center"/>
          </w:tcPr>
          <w:p w14:paraId="577B7EF3" w14:textId="77777777" w:rsidR="0004315F" w:rsidRPr="005A2545" w:rsidRDefault="0004315F" w:rsidP="00287451">
            <w:pPr>
              <w:jc w:val="center"/>
              <w:rPr>
                <w:sz w:val="20"/>
                <w:szCs w:val="20"/>
              </w:rPr>
            </w:pPr>
            <w:r w:rsidRPr="005A2545">
              <w:rPr>
                <w:sz w:val="20"/>
                <w:szCs w:val="20"/>
              </w:rPr>
              <w:t>47.9%</w:t>
            </w:r>
          </w:p>
        </w:tc>
        <w:tc>
          <w:tcPr>
            <w:tcW w:w="1814" w:type="dxa"/>
            <w:vAlign w:val="center"/>
          </w:tcPr>
          <w:p w14:paraId="37C22581" w14:textId="77777777" w:rsidR="0004315F" w:rsidRPr="005A2545" w:rsidRDefault="0004315F" w:rsidP="00287451">
            <w:pPr>
              <w:jc w:val="center"/>
              <w:rPr>
                <w:sz w:val="20"/>
                <w:szCs w:val="20"/>
              </w:rPr>
            </w:pPr>
            <w:r w:rsidRPr="005A2545">
              <w:rPr>
                <w:sz w:val="20"/>
                <w:szCs w:val="20"/>
              </w:rPr>
              <w:t>48.9%</w:t>
            </w:r>
          </w:p>
        </w:tc>
        <w:tc>
          <w:tcPr>
            <w:tcW w:w="1814" w:type="dxa"/>
            <w:vAlign w:val="center"/>
          </w:tcPr>
          <w:p w14:paraId="2E259357" w14:textId="77777777" w:rsidR="0004315F" w:rsidRPr="005A2545" w:rsidRDefault="0004315F" w:rsidP="00287451">
            <w:pPr>
              <w:jc w:val="center"/>
              <w:rPr>
                <w:sz w:val="20"/>
                <w:szCs w:val="20"/>
              </w:rPr>
            </w:pPr>
            <w:r w:rsidRPr="005A2545">
              <w:rPr>
                <w:sz w:val="20"/>
                <w:szCs w:val="20"/>
              </w:rPr>
              <w:t>53.0%</w:t>
            </w:r>
          </w:p>
        </w:tc>
        <w:tc>
          <w:tcPr>
            <w:tcW w:w="1828" w:type="dxa"/>
            <w:vAlign w:val="center"/>
          </w:tcPr>
          <w:p w14:paraId="72924366" w14:textId="77777777" w:rsidR="0004315F" w:rsidRPr="005A2545" w:rsidRDefault="0004315F" w:rsidP="00287451">
            <w:pPr>
              <w:jc w:val="center"/>
              <w:rPr>
                <w:sz w:val="20"/>
                <w:szCs w:val="20"/>
              </w:rPr>
            </w:pPr>
            <w:r w:rsidRPr="005A2545">
              <w:rPr>
                <w:sz w:val="20"/>
                <w:szCs w:val="20"/>
              </w:rPr>
              <w:t>54.3%</w:t>
            </w:r>
          </w:p>
        </w:tc>
      </w:tr>
      <w:tr w:rsidR="0004315F" w:rsidRPr="005A2545" w14:paraId="56C8CF5B" w14:textId="77777777" w:rsidTr="00287451">
        <w:tc>
          <w:tcPr>
            <w:tcW w:w="2088" w:type="dxa"/>
            <w:vAlign w:val="center"/>
          </w:tcPr>
          <w:p w14:paraId="12DA48AA" w14:textId="77777777" w:rsidR="0004315F" w:rsidRPr="005A2545" w:rsidRDefault="0004315F" w:rsidP="00287451">
            <w:pPr>
              <w:rPr>
                <w:sz w:val="20"/>
                <w:szCs w:val="20"/>
              </w:rPr>
            </w:pPr>
            <w:r w:rsidRPr="005A2545">
              <w:rPr>
                <w:b/>
                <w:sz w:val="20"/>
                <w:szCs w:val="20"/>
              </w:rPr>
              <w:t>Pr(AI)</w:t>
            </w:r>
          </w:p>
        </w:tc>
        <w:tc>
          <w:tcPr>
            <w:tcW w:w="1814" w:type="dxa"/>
            <w:vAlign w:val="center"/>
          </w:tcPr>
          <w:p w14:paraId="5B224CD7" w14:textId="77777777" w:rsidR="0004315F" w:rsidRPr="005A2545" w:rsidRDefault="0004315F" w:rsidP="00287451">
            <w:pPr>
              <w:jc w:val="center"/>
              <w:rPr>
                <w:sz w:val="20"/>
                <w:szCs w:val="20"/>
              </w:rPr>
            </w:pPr>
            <w:r w:rsidRPr="005A2545">
              <w:rPr>
                <w:sz w:val="20"/>
                <w:szCs w:val="20"/>
              </w:rPr>
              <w:t>74.2%</w:t>
            </w:r>
          </w:p>
        </w:tc>
        <w:tc>
          <w:tcPr>
            <w:tcW w:w="1814" w:type="dxa"/>
            <w:vAlign w:val="center"/>
          </w:tcPr>
          <w:p w14:paraId="4DEABEF4" w14:textId="77777777" w:rsidR="0004315F" w:rsidRPr="005A2545" w:rsidRDefault="0004315F" w:rsidP="00287451">
            <w:pPr>
              <w:jc w:val="center"/>
              <w:rPr>
                <w:sz w:val="20"/>
                <w:szCs w:val="20"/>
              </w:rPr>
            </w:pPr>
            <w:r w:rsidRPr="005A2545">
              <w:rPr>
                <w:sz w:val="20"/>
                <w:szCs w:val="20"/>
              </w:rPr>
              <w:t>71.9%</w:t>
            </w:r>
          </w:p>
        </w:tc>
        <w:tc>
          <w:tcPr>
            <w:tcW w:w="1814" w:type="dxa"/>
            <w:vAlign w:val="center"/>
          </w:tcPr>
          <w:p w14:paraId="41AC713B" w14:textId="77777777" w:rsidR="0004315F" w:rsidRPr="005A2545" w:rsidRDefault="0004315F" w:rsidP="00287451">
            <w:pPr>
              <w:jc w:val="center"/>
              <w:rPr>
                <w:sz w:val="20"/>
                <w:szCs w:val="20"/>
              </w:rPr>
            </w:pPr>
            <w:r w:rsidRPr="005A2545">
              <w:rPr>
                <w:sz w:val="20"/>
                <w:szCs w:val="20"/>
              </w:rPr>
              <w:t>62.2%</w:t>
            </w:r>
          </w:p>
        </w:tc>
        <w:tc>
          <w:tcPr>
            <w:tcW w:w="1828" w:type="dxa"/>
            <w:vAlign w:val="center"/>
          </w:tcPr>
          <w:p w14:paraId="0F80AF11" w14:textId="77777777" w:rsidR="0004315F" w:rsidRPr="005A2545" w:rsidRDefault="0004315F" w:rsidP="00287451">
            <w:pPr>
              <w:jc w:val="center"/>
              <w:rPr>
                <w:sz w:val="20"/>
                <w:szCs w:val="20"/>
              </w:rPr>
            </w:pPr>
            <w:r w:rsidRPr="005A2545">
              <w:rPr>
                <w:sz w:val="20"/>
                <w:szCs w:val="20"/>
              </w:rPr>
              <w:t>59.2%</w:t>
            </w:r>
          </w:p>
        </w:tc>
      </w:tr>
      <w:tr w:rsidR="0004315F" w:rsidRPr="005A2545" w14:paraId="31159409" w14:textId="77777777" w:rsidTr="00287451">
        <w:tc>
          <w:tcPr>
            <w:tcW w:w="2088" w:type="dxa"/>
            <w:vAlign w:val="center"/>
          </w:tcPr>
          <w:p w14:paraId="70C7A807" w14:textId="77777777" w:rsidR="0004315F" w:rsidRPr="005A2545" w:rsidRDefault="0004315F" w:rsidP="00287451">
            <w:pPr>
              <w:rPr>
                <w:sz w:val="20"/>
                <w:szCs w:val="20"/>
              </w:rPr>
            </w:pPr>
            <w:r w:rsidRPr="005A2545">
              <w:rPr>
                <w:b/>
                <w:sz w:val="20"/>
                <w:szCs w:val="20"/>
              </w:rPr>
              <w:t>Relative change</w:t>
            </w:r>
          </w:p>
        </w:tc>
        <w:tc>
          <w:tcPr>
            <w:tcW w:w="1814" w:type="dxa"/>
            <w:vAlign w:val="center"/>
          </w:tcPr>
          <w:p w14:paraId="368609CF" w14:textId="77777777" w:rsidR="0004315F" w:rsidRPr="005A2545" w:rsidRDefault="0004315F" w:rsidP="00287451">
            <w:pPr>
              <w:jc w:val="center"/>
              <w:rPr>
                <w:sz w:val="20"/>
                <w:szCs w:val="20"/>
              </w:rPr>
            </w:pPr>
            <w:r w:rsidRPr="005A2545">
              <w:rPr>
                <w:sz w:val="20"/>
                <w:szCs w:val="20"/>
              </w:rPr>
              <w:t>+54.8%</w:t>
            </w:r>
          </w:p>
        </w:tc>
        <w:tc>
          <w:tcPr>
            <w:tcW w:w="1814" w:type="dxa"/>
            <w:vAlign w:val="center"/>
          </w:tcPr>
          <w:p w14:paraId="4F330804" w14:textId="77777777" w:rsidR="0004315F" w:rsidRPr="005A2545" w:rsidRDefault="0004315F" w:rsidP="00287451">
            <w:pPr>
              <w:jc w:val="center"/>
              <w:rPr>
                <w:sz w:val="20"/>
                <w:szCs w:val="20"/>
              </w:rPr>
            </w:pPr>
            <w:r w:rsidRPr="005A2545">
              <w:rPr>
                <w:sz w:val="20"/>
                <w:szCs w:val="20"/>
              </w:rPr>
              <w:t>+47.1%</w:t>
            </w:r>
          </w:p>
        </w:tc>
        <w:tc>
          <w:tcPr>
            <w:tcW w:w="1814" w:type="dxa"/>
            <w:vAlign w:val="center"/>
          </w:tcPr>
          <w:p w14:paraId="73C755AB" w14:textId="77777777" w:rsidR="0004315F" w:rsidRPr="005A2545" w:rsidRDefault="0004315F" w:rsidP="00287451">
            <w:pPr>
              <w:jc w:val="center"/>
              <w:rPr>
                <w:sz w:val="20"/>
                <w:szCs w:val="20"/>
              </w:rPr>
            </w:pPr>
            <w:r w:rsidRPr="005A2545">
              <w:rPr>
                <w:sz w:val="20"/>
                <w:szCs w:val="20"/>
              </w:rPr>
              <w:t>+17.3%</w:t>
            </w:r>
          </w:p>
        </w:tc>
        <w:tc>
          <w:tcPr>
            <w:tcW w:w="1828" w:type="dxa"/>
            <w:vAlign w:val="center"/>
          </w:tcPr>
          <w:p w14:paraId="412E879E" w14:textId="77777777" w:rsidR="0004315F" w:rsidRPr="005A2545" w:rsidRDefault="0004315F" w:rsidP="00287451">
            <w:pPr>
              <w:jc w:val="center"/>
              <w:rPr>
                <w:sz w:val="20"/>
                <w:szCs w:val="20"/>
              </w:rPr>
            </w:pPr>
            <w:r w:rsidRPr="005A2545">
              <w:rPr>
                <w:sz w:val="20"/>
                <w:szCs w:val="20"/>
              </w:rPr>
              <w:t>+8.9%</w:t>
            </w:r>
          </w:p>
        </w:tc>
      </w:tr>
      <w:tr w:rsidR="0004315F" w:rsidRPr="005A2545" w14:paraId="1D62E3E9" w14:textId="77777777" w:rsidTr="00287451">
        <w:tc>
          <w:tcPr>
            <w:tcW w:w="2088" w:type="dxa"/>
            <w:vAlign w:val="center"/>
          </w:tcPr>
          <w:p w14:paraId="23DCFCBB" w14:textId="77777777" w:rsidR="0004315F" w:rsidRPr="005A2545" w:rsidRDefault="0004315F" w:rsidP="00287451">
            <w:pPr>
              <w:rPr>
                <w:sz w:val="20"/>
                <w:szCs w:val="20"/>
              </w:rPr>
            </w:pPr>
            <w:r w:rsidRPr="005A2545">
              <w:rPr>
                <w:b/>
                <w:sz w:val="20"/>
                <w:szCs w:val="20"/>
              </w:rPr>
              <w:t>N</w:t>
            </w:r>
          </w:p>
        </w:tc>
        <w:tc>
          <w:tcPr>
            <w:tcW w:w="1814" w:type="dxa"/>
            <w:vAlign w:val="center"/>
          </w:tcPr>
          <w:p w14:paraId="6FD85524" w14:textId="77777777" w:rsidR="0004315F" w:rsidRPr="005A2545" w:rsidRDefault="0004315F" w:rsidP="00287451">
            <w:pPr>
              <w:jc w:val="center"/>
              <w:rPr>
                <w:sz w:val="20"/>
                <w:szCs w:val="20"/>
              </w:rPr>
            </w:pPr>
            <w:r w:rsidRPr="005A2545">
              <w:rPr>
                <w:sz w:val="20"/>
                <w:szCs w:val="20"/>
              </w:rPr>
              <w:t>5,751</w:t>
            </w:r>
          </w:p>
        </w:tc>
        <w:tc>
          <w:tcPr>
            <w:tcW w:w="1814" w:type="dxa"/>
            <w:vAlign w:val="center"/>
          </w:tcPr>
          <w:p w14:paraId="594743A8" w14:textId="77777777" w:rsidR="0004315F" w:rsidRPr="005A2545" w:rsidRDefault="0004315F" w:rsidP="00287451">
            <w:pPr>
              <w:jc w:val="center"/>
              <w:rPr>
                <w:sz w:val="20"/>
                <w:szCs w:val="20"/>
              </w:rPr>
            </w:pPr>
            <w:r w:rsidRPr="005A2545">
              <w:rPr>
                <w:sz w:val="20"/>
                <w:szCs w:val="20"/>
              </w:rPr>
              <w:t>5,751</w:t>
            </w:r>
          </w:p>
        </w:tc>
        <w:tc>
          <w:tcPr>
            <w:tcW w:w="1814" w:type="dxa"/>
            <w:vAlign w:val="center"/>
          </w:tcPr>
          <w:p w14:paraId="1DFB6E5B" w14:textId="77777777" w:rsidR="0004315F" w:rsidRPr="005A2545" w:rsidRDefault="0004315F" w:rsidP="00287451">
            <w:pPr>
              <w:jc w:val="center"/>
              <w:rPr>
                <w:sz w:val="20"/>
                <w:szCs w:val="20"/>
              </w:rPr>
            </w:pPr>
            <w:r w:rsidRPr="005A2545">
              <w:rPr>
                <w:sz w:val="20"/>
                <w:szCs w:val="20"/>
              </w:rPr>
              <w:t>5,751</w:t>
            </w:r>
          </w:p>
        </w:tc>
        <w:tc>
          <w:tcPr>
            <w:tcW w:w="1828" w:type="dxa"/>
            <w:vAlign w:val="center"/>
          </w:tcPr>
          <w:p w14:paraId="51C5693B" w14:textId="77777777" w:rsidR="0004315F" w:rsidRPr="005A2545" w:rsidRDefault="0004315F" w:rsidP="00287451">
            <w:pPr>
              <w:jc w:val="center"/>
              <w:rPr>
                <w:sz w:val="20"/>
                <w:szCs w:val="20"/>
              </w:rPr>
            </w:pPr>
            <w:r w:rsidRPr="005A2545">
              <w:rPr>
                <w:sz w:val="20"/>
                <w:szCs w:val="20"/>
              </w:rPr>
              <w:t>5,751</w:t>
            </w:r>
          </w:p>
        </w:tc>
      </w:tr>
      <w:tr w:rsidR="0004315F" w:rsidRPr="005A2545" w14:paraId="7A7039B0" w14:textId="77777777" w:rsidTr="00287451">
        <w:tc>
          <w:tcPr>
            <w:tcW w:w="2088" w:type="dxa"/>
            <w:vAlign w:val="center"/>
          </w:tcPr>
          <w:p w14:paraId="75CE3590" w14:textId="77777777" w:rsidR="0004315F" w:rsidRPr="005A2545" w:rsidRDefault="0004315F" w:rsidP="00287451">
            <w:pPr>
              <w:rPr>
                <w:sz w:val="20"/>
                <w:szCs w:val="20"/>
              </w:rPr>
            </w:pPr>
            <w:r w:rsidRPr="005A2545">
              <w:rPr>
                <w:b/>
                <w:sz w:val="20"/>
                <w:szCs w:val="20"/>
              </w:rPr>
              <w:t>R2</w:t>
            </w:r>
          </w:p>
        </w:tc>
        <w:tc>
          <w:tcPr>
            <w:tcW w:w="1814" w:type="dxa"/>
            <w:vAlign w:val="center"/>
          </w:tcPr>
          <w:p w14:paraId="02E9BFF1" w14:textId="77777777" w:rsidR="0004315F" w:rsidRPr="005A2545" w:rsidRDefault="0004315F" w:rsidP="00287451">
            <w:pPr>
              <w:jc w:val="center"/>
              <w:rPr>
                <w:sz w:val="20"/>
                <w:szCs w:val="20"/>
              </w:rPr>
            </w:pPr>
            <w:r w:rsidRPr="005A2545">
              <w:rPr>
                <w:sz w:val="20"/>
                <w:szCs w:val="20"/>
              </w:rPr>
              <w:t>0.058</w:t>
            </w:r>
          </w:p>
        </w:tc>
        <w:tc>
          <w:tcPr>
            <w:tcW w:w="1814" w:type="dxa"/>
            <w:vAlign w:val="center"/>
          </w:tcPr>
          <w:p w14:paraId="5C751FF2" w14:textId="77777777" w:rsidR="0004315F" w:rsidRPr="005A2545" w:rsidRDefault="0004315F" w:rsidP="00287451">
            <w:pPr>
              <w:jc w:val="center"/>
              <w:rPr>
                <w:sz w:val="20"/>
                <w:szCs w:val="20"/>
              </w:rPr>
            </w:pPr>
            <w:r w:rsidRPr="005A2545">
              <w:rPr>
                <w:sz w:val="20"/>
                <w:szCs w:val="20"/>
              </w:rPr>
              <w:t>0.105</w:t>
            </w:r>
          </w:p>
        </w:tc>
        <w:tc>
          <w:tcPr>
            <w:tcW w:w="1814" w:type="dxa"/>
            <w:vAlign w:val="center"/>
          </w:tcPr>
          <w:p w14:paraId="145764E1" w14:textId="77777777" w:rsidR="0004315F" w:rsidRPr="005A2545" w:rsidRDefault="0004315F" w:rsidP="00287451">
            <w:pPr>
              <w:jc w:val="center"/>
              <w:rPr>
                <w:sz w:val="20"/>
                <w:szCs w:val="20"/>
              </w:rPr>
            </w:pPr>
            <w:r w:rsidRPr="005A2545">
              <w:rPr>
                <w:sz w:val="20"/>
                <w:szCs w:val="20"/>
              </w:rPr>
              <w:t>0.354</w:t>
            </w:r>
          </w:p>
        </w:tc>
        <w:tc>
          <w:tcPr>
            <w:tcW w:w="1828" w:type="dxa"/>
            <w:vAlign w:val="center"/>
          </w:tcPr>
          <w:p w14:paraId="77C5CDAC" w14:textId="77777777" w:rsidR="0004315F" w:rsidRPr="005A2545" w:rsidRDefault="0004315F" w:rsidP="00287451">
            <w:pPr>
              <w:jc w:val="center"/>
              <w:rPr>
                <w:sz w:val="20"/>
                <w:szCs w:val="20"/>
              </w:rPr>
            </w:pPr>
            <w:r w:rsidRPr="005A2545">
              <w:rPr>
                <w:sz w:val="20"/>
                <w:szCs w:val="20"/>
              </w:rPr>
              <w:t>0.404</w:t>
            </w:r>
          </w:p>
        </w:tc>
      </w:tr>
    </w:tbl>
    <w:p w14:paraId="3D82B1AD" w14:textId="7707F35A" w:rsidR="0004315F" w:rsidRPr="0004315F" w:rsidRDefault="0004315F" w:rsidP="0004315F">
      <w:pPr>
        <w:pStyle w:val="Caption"/>
        <w:rPr>
          <w:rFonts w:ascii="Times New Roman" w:hAnsi="Times New Roman" w:cs="Times New Roman"/>
          <w:sz w:val="20"/>
          <w:szCs w:val="20"/>
        </w:rPr>
      </w:pPr>
      <w:r w:rsidRPr="005A2545">
        <w:rPr>
          <w:rFonts w:ascii="Times New Roman" w:hAnsi="Times New Roman" w:cs="Times New Roman"/>
          <w:color w:val="505050"/>
          <w:sz w:val="20"/>
          <w:szCs w:val="20"/>
        </w:rPr>
        <w:t xml:space="preserve">Cells report coefficient in percentage points, with patent-clustered standard error in parentheses. </w:t>
      </w:r>
    </w:p>
    <w:p w14:paraId="7E5857AF" w14:textId="4B79C5E7" w:rsidR="008074B4" w:rsidRPr="008074B4" w:rsidRDefault="007F2C28" w:rsidP="009C29E2">
      <w:pPr>
        <w:pStyle w:val="Heading1"/>
        <w:spacing w:line="480" w:lineRule="auto"/>
        <w:ind w:firstLine="720"/>
      </w:pPr>
      <w:r>
        <w:rPr>
          <w:rFonts w:ascii="Times New Roman" w:hAnsi="Times New Roman" w:cs="Times New Roman"/>
          <w:color w:val="000000"/>
          <w:sz w:val="24"/>
          <w:szCs w:val="24"/>
        </w:rPr>
        <w:t>In all specifications</w:t>
      </w:r>
      <w:r w:rsidR="00401DDF">
        <w:rPr>
          <w:rFonts w:ascii="Times New Roman" w:hAnsi="Times New Roman" w:cs="Times New Roman"/>
          <w:color w:val="000000"/>
          <w:sz w:val="24"/>
          <w:szCs w:val="24"/>
        </w:rPr>
        <w:t xml:space="preserve"> in Table 2</w:t>
      </w:r>
      <w:r>
        <w:rPr>
          <w:rFonts w:ascii="Times New Roman" w:hAnsi="Times New Roman" w:cs="Times New Roman"/>
          <w:color w:val="000000"/>
          <w:sz w:val="24"/>
          <w:szCs w:val="24"/>
        </w:rPr>
        <w:t xml:space="preserve">, the binary AI indicator is statistically significant at the 99% confidence level. </w:t>
      </w:r>
      <w:r w:rsidR="00C73461">
        <w:rPr>
          <w:rFonts w:ascii="Times New Roman" w:hAnsi="Times New Roman" w:cs="Times New Roman"/>
          <w:color w:val="000000"/>
          <w:sz w:val="24"/>
          <w:szCs w:val="24"/>
        </w:rPr>
        <w:t xml:space="preserve">In the unadjusted Model 1 linear probability model, </w:t>
      </w:r>
      <w:r w:rsidR="008653D6">
        <w:rPr>
          <w:rFonts w:ascii="Times New Roman" w:hAnsi="Times New Roman" w:cs="Times New Roman"/>
          <w:color w:val="000000"/>
          <w:sz w:val="24"/>
          <w:szCs w:val="24"/>
        </w:rPr>
        <w:t>the non-AI baseline</w:t>
      </w:r>
      <w:r w:rsidR="00137227">
        <w:rPr>
          <w:rFonts w:ascii="Times New Roman" w:hAnsi="Times New Roman" w:cs="Times New Roman"/>
          <w:color w:val="000000"/>
          <w:sz w:val="24"/>
          <w:szCs w:val="24"/>
        </w:rPr>
        <w:t xml:space="preserve"> </w:t>
      </w:r>
      <w:r w:rsidR="008653D6">
        <w:rPr>
          <w:rFonts w:ascii="Times New Roman" w:hAnsi="Times New Roman" w:cs="Times New Roman"/>
          <w:color w:val="000000"/>
          <w:sz w:val="24"/>
          <w:szCs w:val="24"/>
        </w:rPr>
        <w:t xml:space="preserve"> invalidity rate</w:t>
      </w:r>
      <w:r w:rsidR="00137227">
        <w:rPr>
          <w:rFonts w:ascii="Times New Roman" w:hAnsi="Times New Roman" w:cs="Times New Roman"/>
          <w:color w:val="000000"/>
          <w:sz w:val="24"/>
          <w:szCs w:val="24"/>
        </w:rPr>
        <w:t xml:space="preserve"> without any controls</w:t>
      </w:r>
      <w:r w:rsidR="008653D6">
        <w:rPr>
          <w:rFonts w:ascii="Times New Roman" w:hAnsi="Times New Roman" w:cs="Times New Roman"/>
          <w:color w:val="000000"/>
          <w:sz w:val="24"/>
          <w:szCs w:val="24"/>
        </w:rPr>
        <w:t xml:space="preserve"> is </w:t>
      </w:r>
      <w:r w:rsidR="00401DDF">
        <w:rPr>
          <w:rFonts w:ascii="Times New Roman" w:hAnsi="Times New Roman" w:cs="Times New Roman"/>
          <w:color w:val="000000"/>
          <w:sz w:val="24"/>
          <w:szCs w:val="24"/>
        </w:rPr>
        <w:t>47.9</w:t>
      </w:r>
      <w:r w:rsidR="008653D6">
        <w:rPr>
          <w:rFonts w:ascii="Times New Roman" w:hAnsi="Times New Roman" w:cs="Times New Roman"/>
          <w:color w:val="000000"/>
          <w:sz w:val="24"/>
          <w:szCs w:val="24"/>
        </w:rPr>
        <w:t>%.</w:t>
      </w:r>
      <w:r w:rsidR="00137227">
        <w:rPr>
          <w:rStyle w:val="FootnoteReference"/>
          <w:rFonts w:ascii="Times New Roman" w:hAnsi="Times New Roman" w:cs="Times New Roman"/>
          <w:color w:val="000000"/>
          <w:sz w:val="24"/>
          <w:szCs w:val="24"/>
        </w:rPr>
        <w:footnoteReference w:id="77"/>
      </w:r>
      <w:r w:rsidR="008653D6">
        <w:rPr>
          <w:rFonts w:ascii="Times New Roman" w:hAnsi="Times New Roman" w:cs="Times New Roman"/>
          <w:color w:val="000000"/>
          <w:sz w:val="24"/>
          <w:szCs w:val="24"/>
        </w:rPr>
        <w:t xml:space="preserve"> AI is associated with </w:t>
      </w:r>
      <w:r w:rsidR="00401DDF">
        <w:rPr>
          <w:rFonts w:ascii="Times New Roman" w:hAnsi="Times New Roman" w:cs="Times New Roman"/>
          <w:color w:val="000000"/>
          <w:sz w:val="24"/>
          <w:szCs w:val="24"/>
        </w:rPr>
        <w:t>26.3</w:t>
      </w:r>
      <w:r w:rsidR="008653D6">
        <w:rPr>
          <w:rFonts w:ascii="Times New Roman" w:hAnsi="Times New Roman" w:cs="Times New Roman"/>
          <w:color w:val="000000"/>
          <w:sz w:val="24"/>
          <w:szCs w:val="24"/>
        </w:rPr>
        <w:t xml:space="preserve"> percentage-point higher invalidity rate, which corresponds to about </w:t>
      </w:r>
      <w:r w:rsidR="00304B82">
        <w:rPr>
          <w:rFonts w:ascii="Times New Roman" w:hAnsi="Times New Roman" w:cs="Times New Roman"/>
          <w:color w:val="000000"/>
          <w:sz w:val="24"/>
          <w:szCs w:val="24"/>
        </w:rPr>
        <w:t xml:space="preserve">a </w:t>
      </w:r>
      <w:r w:rsidR="00401DDF">
        <w:rPr>
          <w:rFonts w:ascii="Times New Roman" w:hAnsi="Times New Roman" w:cs="Times New Roman"/>
          <w:color w:val="000000"/>
          <w:sz w:val="24"/>
          <w:szCs w:val="24"/>
        </w:rPr>
        <w:t>54.8</w:t>
      </w:r>
      <w:r w:rsidR="008653D6">
        <w:rPr>
          <w:rFonts w:ascii="Times New Roman" w:hAnsi="Times New Roman" w:cs="Times New Roman"/>
          <w:color w:val="000000"/>
          <w:sz w:val="24"/>
          <w:szCs w:val="24"/>
        </w:rPr>
        <w:t>% increase relative to the non-AI baseline.</w:t>
      </w:r>
      <w:r w:rsidR="00C73461">
        <w:rPr>
          <w:rFonts w:ascii="Times New Roman" w:hAnsi="Times New Roman" w:cs="Times New Roman"/>
          <w:color w:val="000000"/>
          <w:sz w:val="24"/>
          <w:szCs w:val="24"/>
        </w:rPr>
        <w:t xml:space="preserve"> As expected, this number tightens as more controls </w:t>
      </w:r>
      <w:r w:rsidR="00BA2B33">
        <w:rPr>
          <w:rFonts w:ascii="Times New Roman" w:hAnsi="Times New Roman" w:cs="Times New Roman"/>
          <w:color w:val="000000"/>
          <w:sz w:val="24"/>
          <w:szCs w:val="24"/>
        </w:rPr>
        <w:t>are added to</w:t>
      </w:r>
      <w:r w:rsidR="00C73461">
        <w:rPr>
          <w:rFonts w:ascii="Times New Roman" w:hAnsi="Times New Roman" w:cs="Times New Roman"/>
          <w:color w:val="000000"/>
          <w:sz w:val="24"/>
          <w:szCs w:val="24"/>
        </w:rPr>
        <w:t xml:space="preserve"> </w:t>
      </w:r>
      <w:r w:rsidR="00BA2B33">
        <w:rPr>
          <w:rFonts w:ascii="Times New Roman" w:hAnsi="Times New Roman" w:cs="Times New Roman"/>
          <w:color w:val="000000"/>
          <w:sz w:val="24"/>
          <w:szCs w:val="24"/>
        </w:rPr>
        <w:t>the</w:t>
      </w:r>
      <w:r w:rsidR="00C73461">
        <w:rPr>
          <w:rFonts w:ascii="Times New Roman" w:hAnsi="Times New Roman" w:cs="Times New Roman"/>
          <w:color w:val="000000"/>
          <w:sz w:val="24"/>
          <w:szCs w:val="24"/>
        </w:rPr>
        <w:t xml:space="preserve"> model.  </w:t>
      </w:r>
      <w:r w:rsidR="008074B4" w:rsidRPr="008074B4">
        <w:rPr>
          <w:rFonts w:ascii="Times New Roman" w:hAnsi="Times New Roman" w:cs="Times New Roman"/>
          <w:color w:val="000000"/>
          <w:sz w:val="24"/>
          <w:szCs w:val="24"/>
        </w:rPr>
        <w:t xml:space="preserve">The sharpest contraction arrives once the fixed effects enter: Model </w:t>
      </w:r>
      <w:r w:rsidR="00C73461">
        <w:rPr>
          <w:rFonts w:ascii="Times New Roman" w:hAnsi="Times New Roman" w:cs="Times New Roman"/>
          <w:color w:val="000000"/>
          <w:sz w:val="24"/>
          <w:szCs w:val="24"/>
        </w:rPr>
        <w:t>3</w:t>
      </w:r>
      <w:r w:rsidR="008074B4" w:rsidRPr="008074B4">
        <w:rPr>
          <w:rFonts w:ascii="Times New Roman" w:hAnsi="Times New Roman" w:cs="Times New Roman"/>
          <w:color w:val="000000"/>
          <w:sz w:val="24"/>
          <w:szCs w:val="24"/>
        </w:rPr>
        <w:t xml:space="preserve"> reduces the estimate to </w:t>
      </w:r>
      <w:r w:rsidR="00401DDF">
        <w:rPr>
          <w:rFonts w:ascii="Times New Roman" w:hAnsi="Times New Roman" w:cs="Times New Roman"/>
          <w:color w:val="000000"/>
          <w:sz w:val="24"/>
          <w:szCs w:val="24"/>
        </w:rPr>
        <w:t>just 9.2</w:t>
      </w:r>
      <w:r w:rsidR="008074B4" w:rsidRPr="008074B4">
        <w:rPr>
          <w:rFonts w:ascii="Times New Roman" w:hAnsi="Times New Roman" w:cs="Times New Roman"/>
          <w:color w:val="000000"/>
          <w:sz w:val="24"/>
          <w:szCs w:val="24"/>
        </w:rPr>
        <w:t xml:space="preserve"> </w:t>
      </w:r>
      <w:r w:rsidR="00C73461">
        <w:rPr>
          <w:rFonts w:ascii="Times New Roman" w:hAnsi="Times New Roman" w:cs="Times New Roman"/>
          <w:color w:val="000000"/>
          <w:sz w:val="24"/>
          <w:szCs w:val="24"/>
        </w:rPr>
        <w:t xml:space="preserve">percentage </w:t>
      </w:r>
      <w:r w:rsidR="008074B4" w:rsidRPr="008074B4">
        <w:rPr>
          <w:rFonts w:ascii="Times New Roman" w:hAnsi="Times New Roman" w:cs="Times New Roman"/>
          <w:color w:val="000000"/>
          <w:sz w:val="24"/>
          <w:szCs w:val="24"/>
        </w:rPr>
        <w:t xml:space="preserve">points, </w:t>
      </w:r>
      <w:r w:rsidR="00C73461">
        <w:rPr>
          <w:rFonts w:ascii="Times New Roman" w:hAnsi="Times New Roman" w:cs="Times New Roman"/>
          <w:color w:val="000000"/>
          <w:sz w:val="24"/>
          <w:szCs w:val="24"/>
        </w:rPr>
        <w:t xml:space="preserve">while the preferred specification of </w:t>
      </w:r>
      <w:r w:rsidR="008074B4" w:rsidRPr="008074B4">
        <w:rPr>
          <w:rFonts w:ascii="Times New Roman" w:hAnsi="Times New Roman" w:cs="Times New Roman"/>
          <w:color w:val="000000"/>
          <w:sz w:val="24"/>
          <w:szCs w:val="24"/>
        </w:rPr>
        <w:t xml:space="preserve">Model </w:t>
      </w:r>
      <w:r w:rsidR="00C73461">
        <w:rPr>
          <w:rFonts w:ascii="Times New Roman" w:hAnsi="Times New Roman" w:cs="Times New Roman"/>
          <w:color w:val="000000"/>
          <w:sz w:val="24"/>
          <w:szCs w:val="24"/>
        </w:rPr>
        <w:t>4</w:t>
      </w:r>
      <w:r w:rsidR="008074B4" w:rsidRPr="008074B4">
        <w:rPr>
          <w:rFonts w:ascii="Times New Roman" w:hAnsi="Times New Roman" w:cs="Times New Roman"/>
          <w:color w:val="000000"/>
          <w:sz w:val="24"/>
          <w:szCs w:val="24"/>
        </w:rPr>
        <w:t xml:space="preserve"> </w:t>
      </w:r>
      <w:r w:rsidR="00C73461">
        <w:rPr>
          <w:rFonts w:ascii="Times New Roman" w:hAnsi="Times New Roman" w:cs="Times New Roman"/>
          <w:color w:val="000000"/>
          <w:sz w:val="24"/>
          <w:szCs w:val="24"/>
        </w:rPr>
        <w:t xml:space="preserve">with full controls and fixed effects </w:t>
      </w:r>
      <w:r w:rsidR="008074B4" w:rsidRPr="008074B4">
        <w:rPr>
          <w:rFonts w:ascii="Times New Roman" w:hAnsi="Times New Roman" w:cs="Times New Roman"/>
          <w:color w:val="000000"/>
          <w:sz w:val="24"/>
          <w:szCs w:val="24"/>
        </w:rPr>
        <w:t xml:space="preserve">brings it to </w:t>
      </w:r>
      <w:r w:rsidR="00E431F3">
        <w:rPr>
          <w:rFonts w:ascii="Times New Roman" w:hAnsi="Times New Roman" w:cs="Times New Roman"/>
          <w:color w:val="000000"/>
          <w:sz w:val="24"/>
          <w:szCs w:val="24"/>
        </w:rPr>
        <w:t>4.</w:t>
      </w:r>
      <w:r w:rsidR="00401DDF">
        <w:rPr>
          <w:rFonts w:ascii="Times New Roman" w:hAnsi="Times New Roman" w:cs="Times New Roman"/>
          <w:color w:val="000000"/>
          <w:sz w:val="24"/>
          <w:szCs w:val="24"/>
        </w:rPr>
        <w:t>86</w:t>
      </w:r>
      <w:r w:rsidR="008653D6">
        <w:rPr>
          <w:rFonts w:ascii="Times New Roman" w:hAnsi="Times New Roman" w:cs="Times New Roman"/>
          <w:color w:val="000000"/>
          <w:sz w:val="24"/>
          <w:szCs w:val="24"/>
        </w:rPr>
        <w:t xml:space="preserve"> percentage</w:t>
      </w:r>
      <w:r w:rsidR="008074B4" w:rsidRPr="008074B4">
        <w:rPr>
          <w:rFonts w:ascii="Times New Roman" w:hAnsi="Times New Roman" w:cs="Times New Roman"/>
          <w:color w:val="000000"/>
          <w:sz w:val="24"/>
          <w:szCs w:val="24"/>
        </w:rPr>
        <w:t xml:space="preserve"> points. </w:t>
      </w:r>
      <w:r w:rsidR="00E34999">
        <w:rPr>
          <w:rFonts w:ascii="Times New Roman" w:hAnsi="Times New Roman" w:cs="Times New Roman"/>
          <w:color w:val="000000"/>
          <w:sz w:val="24"/>
          <w:szCs w:val="24"/>
        </w:rPr>
        <w:t>This means that limited to reaching a merits outcome on invalidity, in the fully controlled specification of Model 4, the probability of invalidity rises from 54</w:t>
      </w:r>
      <w:r w:rsidR="00401DDF">
        <w:rPr>
          <w:rFonts w:ascii="Times New Roman" w:hAnsi="Times New Roman" w:cs="Times New Roman"/>
          <w:color w:val="000000"/>
          <w:sz w:val="24"/>
          <w:szCs w:val="24"/>
        </w:rPr>
        <w:t>.3</w:t>
      </w:r>
      <w:r w:rsidR="00E34999">
        <w:rPr>
          <w:rFonts w:ascii="Times New Roman" w:hAnsi="Times New Roman" w:cs="Times New Roman"/>
          <w:color w:val="000000"/>
          <w:sz w:val="24"/>
          <w:szCs w:val="24"/>
        </w:rPr>
        <w:t>% for non-AI patents to 59</w:t>
      </w:r>
      <w:r w:rsidR="00401DDF">
        <w:rPr>
          <w:rFonts w:ascii="Times New Roman" w:hAnsi="Times New Roman" w:cs="Times New Roman"/>
          <w:color w:val="000000"/>
          <w:sz w:val="24"/>
          <w:szCs w:val="24"/>
        </w:rPr>
        <w:t>.2</w:t>
      </w:r>
      <w:r w:rsidR="00E34999">
        <w:rPr>
          <w:rFonts w:ascii="Times New Roman" w:hAnsi="Times New Roman" w:cs="Times New Roman"/>
          <w:color w:val="000000"/>
          <w:sz w:val="24"/>
          <w:szCs w:val="24"/>
        </w:rPr>
        <w:t>% for AI patents (as defined by the 50% confidence threshold)</w:t>
      </w:r>
      <w:r>
        <w:rPr>
          <w:rFonts w:ascii="Times New Roman" w:hAnsi="Times New Roman" w:cs="Times New Roman"/>
          <w:color w:val="000000"/>
          <w:sz w:val="24"/>
          <w:szCs w:val="24"/>
        </w:rPr>
        <w:t xml:space="preserve">. </w:t>
      </w:r>
      <w:r w:rsidR="00E34999">
        <w:rPr>
          <w:rFonts w:ascii="Times New Roman" w:hAnsi="Times New Roman" w:cs="Times New Roman"/>
          <w:color w:val="000000"/>
          <w:sz w:val="24"/>
          <w:szCs w:val="24"/>
        </w:rPr>
        <w:t xml:space="preserve">This is a </w:t>
      </w:r>
      <w:r w:rsidR="00E431F3">
        <w:rPr>
          <w:rFonts w:ascii="Times New Roman" w:hAnsi="Times New Roman" w:cs="Times New Roman"/>
          <w:color w:val="000000"/>
          <w:sz w:val="24"/>
          <w:szCs w:val="24"/>
        </w:rPr>
        <w:t>4.</w:t>
      </w:r>
      <w:r w:rsidR="00401DDF">
        <w:rPr>
          <w:rFonts w:ascii="Times New Roman" w:hAnsi="Times New Roman" w:cs="Times New Roman"/>
          <w:color w:val="000000"/>
          <w:sz w:val="24"/>
          <w:szCs w:val="24"/>
        </w:rPr>
        <w:t>86</w:t>
      </w:r>
      <w:r w:rsidR="00E431F3">
        <w:rPr>
          <w:rFonts w:ascii="Times New Roman" w:hAnsi="Times New Roman" w:cs="Times New Roman"/>
          <w:color w:val="000000"/>
          <w:sz w:val="24"/>
          <w:szCs w:val="24"/>
        </w:rPr>
        <w:t xml:space="preserve"> </w:t>
      </w:r>
      <w:r w:rsidR="00E34999">
        <w:rPr>
          <w:rFonts w:ascii="Times New Roman" w:hAnsi="Times New Roman" w:cs="Times New Roman"/>
          <w:color w:val="000000"/>
          <w:sz w:val="24"/>
          <w:szCs w:val="24"/>
        </w:rPr>
        <w:t xml:space="preserve">percentage point increase, or a </w:t>
      </w:r>
      <w:r w:rsidR="00401DDF">
        <w:rPr>
          <w:rFonts w:ascii="Times New Roman" w:hAnsi="Times New Roman" w:cs="Times New Roman"/>
          <w:color w:val="000000"/>
          <w:sz w:val="24"/>
          <w:szCs w:val="24"/>
        </w:rPr>
        <w:t>8.9</w:t>
      </w:r>
      <w:r w:rsidR="00E34999">
        <w:rPr>
          <w:rFonts w:ascii="Times New Roman" w:hAnsi="Times New Roman" w:cs="Times New Roman"/>
          <w:color w:val="000000"/>
          <w:sz w:val="24"/>
          <w:szCs w:val="24"/>
        </w:rPr>
        <w:t xml:space="preserve">% increase relative to the non-AI baseline. </w:t>
      </w:r>
      <w:r>
        <w:rPr>
          <w:rFonts w:ascii="Times New Roman" w:hAnsi="Times New Roman" w:cs="Times New Roman"/>
          <w:color w:val="000000"/>
          <w:sz w:val="24"/>
          <w:szCs w:val="24"/>
        </w:rPr>
        <w:t>Thus, while m</w:t>
      </w:r>
      <w:r w:rsidR="008074B4" w:rsidRPr="008074B4">
        <w:rPr>
          <w:rFonts w:ascii="Times New Roman" w:hAnsi="Times New Roman" w:cs="Times New Roman"/>
          <w:color w:val="000000"/>
          <w:sz w:val="24"/>
          <w:szCs w:val="24"/>
        </w:rPr>
        <w:t>ost of the raw AI invalidity gap is compositional, it does not disappear after the model absorbs technology, court, timing, and disposition.</w:t>
      </w:r>
      <w:r>
        <w:rPr>
          <w:rFonts w:ascii="Times New Roman" w:hAnsi="Times New Roman" w:cs="Times New Roman"/>
          <w:color w:val="000000"/>
          <w:sz w:val="24"/>
          <w:szCs w:val="24"/>
        </w:rPr>
        <w:t xml:space="preserve"> There is indeed something about AI patents that results in higher invalidation at the district court.</w:t>
      </w:r>
    </w:p>
    <w:p w14:paraId="5C24BF39" w14:textId="7E472D2D" w:rsidR="007F2C28" w:rsidRDefault="007F2C28" w:rsidP="00D57A20">
      <w:pPr>
        <w:spacing w:line="480" w:lineRule="auto"/>
        <w:ind w:firstLine="720"/>
        <w:rPr>
          <w:color w:val="000000"/>
        </w:rPr>
      </w:pPr>
      <w:r>
        <w:rPr>
          <w:color w:val="000000"/>
        </w:rPr>
        <w:t xml:space="preserve">Table </w:t>
      </w:r>
      <w:r w:rsidR="00401DDF">
        <w:rPr>
          <w:color w:val="000000"/>
        </w:rPr>
        <w:t>3</w:t>
      </w:r>
      <w:r>
        <w:rPr>
          <w:color w:val="000000"/>
        </w:rPr>
        <w:t xml:space="preserve"> turns to looking at </w:t>
      </w:r>
      <w:r w:rsidR="00EE55C2">
        <w:rPr>
          <w:color w:val="000000"/>
        </w:rPr>
        <w:t xml:space="preserve">the </w:t>
      </w:r>
      <w:r>
        <w:rPr>
          <w:color w:val="000000"/>
        </w:rPr>
        <w:t>preferred specification, the former Model 4, with full controls, comparing the three different confidence thresholds of 50%, 86% and 93%</w:t>
      </w:r>
      <w:r w:rsidR="00CE5FC4">
        <w:rPr>
          <w:color w:val="000000"/>
        </w:rPr>
        <w:t xml:space="preserve"> from the </w:t>
      </w:r>
      <w:r w:rsidR="00CE5FC4">
        <w:rPr>
          <w:color w:val="000000"/>
        </w:rPr>
        <w:lastRenderedPageBreak/>
        <w:t>USPTO Database</w:t>
      </w:r>
      <w:r>
        <w:rPr>
          <w:color w:val="000000"/>
        </w:rPr>
        <w:t xml:space="preserve">. </w:t>
      </w:r>
      <w:r w:rsidR="003425B1">
        <w:rPr>
          <w:color w:val="000000"/>
        </w:rPr>
        <w:t xml:space="preserve">Table </w:t>
      </w:r>
      <w:r w:rsidR="00401DDF">
        <w:rPr>
          <w:color w:val="000000"/>
        </w:rPr>
        <w:t xml:space="preserve">3 </w:t>
      </w:r>
      <w:r w:rsidR="003425B1">
        <w:rPr>
          <w:color w:val="000000"/>
        </w:rPr>
        <w:t xml:space="preserve">shows that the invalidity findings of Table </w:t>
      </w:r>
      <w:r w:rsidR="00401DDF">
        <w:rPr>
          <w:color w:val="000000"/>
        </w:rPr>
        <w:t xml:space="preserve">2 </w:t>
      </w:r>
      <w:r w:rsidR="003425B1">
        <w:rPr>
          <w:color w:val="000000"/>
        </w:rPr>
        <w:t xml:space="preserve">are not mere artifacts of defining an AI invention at the lower 50% threshold. </w:t>
      </w:r>
      <w:r w:rsidR="00401DDF">
        <w:rPr>
          <w:color w:val="000000"/>
        </w:rPr>
        <w:t>The</w:t>
      </w:r>
      <w:r>
        <w:rPr>
          <w:color w:val="000000"/>
        </w:rPr>
        <w:t xml:space="preserve"> AI indicator remains statistically significant even as we tighten the definition of what constitutes an AI invention. </w:t>
      </w:r>
      <w:r w:rsidR="00D14143">
        <w:rPr>
          <w:color w:val="000000"/>
        </w:rPr>
        <w:t xml:space="preserve">At the middle AI tier of 86% confidence, the adjusted invalidity probability is </w:t>
      </w:r>
      <w:r w:rsidR="00401DDF">
        <w:rPr>
          <w:color w:val="000000"/>
        </w:rPr>
        <w:t>59.5</w:t>
      </w:r>
      <w:r w:rsidR="00D14143">
        <w:rPr>
          <w:color w:val="000000"/>
        </w:rPr>
        <w:t>% for AI patents compared to 5</w:t>
      </w:r>
      <w:r w:rsidR="00401DDF">
        <w:rPr>
          <w:color w:val="000000"/>
        </w:rPr>
        <w:t>4.6</w:t>
      </w:r>
      <w:r w:rsidR="00D14143">
        <w:rPr>
          <w:color w:val="000000"/>
        </w:rPr>
        <w:t xml:space="preserve">% for non-AI patents. At the highest tier of 93%, the result is </w:t>
      </w:r>
      <w:r w:rsidR="00401DDF">
        <w:rPr>
          <w:color w:val="000000"/>
        </w:rPr>
        <w:t xml:space="preserve">near </w:t>
      </w:r>
      <w:r w:rsidR="00D14143">
        <w:rPr>
          <w:color w:val="000000"/>
        </w:rPr>
        <w:t>the same.</w:t>
      </w:r>
      <w:r w:rsidR="00D14143">
        <w:rPr>
          <w:rStyle w:val="FootnoteReference"/>
          <w:color w:val="000000"/>
        </w:rPr>
        <w:footnoteReference w:id="78"/>
      </w:r>
      <w:r w:rsidR="00D14143">
        <w:rPr>
          <w:color w:val="000000"/>
        </w:rPr>
        <w:t xml:space="preserve"> </w:t>
      </w:r>
      <w:r w:rsidR="009F46AB">
        <w:rPr>
          <w:color w:val="000000"/>
        </w:rPr>
        <w:t>Thus,</w:t>
      </w:r>
      <w:r>
        <w:rPr>
          <w:color w:val="000000"/>
        </w:rPr>
        <w:t xml:space="preserve"> even at the strictest definition of an AI invention from the USPTO data, AI invention remains statistically significant, indicating that AI is associated with a </w:t>
      </w:r>
      <w:r w:rsidR="00401DDF">
        <w:rPr>
          <w:color w:val="000000"/>
        </w:rPr>
        <w:t>9.0%</w:t>
      </w:r>
      <w:r>
        <w:rPr>
          <w:color w:val="000000"/>
        </w:rPr>
        <w:t xml:space="preserve"> higher </w:t>
      </w:r>
      <w:r w:rsidR="00401DDF">
        <w:rPr>
          <w:color w:val="000000"/>
        </w:rPr>
        <w:t xml:space="preserve">relative </w:t>
      </w:r>
      <w:r>
        <w:rPr>
          <w:color w:val="000000"/>
        </w:rPr>
        <w:t>probability of invalidity compared to the non-AI group.</w:t>
      </w:r>
    </w:p>
    <w:p w14:paraId="0ED1B8FC" w14:textId="5E776DF1" w:rsidR="004272B9" w:rsidRPr="006A6423" w:rsidRDefault="004272B9" w:rsidP="006A6423">
      <w:pPr>
        <w:pStyle w:val="Heading3"/>
        <w:jc w:val="center"/>
        <w:rPr>
          <w:rFonts w:cs="Times New Roman"/>
          <w:b/>
          <w:bCs/>
          <w:color w:val="000000" w:themeColor="text1"/>
          <w:sz w:val="24"/>
          <w:szCs w:val="24"/>
        </w:rPr>
      </w:pPr>
      <w:r w:rsidRPr="006A6423">
        <w:rPr>
          <w:rFonts w:cs="Times New Roman"/>
          <w:b/>
          <w:bCs/>
          <w:color w:val="000000" w:themeColor="text1"/>
          <w:sz w:val="24"/>
          <w:szCs w:val="24"/>
        </w:rPr>
        <w:t>Table 3: Invalidity Across AI Tiers</w:t>
      </w:r>
    </w:p>
    <w:tbl>
      <w:tblPr>
        <w:tblStyle w:val="TableGrid"/>
        <w:tblW w:w="9360" w:type="dxa"/>
        <w:tblLayout w:type="fixed"/>
        <w:tblLook w:val="04A0" w:firstRow="1" w:lastRow="0" w:firstColumn="1" w:lastColumn="0" w:noHBand="0" w:noVBand="1"/>
      </w:tblPr>
      <w:tblGrid>
        <w:gridCol w:w="2232"/>
        <w:gridCol w:w="2376"/>
        <w:gridCol w:w="2376"/>
        <w:gridCol w:w="2376"/>
      </w:tblGrid>
      <w:tr w:rsidR="004272B9" w:rsidRPr="004272B9" w14:paraId="54A15942" w14:textId="77777777" w:rsidTr="00287451">
        <w:tc>
          <w:tcPr>
            <w:tcW w:w="2232" w:type="dxa"/>
            <w:shd w:val="clear" w:color="auto" w:fill="F2F2F2"/>
            <w:vAlign w:val="center"/>
          </w:tcPr>
          <w:p w14:paraId="1EB25339" w14:textId="77777777" w:rsidR="004272B9" w:rsidRPr="004272B9" w:rsidRDefault="004272B9" w:rsidP="00287451">
            <w:pPr>
              <w:jc w:val="center"/>
              <w:rPr>
                <w:color w:val="000000" w:themeColor="text1"/>
                <w:sz w:val="20"/>
                <w:szCs w:val="20"/>
              </w:rPr>
            </w:pPr>
            <w:r w:rsidRPr="004272B9">
              <w:rPr>
                <w:b/>
                <w:color w:val="000000" w:themeColor="text1"/>
                <w:sz w:val="20"/>
                <w:szCs w:val="20"/>
              </w:rPr>
              <w:t>Statistic</w:t>
            </w:r>
          </w:p>
        </w:tc>
        <w:tc>
          <w:tcPr>
            <w:tcW w:w="2376" w:type="dxa"/>
            <w:shd w:val="clear" w:color="auto" w:fill="F2F2F2"/>
            <w:vAlign w:val="center"/>
          </w:tcPr>
          <w:p w14:paraId="3A2F639C" w14:textId="77777777" w:rsidR="004272B9" w:rsidRPr="004272B9" w:rsidRDefault="004272B9" w:rsidP="00287451">
            <w:pPr>
              <w:jc w:val="center"/>
              <w:rPr>
                <w:color w:val="000000" w:themeColor="text1"/>
                <w:sz w:val="20"/>
                <w:szCs w:val="20"/>
              </w:rPr>
            </w:pPr>
            <w:r w:rsidRPr="004272B9">
              <w:rPr>
                <w:b/>
                <w:color w:val="000000" w:themeColor="text1"/>
                <w:sz w:val="20"/>
                <w:szCs w:val="20"/>
              </w:rPr>
              <w:t>AI Tier 50%</w:t>
            </w:r>
          </w:p>
        </w:tc>
        <w:tc>
          <w:tcPr>
            <w:tcW w:w="2376" w:type="dxa"/>
            <w:shd w:val="clear" w:color="auto" w:fill="F2F2F2"/>
            <w:vAlign w:val="center"/>
          </w:tcPr>
          <w:p w14:paraId="470D3076" w14:textId="77777777" w:rsidR="004272B9" w:rsidRPr="004272B9" w:rsidRDefault="004272B9" w:rsidP="00287451">
            <w:pPr>
              <w:jc w:val="center"/>
              <w:rPr>
                <w:color w:val="000000" w:themeColor="text1"/>
                <w:sz w:val="20"/>
                <w:szCs w:val="20"/>
              </w:rPr>
            </w:pPr>
            <w:r w:rsidRPr="004272B9">
              <w:rPr>
                <w:b/>
                <w:color w:val="000000" w:themeColor="text1"/>
                <w:sz w:val="20"/>
                <w:szCs w:val="20"/>
              </w:rPr>
              <w:t>AI Tier 86%</w:t>
            </w:r>
          </w:p>
        </w:tc>
        <w:tc>
          <w:tcPr>
            <w:tcW w:w="2376" w:type="dxa"/>
            <w:shd w:val="clear" w:color="auto" w:fill="F2F2F2"/>
            <w:vAlign w:val="center"/>
          </w:tcPr>
          <w:p w14:paraId="60090212" w14:textId="77777777" w:rsidR="004272B9" w:rsidRPr="004272B9" w:rsidRDefault="004272B9" w:rsidP="00287451">
            <w:pPr>
              <w:jc w:val="center"/>
              <w:rPr>
                <w:color w:val="000000" w:themeColor="text1"/>
                <w:sz w:val="20"/>
                <w:szCs w:val="20"/>
              </w:rPr>
            </w:pPr>
            <w:r w:rsidRPr="004272B9">
              <w:rPr>
                <w:b/>
                <w:color w:val="000000" w:themeColor="text1"/>
                <w:sz w:val="20"/>
                <w:szCs w:val="20"/>
              </w:rPr>
              <w:t>AI Tier 93%</w:t>
            </w:r>
          </w:p>
        </w:tc>
      </w:tr>
      <w:tr w:rsidR="004272B9" w:rsidRPr="005A2545" w14:paraId="61F1353A" w14:textId="77777777" w:rsidTr="00287451">
        <w:tc>
          <w:tcPr>
            <w:tcW w:w="2232" w:type="dxa"/>
            <w:vAlign w:val="center"/>
          </w:tcPr>
          <w:p w14:paraId="4CEA2852" w14:textId="77777777" w:rsidR="004272B9" w:rsidRPr="005A2545" w:rsidRDefault="004272B9" w:rsidP="00287451">
            <w:pPr>
              <w:rPr>
                <w:sz w:val="20"/>
                <w:szCs w:val="20"/>
              </w:rPr>
            </w:pPr>
            <w:r w:rsidRPr="005A2545">
              <w:rPr>
                <w:b/>
                <w:sz w:val="20"/>
                <w:szCs w:val="20"/>
              </w:rPr>
              <w:t>AI coefficient</w:t>
            </w:r>
          </w:p>
        </w:tc>
        <w:tc>
          <w:tcPr>
            <w:tcW w:w="2376" w:type="dxa"/>
            <w:vAlign w:val="center"/>
          </w:tcPr>
          <w:p w14:paraId="4E19A87B" w14:textId="77777777" w:rsidR="004272B9" w:rsidRPr="005A2545" w:rsidRDefault="004272B9" w:rsidP="00287451">
            <w:pPr>
              <w:jc w:val="center"/>
              <w:rPr>
                <w:sz w:val="20"/>
                <w:szCs w:val="20"/>
              </w:rPr>
            </w:pPr>
            <w:r w:rsidRPr="005A2545">
              <w:rPr>
                <w:sz w:val="20"/>
                <w:szCs w:val="20"/>
              </w:rPr>
              <w:t>+4.86***</w:t>
            </w:r>
            <w:r w:rsidRPr="005A2545">
              <w:rPr>
                <w:sz w:val="20"/>
                <w:szCs w:val="20"/>
              </w:rPr>
              <w:br/>
              <w:t>(1.29)</w:t>
            </w:r>
          </w:p>
        </w:tc>
        <w:tc>
          <w:tcPr>
            <w:tcW w:w="2376" w:type="dxa"/>
            <w:vAlign w:val="center"/>
          </w:tcPr>
          <w:p w14:paraId="49615697" w14:textId="77777777" w:rsidR="004272B9" w:rsidRPr="005A2545" w:rsidRDefault="004272B9" w:rsidP="00287451">
            <w:pPr>
              <w:jc w:val="center"/>
              <w:rPr>
                <w:sz w:val="20"/>
                <w:szCs w:val="20"/>
              </w:rPr>
            </w:pPr>
            <w:r w:rsidRPr="005A2545">
              <w:rPr>
                <w:sz w:val="20"/>
                <w:szCs w:val="20"/>
              </w:rPr>
              <w:t>+4.90***</w:t>
            </w:r>
            <w:r w:rsidRPr="005A2545">
              <w:rPr>
                <w:sz w:val="20"/>
                <w:szCs w:val="20"/>
              </w:rPr>
              <w:br/>
              <w:t>(1.30)</w:t>
            </w:r>
          </w:p>
        </w:tc>
        <w:tc>
          <w:tcPr>
            <w:tcW w:w="2376" w:type="dxa"/>
            <w:vAlign w:val="center"/>
          </w:tcPr>
          <w:p w14:paraId="3643CBE1" w14:textId="77777777" w:rsidR="004272B9" w:rsidRPr="005A2545" w:rsidRDefault="004272B9" w:rsidP="00287451">
            <w:pPr>
              <w:jc w:val="center"/>
              <w:rPr>
                <w:sz w:val="20"/>
                <w:szCs w:val="20"/>
              </w:rPr>
            </w:pPr>
            <w:r w:rsidRPr="005A2545">
              <w:rPr>
                <w:sz w:val="20"/>
                <w:szCs w:val="20"/>
              </w:rPr>
              <w:t>+4.82***</w:t>
            </w:r>
            <w:r w:rsidRPr="005A2545">
              <w:rPr>
                <w:sz w:val="20"/>
                <w:szCs w:val="20"/>
              </w:rPr>
              <w:br/>
              <w:t>(1.30)</w:t>
            </w:r>
          </w:p>
        </w:tc>
      </w:tr>
      <w:tr w:rsidR="004272B9" w:rsidRPr="005A2545" w14:paraId="5FBAD92B" w14:textId="77777777" w:rsidTr="00287451">
        <w:tc>
          <w:tcPr>
            <w:tcW w:w="2232" w:type="dxa"/>
            <w:vAlign w:val="center"/>
          </w:tcPr>
          <w:p w14:paraId="7D93DEA3" w14:textId="77777777" w:rsidR="004272B9" w:rsidRPr="005A2545" w:rsidRDefault="004272B9" w:rsidP="00287451">
            <w:pPr>
              <w:rPr>
                <w:sz w:val="20"/>
                <w:szCs w:val="20"/>
              </w:rPr>
            </w:pPr>
            <w:r w:rsidRPr="005A2545">
              <w:rPr>
                <w:b/>
                <w:sz w:val="20"/>
                <w:szCs w:val="20"/>
              </w:rPr>
              <w:t>Alpha</w:t>
            </w:r>
          </w:p>
        </w:tc>
        <w:tc>
          <w:tcPr>
            <w:tcW w:w="2376" w:type="dxa"/>
            <w:vAlign w:val="center"/>
          </w:tcPr>
          <w:p w14:paraId="2CD11AFD" w14:textId="77777777" w:rsidR="004272B9" w:rsidRPr="005A2545" w:rsidRDefault="004272B9" w:rsidP="00287451">
            <w:pPr>
              <w:jc w:val="center"/>
              <w:rPr>
                <w:sz w:val="20"/>
                <w:szCs w:val="20"/>
              </w:rPr>
            </w:pPr>
            <w:r w:rsidRPr="005A2545">
              <w:rPr>
                <w:sz w:val="20"/>
                <w:szCs w:val="20"/>
              </w:rPr>
              <w:t>0.01</w:t>
            </w:r>
          </w:p>
        </w:tc>
        <w:tc>
          <w:tcPr>
            <w:tcW w:w="2376" w:type="dxa"/>
            <w:vAlign w:val="center"/>
          </w:tcPr>
          <w:p w14:paraId="6D05147B" w14:textId="77777777" w:rsidR="004272B9" w:rsidRPr="005A2545" w:rsidRDefault="004272B9" w:rsidP="00287451">
            <w:pPr>
              <w:jc w:val="center"/>
              <w:rPr>
                <w:sz w:val="20"/>
                <w:szCs w:val="20"/>
              </w:rPr>
            </w:pPr>
            <w:r w:rsidRPr="005A2545">
              <w:rPr>
                <w:sz w:val="20"/>
                <w:szCs w:val="20"/>
              </w:rPr>
              <w:t>0.01</w:t>
            </w:r>
          </w:p>
        </w:tc>
        <w:tc>
          <w:tcPr>
            <w:tcW w:w="2376" w:type="dxa"/>
            <w:vAlign w:val="center"/>
          </w:tcPr>
          <w:p w14:paraId="76EF91D7" w14:textId="77777777" w:rsidR="004272B9" w:rsidRPr="005A2545" w:rsidRDefault="004272B9" w:rsidP="00287451">
            <w:pPr>
              <w:jc w:val="center"/>
              <w:rPr>
                <w:sz w:val="20"/>
                <w:szCs w:val="20"/>
              </w:rPr>
            </w:pPr>
            <w:r w:rsidRPr="005A2545">
              <w:rPr>
                <w:sz w:val="20"/>
                <w:szCs w:val="20"/>
              </w:rPr>
              <w:t>0.01</w:t>
            </w:r>
          </w:p>
        </w:tc>
      </w:tr>
      <w:tr w:rsidR="004272B9" w:rsidRPr="005A2545" w14:paraId="5E64C3AA" w14:textId="77777777" w:rsidTr="00287451">
        <w:tc>
          <w:tcPr>
            <w:tcW w:w="2232" w:type="dxa"/>
            <w:vAlign w:val="center"/>
          </w:tcPr>
          <w:p w14:paraId="1E2A2E66" w14:textId="77777777" w:rsidR="004272B9" w:rsidRPr="005A2545" w:rsidRDefault="004272B9" w:rsidP="00287451">
            <w:pPr>
              <w:rPr>
                <w:sz w:val="20"/>
                <w:szCs w:val="20"/>
              </w:rPr>
            </w:pPr>
            <w:r w:rsidRPr="005A2545">
              <w:rPr>
                <w:b/>
                <w:sz w:val="20"/>
                <w:szCs w:val="20"/>
              </w:rPr>
              <w:t>Pr(non-AI)</w:t>
            </w:r>
          </w:p>
        </w:tc>
        <w:tc>
          <w:tcPr>
            <w:tcW w:w="2376" w:type="dxa"/>
            <w:vAlign w:val="center"/>
          </w:tcPr>
          <w:p w14:paraId="5342C87C" w14:textId="77777777" w:rsidR="004272B9" w:rsidRPr="005A2545" w:rsidRDefault="004272B9" w:rsidP="00287451">
            <w:pPr>
              <w:jc w:val="center"/>
              <w:rPr>
                <w:sz w:val="20"/>
                <w:szCs w:val="20"/>
              </w:rPr>
            </w:pPr>
            <w:r w:rsidRPr="005A2545">
              <w:rPr>
                <w:sz w:val="20"/>
                <w:szCs w:val="20"/>
              </w:rPr>
              <w:t>54.3%</w:t>
            </w:r>
          </w:p>
        </w:tc>
        <w:tc>
          <w:tcPr>
            <w:tcW w:w="2376" w:type="dxa"/>
            <w:vAlign w:val="center"/>
          </w:tcPr>
          <w:p w14:paraId="44121730" w14:textId="77777777" w:rsidR="004272B9" w:rsidRPr="005A2545" w:rsidRDefault="004272B9" w:rsidP="00287451">
            <w:pPr>
              <w:jc w:val="center"/>
              <w:rPr>
                <w:sz w:val="20"/>
                <w:szCs w:val="20"/>
              </w:rPr>
            </w:pPr>
            <w:r w:rsidRPr="005A2545">
              <w:rPr>
                <w:sz w:val="20"/>
                <w:szCs w:val="20"/>
              </w:rPr>
              <w:t>54.6%</w:t>
            </w:r>
          </w:p>
        </w:tc>
        <w:tc>
          <w:tcPr>
            <w:tcW w:w="2376" w:type="dxa"/>
            <w:vAlign w:val="center"/>
          </w:tcPr>
          <w:p w14:paraId="051053A0" w14:textId="77777777" w:rsidR="004272B9" w:rsidRPr="005A2545" w:rsidRDefault="004272B9" w:rsidP="00287451">
            <w:pPr>
              <w:jc w:val="center"/>
              <w:rPr>
                <w:sz w:val="20"/>
                <w:szCs w:val="20"/>
              </w:rPr>
            </w:pPr>
            <w:r w:rsidRPr="005A2545">
              <w:rPr>
                <w:sz w:val="20"/>
                <w:szCs w:val="20"/>
              </w:rPr>
              <w:t>54.8%</w:t>
            </w:r>
          </w:p>
        </w:tc>
      </w:tr>
      <w:tr w:rsidR="004272B9" w:rsidRPr="005A2545" w14:paraId="7D3ACECA" w14:textId="77777777" w:rsidTr="00287451">
        <w:tc>
          <w:tcPr>
            <w:tcW w:w="2232" w:type="dxa"/>
            <w:vAlign w:val="center"/>
          </w:tcPr>
          <w:p w14:paraId="5AB346D8" w14:textId="77777777" w:rsidR="004272B9" w:rsidRPr="005A2545" w:rsidRDefault="004272B9" w:rsidP="00287451">
            <w:pPr>
              <w:rPr>
                <w:sz w:val="20"/>
                <w:szCs w:val="20"/>
              </w:rPr>
            </w:pPr>
            <w:r w:rsidRPr="005A2545">
              <w:rPr>
                <w:b/>
                <w:sz w:val="20"/>
                <w:szCs w:val="20"/>
              </w:rPr>
              <w:t>Pr(AI)</w:t>
            </w:r>
          </w:p>
        </w:tc>
        <w:tc>
          <w:tcPr>
            <w:tcW w:w="2376" w:type="dxa"/>
            <w:vAlign w:val="center"/>
          </w:tcPr>
          <w:p w14:paraId="2AB1B080" w14:textId="77777777" w:rsidR="004272B9" w:rsidRPr="005A2545" w:rsidRDefault="004272B9" w:rsidP="00287451">
            <w:pPr>
              <w:jc w:val="center"/>
              <w:rPr>
                <w:sz w:val="20"/>
                <w:szCs w:val="20"/>
              </w:rPr>
            </w:pPr>
            <w:r w:rsidRPr="005A2545">
              <w:rPr>
                <w:sz w:val="20"/>
                <w:szCs w:val="20"/>
              </w:rPr>
              <w:t>59.2%</w:t>
            </w:r>
          </w:p>
        </w:tc>
        <w:tc>
          <w:tcPr>
            <w:tcW w:w="2376" w:type="dxa"/>
            <w:vAlign w:val="center"/>
          </w:tcPr>
          <w:p w14:paraId="7DCCE4C7" w14:textId="77777777" w:rsidR="004272B9" w:rsidRPr="005A2545" w:rsidRDefault="004272B9" w:rsidP="00287451">
            <w:pPr>
              <w:jc w:val="center"/>
              <w:rPr>
                <w:sz w:val="20"/>
                <w:szCs w:val="20"/>
              </w:rPr>
            </w:pPr>
            <w:r w:rsidRPr="005A2545">
              <w:rPr>
                <w:sz w:val="20"/>
                <w:szCs w:val="20"/>
              </w:rPr>
              <w:t>59.5%</w:t>
            </w:r>
          </w:p>
        </w:tc>
        <w:tc>
          <w:tcPr>
            <w:tcW w:w="2376" w:type="dxa"/>
            <w:vAlign w:val="center"/>
          </w:tcPr>
          <w:p w14:paraId="3871B508" w14:textId="77777777" w:rsidR="004272B9" w:rsidRPr="005A2545" w:rsidRDefault="004272B9" w:rsidP="00287451">
            <w:pPr>
              <w:jc w:val="center"/>
              <w:rPr>
                <w:sz w:val="20"/>
                <w:szCs w:val="20"/>
              </w:rPr>
            </w:pPr>
            <w:r w:rsidRPr="005A2545">
              <w:rPr>
                <w:sz w:val="20"/>
                <w:szCs w:val="20"/>
              </w:rPr>
              <w:t>59.6%</w:t>
            </w:r>
          </w:p>
        </w:tc>
      </w:tr>
      <w:tr w:rsidR="004272B9" w:rsidRPr="005A2545" w14:paraId="484E5B98" w14:textId="77777777" w:rsidTr="00287451">
        <w:tc>
          <w:tcPr>
            <w:tcW w:w="2232" w:type="dxa"/>
            <w:vAlign w:val="center"/>
          </w:tcPr>
          <w:p w14:paraId="541C283F" w14:textId="77777777" w:rsidR="004272B9" w:rsidRPr="005A2545" w:rsidRDefault="004272B9" w:rsidP="00287451">
            <w:pPr>
              <w:rPr>
                <w:sz w:val="20"/>
                <w:szCs w:val="20"/>
              </w:rPr>
            </w:pPr>
            <w:r w:rsidRPr="005A2545">
              <w:rPr>
                <w:b/>
                <w:sz w:val="20"/>
                <w:szCs w:val="20"/>
              </w:rPr>
              <w:t>Relative change</w:t>
            </w:r>
          </w:p>
        </w:tc>
        <w:tc>
          <w:tcPr>
            <w:tcW w:w="2376" w:type="dxa"/>
            <w:vAlign w:val="center"/>
          </w:tcPr>
          <w:p w14:paraId="5740E54F" w14:textId="77777777" w:rsidR="004272B9" w:rsidRPr="005A2545" w:rsidRDefault="004272B9" w:rsidP="00287451">
            <w:pPr>
              <w:jc w:val="center"/>
              <w:rPr>
                <w:sz w:val="20"/>
                <w:szCs w:val="20"/>
              </w:rPr>
            </w:pPr>
            <w:r w:rsidRPr="005A2545">
              <w:rPr>
                <w:sz w:val="20"/>
                <w:szCs w:val="20"/>
              </w:rPr>
              <w:t>+8.9%</w:t>
            </w:r>
          </w:p>
        </w:tc>
        <w:tc>
          <w:tcPr>
            <w:tcW w:w="2376" w:type="dxa"/>
            <w:vAlign w:val="center"/>
          </w:tcPr>
          <w:p w14:paraId="6FA9DB2B" w14:textId="77777777" w:rsidR="004272B9" w:rsidRPr="005A2545" w:rsidRDefault="004272B9" w:rsidP="00287451">
            <w:pPr>
              <w:jc w:val="center"/>
              <w:rPr>
                <w:sz w:val="20"/>
                <w:szCs w:val="20"/>
              </w:rPr>
            </w:pPr>
            <w:r w:rsidRPr="005A2545">
              <w:rPr>
                <w:sz w:val="20"/>
                <w:szCs w:val="20"/>
              </w:rPr>
              <w:t>+9.0%</w:t>
            </w:r>
          </w:p>
        </w:tc>
        <w:tc>
          <w:tcPr>
            <w:tcW w:w="2376" w:type="dxa"/>
            <w:vAlign w:val="center"/>
          </w:tcPr>
          <w:p w14:paraId="6249E7CC" w14:textId="77777777" w:rsidR="004272B9" w:rsidRPr="005A2545" w:rsidRDefault="004272B9" w:rsidP="00287451">
            <w:pPr>
              <w:jc w:val="center"/>
              <w:rPr>
                <w:sz w:val="20"/>
                <w:szCs w:val="20"/>
              </w:rPr>
            </w:pPr>
            <w:r w:rsidRPr="005A2545">
              <w:rPr>
                <w:sz w:val="20"/>
                <w:szCs w:val="20"/>
              </w:rPr>
              <w:t>+8.8%</w:t>
            </w:r>
          </w:p>
        </w:tc>
      </w:tr>
      <w:tr w:rsidR="004272B9" w:rsidRPr="005A2545" w14:paraId="2C62E862" w14:textId="77777777" w:rsidTr="00287451">
        <w:tc>
          <w:tcPr>
            <w:tcW w:w="2232" w:type="dxa"/>
            <w:vAlign w:val="center"/>
          </w:tcPr>
          <w:p w14:paraId="011CB1EF" w14:textId="77777777" w:rsidR="004272B9" w:rsidRPr="005A2545" w:rsidRDefault="004272B9" w:rsidP="00287451">
            <w:pPr>
              <w:rPr>
                <w:sz w:val="20"/>
                <w:szCs w:val="20"/>
              </w:rPr>
            </w:pPr>
            <w:r w:rsidRPr="005A2545">
              <w:rPr>
                <w:b/>
                <w:sz w:val="20"/>
                <w:szCs w:val="20"/>
              </w:rPr>
              <w:t>N</w:t>
            </w:r>
          </w:p>
        </w:tc>
        <w:tc>
          <w:tcPr>
            <w:tcW w:w="2376" w:type="dxa"/>
            <w:vAlign w:val="center"/>
          </w:tcPr>
          <w:p w14:paraId="44E2DDE3" w14:textId="77777777" w:rsidR="004272B9" w:rsidRPr="005A2545" w:rsidRDefault="004272B9" w:rsidP="00287451">
            <w:pPr>
              <w:jc w:val="center"/>
              <w:rPr>
                <w:sz w:val="20"/>
                <w:szCs w:val="20"/>
              </w:rPr>
            </w:pPr>
            <w:r w:rsidRPr="005A2545">
              <w:rPr>
                <w:sz w:val="20"/>
                <w:szCs w:val="20"/>
              </w:rPr>
              <w:t>5,751</w:t>
            </w:r>
          </w:p>
        </w:tc>
        <w:tc>
          <w:tcPr>
            <w:tcW w:w="2376" w:type="dxa"/>
            <w:vAlign w:val="center"/>
          </w:tcPr>
          <w:p w14:paraId="4E6732EB" w14:textId="77777777" w:rsidR="004272B9" w:rsidRPr="005A2545" w:rsidRDefault="004272B9" w:rsidP="00287451">
            <w:pPr>
              <w:jc w:val="center"/>
              <w:rPr>
                <w:sz w:val="20"/>
                <w:szCs w:val="20"/>
              </w:rPr>
            </w:pPr>
            <w:r w:rsidRPr="005A2545">
              <w:rPr>
                <w:sz w:val="20"/>
                <w:szCs w:val="20"/>
              </w:rPr>
              <w:t>5,751</w:t>
            </w:r>
          </w:p>
        </w:tc>
        <w:tc>
          <w:tcPr>
            <w:tcW w:w="2376" w:type="dxa"/>
            <w:vAlign w:val="center"/>
          </w:tcPr>
          <w:p w14:paraId="6819446D" w14:textId="77777777" w:rsidR="004272B9" w:rsidRPr="005A2545" w:rsidRDefault="004272B9" w:rsidP="00287451">
            <w:pPr>
              <w:jc w:val="center"/>
              <w:rPr>
                <w:sz w:val="20"/>
                <w:szCs w:val="20"/>
              </w:rPr>
            </w:pPr>
            <w:r w:rsidRPr="005A2545">
              <w:rPr>
                <w:sz w:val="20"/>
                <w:szCs w:val="20"/>
              </w:rPr>
              <w:t>5,751</w:t>
            </w:r>
          </w:p>
        </w:tc>
      </w:tr>
      <w:tr w:rsidR="004272B9" w:rsidRPr="005A2545" w14:paraId="446C11E4" w14:textId="77777777" w:rsidTr="00287451">
        <w:tc>
          <w:tcPr>
            <w:tcW w:w="2232" w:type="dxa"/>
            <w:vAlign w:val="center"/>
          </w:tcPr>
          <w:p w14:paraId="6979C8D2" w14:textId="77777777" w:rsidR="004272B9" w:rsidRPr="005A2545" w:rsidRDefault="004272B9" w:rsidP="00287451">
            <w:pPr>
              <w:rPr>
                <w:sz w:val="20"/>
                <w:szCs w:val="20"/>
              </w:rPr>
            </w:pPr>
            <w:r w:rsidRPr="005A2545">
              <w:rPr>
                <w:b/>
                <w:sz w:val="20"/>
                <w:szCs w:val="20"/>
              </w:rPr>
              <w:t>R2</w:t>
            </w:r>
          </w:p>
        </w:tc>
        <w:tc>
          <w:tcPr>
            <w:tcW w:w="2376" w:type="dxa"/>
            <w:vAlign w:val="center"/>
          </w:tcPr>
          <w:p w14:paraId="001A1C99" w14:textId="77777777" w:rsidR="004272B9" w:rsidRPr="005A2545" w:rsidRDefault="004272B9" w:rsidP="00287451">
            <w:pPr>
              <w:jc w:val="center"/>
              <w:rPr>
                <w:sz w:val="20"/>
                <w:szCs w:val="20"/>
              </w:rPr>
            </w:pPr>
            <w:r w:rsidRPr="005A2545">
              <w:rPr>
                <w:sz w:val="20"/>
                <w:szCs w:val="20"/>
              </w:rPr>
              <w:t>0.404</w:t>
            </w:r>
          </w:p>
        </w:tc>
        <w:tc>
          <w:tcPr>
            <w:tcW w:w="2376" w:type="dxa"/>
            <w:vAlign w:val="center"/>
          </w:tcPr>
          <w:p w14:paraId="04C7DA2D" w14:textId="77777777" w:rsidR="004272B9" w:rsidRPr="005A2545" w:rsidRDefault="004272B9" w:rsidP="00287451">
            <w:pPr>
              <w:jc w:val="center"/>
              <w:rPr>
                <w:sz w:val="20"/>
                <w:szCs w:val="20"/>
              </w:rPr>
            </w:pPr>
            <w:r w:rsidRPr="005A2545">
              <w:rPr>
                <w:sz w:val="20"/>
                <w:szCs w:val="20"/>
              </w:rPr>
              <w:t>0.403</w:t>
            </w:r>
          </w:p>
        </w:tc>
        <w:tc>
          <w:tcPr>
            <w:tcW w:w="2376" w:type="dxa"/>
            <w:vAlign w:val="center"/>
          </w:tcPr>
          <w:p w14:paraId="0209937F" w14:textId="77777777" w:rsidR="004272B9" w:rsidRPr="005A2545" w:rsidRDefault="004272B9" w:rsidP="00287451">
            <w:pPr>
              <w:jc w:val="center"/>
              <w:rPr>
                <w:sz w:val="20"/>
                <w:szCs w:val="20"/>
              </w:rPr>
            </w:pPr>
            <w:r w:rsidRPr="005A2545">
              <w:rPr>
                <w:sz w:val="20"/>
                <w:szCs w:val="20"/>
              </w:rPr>
              <w:t>0.403</w:t>
            </w:r>
          </w:p>
        </w:tc>
      </w:tr>
    </w:tbl>
    <w:p w14:paraId="34B7EB7C" w14:textId="070FBFDB" w:rsidR="004272B9" w:rsidRPr="004272B9" w:rsidRDefault="004272B9" w:rsidP="004272B9">
      <w:pPr>
        <w:pStyle w:val="Caption"/>
        <w:rPr>
          <w:rFonts w:ascii="Times New Roman" w:hAnsi="Times New Roman" w:cs="Times New Roman"/>
          <w:sz w:val="20"/>
          <w:szCs w:val="20"/>
        </w:rPr>
      </w:pPr>
      <w:r w:rsidRPr="005A2545">
        <w:rPr>
          <w:rFonts w:ascii="Times New Roman" w:hAnsi="Times New Roman" w:cs="Times New Roman"/>
          <w:color w:val="505050"/>
          <w:sz w:val="20"/>
          <w:szCs w:val="20"/>
        </w:rPr>
        <w:t xml:space="preserve">Cells report coefficient in percentage points, with patent-clustered standard error in parentheses. </w:t>
      </w:r>
    </w:p>
    <w:p w14:paraId="4B37EAC6" w14:textId="294C9261" w:rsidR="00AA6269" w:rsidRDefault="00B323D7" w:rsidP="00D57A20">
      <w:pPr>
        <w:spacing w:line="480" w:lineRule="auto"/>
        <w:ind w:firstLine="720"/>
      </w:pPr>
      <w:r>
        <w:rPr>
          <w:color w:val="000000"/>
        </w:rPr>
        <w:t xml:space="preserve">Table </w:t>
      </w:r>
      <w:r w:rsidR="00401DDF">
        <w:rPr>
          <w:color w:val="000000"/>
        </w:rPr>
        <w:t>4</w:t>
      </w:r>
      <w:r>
        <w:rPr>
          <w:color w:val="000000"/>
        </w:rPr>
        <w:t xml:space="preserve"> </w:t>
      </w:r>
      <w:r w:rsidR="008653D6">
        <w:rPr>
          <w:color w:val="000000"/>
        </w:rPr>
        <w:t xml:space="preserve">then </w:t>
      </w:r>
      <w:r w:rsidR="008074B4" w:rsidRPr="008074B4">
        <w:rPr>
          <w:color w:val="000000"/>
        </w:rPr>
        <w:t>focus</w:t>
      </w:r>
      <w:r w:rsidR="00CE5FC4">
        <w:rPr>
          <w:color w:val="000000"/>
        </w:rPr>
        <w:t>es</w:t>
      </w:r>
      <w:r w:rsidR="008074B4" w:rsidRPr="008074B4">
        <w:rPr>
          <w:color w:val="000000"/>
        </w:rPr>
        <w:t xml:space="preserve"> </w:t>
      </w:r>
      <w:r w:rsidR="008653D6">
        <w:rPr>
          <w:color w:val="000000"/>
        </w:rPr>
        <w:t>only on the cases where the court invalidates the patent</w:t>
      </w:r>
      <w:r w:rsidR="006F1A65">
        <w:rPr>
          <w:color w:val="000000"/>
        </w:rPr>
        <w:t xml:space="preserve"> within the broader merits-only sample</w:t>
      </w:r>
      <w:r w:rsidR="008653D6">
        <w:rPr>
          <w:color w:val="000000"/>
        </w:rPr>
        <w:t xml:space="preserve">. </w:t>
      </w:r>
      <w:r w:rsidR="00304B82">
        <w:rPr>
          <w:color w:val="000000"/>
        </w:rPr>
        <w:t xml:space="preserve">Using the preferred specification of the former Model 4 as the baseline, </w:t>
      </w:r>
      <w:r w:rsidR="00AA6269">
        <w:rPr>
          <w:color w:val="000000"/>
        </w:rPr>
        <w:t>I re-estimated the doctrine regressions on the sample restricted to patent-case observations in which the court ultimately found the patent invalid.</w:t>
      </w:r>
      <w:r w:rsidR="00CB3F03">
        <w:rPr>
          <w:rStyle w:val="FootnoteReference"/>
          <w:color w:val="000000"/>
        </w:rPr>
        <w:footnoteReference w:id="79"/>
      </w:r>
      <w:r w:rsidR="00AA6269">
        <w:rPr>
          <w:color w:val="000000"/>
        </w:rPr>
        <w:t xml:space="preserve"> On that conditional </w:t>
      </w:r>
      <w:r w:rsidR="00AA6269">
        <w:rPr>
          <w:color w:val="000000"/>
        </w:rPr>
        <w:lastRenderedPageBreak/>
        <w:t xml:space="preserve">invalidity sample, the results on section 101 are the </w:t>
      </w:r>
      <w:r w:rsidR="00EA276C">
        <w:rPr>
          <w:color w:val="000000"/>
        </w:rPr>
        <w:t>strongest substantively</w:t>
      </w:r>
      <w:r w:rsidR="00AA6269">
        <w:rPr>
          <w:color w:val="000000"/>
        </w:rPr>
        <w:t xml:space="preserve">, achieving statistical significance at 99% confidence. The coefficient for the AI indicator where AI is defined at the 50% threshold is </w:t>
      </w:r>
      <w:r w:rsidR="00FD3DB1">
        <w:rPr>
          <w:color w:val="000000"/>
        </w:rPr>
        <w:t>8.34</w:t>
      </w:r>
      <w:r w:rsidR="00AA6269">
        <w:rPr>
          <w:color w:val="000000"/>
        </w:rPr>
        <w:t xml:space="preserve">, implying that, among patents that the court invalidated, AI patents are about </w:t>
      </w:r>
      <w:r w:rsidR="0043206C">
        <w:rPr>
          <w:color w:val="000000"/>
        </w:rPr>
        <w:t>8.3</w:t>
      </w:r>
      <w:r w:rsidR="00FD3DB1">
        <w:rPr>
          <w:color w:val="000000"/>
        </w:rPr>
        <w:t>4</w:t>
      </w:r>
      <w:r w:rsidR="00AA6269">
        <w:rPr>
          <w:color w:val="000000"/>
        </w:rPr>
        <w:t xml:space="preserve"> percentage points more likely than non-AI patents to be invalidated under section 101 compared to other statutory sections. </w:t>
      </w:r>
      <w:r w:rsidR="00492EB3">
        <w:rPr>
          <w:color w:val="000000"/>
        </w:rPr>
        <w:t>Put another way, i</w:t>
      </w:r>
      <w:r w:rsidR="00C15E25">
        <w:rPr>
          <w:color w:val="000000"/>
        </w:rPr>
        <w:t>n the invalid-only specification</w:t>
      </w:r>
      <w:r w:rsidR="003425B1">
        <w:rPr>
          <w:color w:val="000000"/>
        </w:rPr>
        <w:t xml:space="preserve"> among the merits sample</w:t>
      </w:r>
      <w:r w:rsidR="00C15E25">
        <w:rPr>
          <w:color w:val="000000"/>
        </w:rPr>
        <w:t xml:space="preserve">, the adjusted probability that </w:t>
      </w:r>
      <w:r w:rsidR="003425B1">
        <w:rPr>
          <w:color w:val="000000"/>
        </w:rPr>
        <w:t>the invalidity ruling rests on section 101 is 3</w:t>
      </w:r>
      <w:r w:rsidR="0043206C">
        <w:rPr>
          <w:color w:val="000000"/>
        </w:rPr>
        <w:t>7.5</w:t>
      </w:r>
      <w:r w:rsidR="003425B1">
        <w:rPr>
          <w:color w:val="000000"/>
        </w:rPr>
        <w:t>% for non-AI patents and 4</w:t>
      </w:r>
      <w:r w:rsidR="0043206C">
        <w:rPr>
          <w:color w:val="000000"/>
        </w:rPr>
        <w:t>5.8</w:t>
      </w:r>
      <w:r w:rsidR="003425B1">
        <w:rPr>
          <w:color w:val="000000"/>
        </w:rPr>
        <w:t xml:space="preserve">% for AI patents. That </w:t>
      </w:r>
      <w:r w:rsidR="0043206C">
        <w:rPr>
          <w:color w:val="000000"/>
        </w:rPr>
        <w:t>8.3</w:t>
      </w:r>
      <w:r w:rsidR="003425B1">
        <w:rPr>
          <w:color w:val="000000"/>
        </w:rPr>
        <w:t xml:space="preserve"> percentage point gap represents a </w:t>
      </w:r>
      <w:r w:rsidR="0043206C">
        <w:rPr>
          <w:color w:val="000000"/>
        </w:rPr>
        <w:t>22.2</w:t>
      </w:r>
      <w:r w:rsidR="003425B1">
        <w:rPr>
          <w:color w:val="000000"/>
        </w:rPr>
        <w:t xml:space="preserve">% relative increase. </w:t>
      </w:r>
      <w:r w:rsidR="00AA6269">
        <w:rPr>
          <w:color w:val="000000"/>
        </w:rPr>
        <w:t xml:space="preserve">The same result holds under the </w:t>
      </w:r>
      <w:r w:rsidR="00AA6269" w:rsidRPr="004272B9">
        <w:rPr>
          <w:color w:val="000000"/>
        </w:rPr>
        <w:t xml:space="preserve">stricter </w:t>
      </w:r>
      <w:r w:rsidR="00AA6269" w:rsidRPr="004272B9">
        <w:t>AI definitions</w:t>
      </w:r>
      <w:r w:rsidR="004272B9" w:rsidRPr="004272B9">
        <w:t xml:space="preserve">, </w:t>
      </w:r>
      <w:r w:rsidR="00C15E25" w:rsidRPr="004272B9">
        <w:t>corresponding to a 17-18% relative increase even under the tighter definition</w:t>
      </w:r>
      <w:r w:rsidR="00AA6269" w:rsidRPr="004272B9">
        <w:t xml:space="preserve">. </w:t>
      </w:r>
      <w:r w:rsidR="003425B1" w:rsidRPr="004272B9">
        <w:t>T</w:t>
      </w:r>
      <w:r w:rsidR="00AA6269" w:rsidRPr="004272B9">
        <w:t>hese are substantively large shifts.</w:t>
      </w:r>
    </w:p>
    <w:p w14:paraId="48E2532B" w14:textId="6088FFA2" w:rsidR="004272B9" w:rsidRPr="006A6423" w:rsidRDefault="004272B9" w:rsidP="006A6423">
      <w:pPr>
        <w:pStyle w:val="Heading3"/>
        <w:jc w:val="center"/>
        <w:rPr>
          <w:rFonts w:cs="Times New Roman"/>
          <w:b/>
          <w:bCs/>
          <w:color w:val="auto"/>
          <w:sz w:val="24"/>
          <w:szCs w:val="24"/>
        </w:rPr>
      </w:pPr>
      <w:r w:rsidRPr="006A6423">
        <w:rPr>
          <w:rFonts w:cs="Times New Roman"/>
          <w:b/>
          <w:bCs/>
          <w:color w:val="auto"/>
          <w:sz w:val="24"/>
          <w:szCs w:val="24"/>
        </w:rPr>
        <w:t>Table 4: Statutory Sections at AI Tier 50%</w:t>
      </w:r>
    </w:p>
    <w:tbl>
      <w:tblPr>
        <w:tblStyle w:val="TableGrid"/>
        <w:tblW w:w="9360" w:type="dxa"/>
        <w:tblLayout w:type="fixed"/>
        <w:tblLook w:val="04A0" w:firstRow="1" w:lastRow="0" w:firstColumn="1" w:lastColumn="0" w:noHBand="0" w:noVBand="1"/>
      </w:tblPr>
      <w:tblGrid>
        <w:gridCol w:w="1700"/>
        <w:gridCol w:w="1278"/>
        <w:gridCol w:w="1277"/>
        <w:gridCol w:w="1277"/>
        <w:gridCol w:w="1277"/>
        <w:gridCol w:w="1277"/>
        <w:gridCol w:w="1274"/>
      </w:tblGrid>
      <w:tr w:rsidR="004272B9" w:rsidRPr="005A2545" w14:paraId="3C4501FB" w14:textId="77777777" w:rsidTr="00287451">
        <w:tc>
          <w:tcPr>
            <w:tcW w:w="1699" w:type="dxa"/>
            <w:shd w:val="clear" w:color="auto" w:fill="F2F2F2"/>
            <w:vAlign w:val="center"/>
          </w:tcPr>
          <w:p w14:paraId="2D9D6D24" w14:textId="77777777" w:rsidR="004272B9" w:rsidRPr="005A2545" w:rsidRDefault="004272B9" w:rsidP="00287451">
            <w:pPr>
              <w:jc w:val="center"/>
              <w:rPr>
                <w:sz w:val="20"/>
                <w:szCs w:val="20"/>
              </w:rPr>
            </w:pPr>
            <w:r w:rsidRPr="005A2545">
              <w:rPr>
                <w:b/>
                <w:sz w:val="20"/>
                <w:szCs w:val="20"/>
              </w:rPr>
              <w:t>Statistic</w:t>
            </w:r>
          </w:p>
        </w:tc>
        <w:tc>
          <w:tcPr>
            <w:tcW w:w="1277" w:type="dxa"/>
            <w:shd w:val="clear" w:color="auto" w:fill="F2F2F2"/>
            <w:vAlign w:val="center"/>
          </w:tcPr>
          <w:p w14:paraId="0B70D3BA" w14:textId="77777777" w:rsidR="004272B9" w:rsidRPr="005A2545" w:rsidRDefault="004272B9" w:rsidP="00287451">
            <w:pPr>
              <w:jc w:val="center"/>
              <w:rPr>
                <w:sz w:val="20"/>
                <w:szCs w:val="20"/>
              </w:rPr>
            </w:pPr>
            <w:r w:rsidRPr="005A2545">
              <w:rPr>
                <w:b/>
                <w:sz w:val="20"/>
                <w:szCs w:val="20"/>
              </w:rPr>
              <w:t>S101: Subject Matter</w:t>
            </w:r>
          </w:p>
        </w:tc>
        <w:tc>
          <w:tcPr>
            <w:tcW w:w="1277" w:type="dxa"/>
            <w:shd w:val="clear" w:color="auto" w:fill="F2F2F2"/>
            <w:vAlign w:val="center"/>
          </w:tcPr>
          <w:p w14:paraId="02772B4A" w14:textId="77777777" w:rsidR="004272B9" w:rsidRPr="005A2545" w:rsidRDefault="004272B9" w:rsidP="00287451">
            <w:pPr>
              <w:jc w:val="center"/>
              <w:rPr>
                <w:sz w:val="20"/>
                <w:szCs w:val="20"/>
              </w:rPr>
            </w:pPr>
            <w:r w:rsidRPr="005A2545">
              <w:rPr>
                <w:b/>
                <w:sz w:val="20"/>
                <w:szCs w:val="20"/>
              </w:rPr>
              <w:t>S102: Anticipation</w:t>
            </w:r>
          </w:p>
        </w:tc>
        <w:tc>
          <w:tcPr>
            <w:tcW w:w="1277" w:type="dxa"/>
            <w:shd w:val="clear" w:color="auto" w:fill="F2F2F2"/>
            <w:vAlign w:val="center"/>
          </w:tcPr>
          <w:p w14:paraId="30C46982" w14:textId="77777777" w:rsidR="004272B9" w:rsidRPr="005A2545" w:rsidRDefault="004272B9" w:rsidP="00287451">
            <w:pPr>
              <w:jc w:val="center"/>
              <w:rPr>
                <w:sz w:val="20"/>
                <w:szCs w:val="20"/>
              </w:rPr>
            </w:pPr>
            <w:r w:rsidRPr="005A2545">
              <w:rPr>
                <w:b/>
                <w:sz w:val="20"/>
                <w:szCs w:val="20"/>
              </w:rPr>
              <w:t>S103: Obviousness</w:t>
            </w:r>
          </w:p>
        </w:tc>
        <w:tc>
          <w:tcPr>
            <w:tcW w:w="1277" w:type="dxa"/>
            <w:shd w:val="clear" w:color="auto" w:fill="F2F2F2"/>
            <w:vAlign w:val="center"/>
          </w:tcPr>
          <w:p w14:paraId="7A107FD6" w14:textId="77777777" w:rsidR="004272B9" w:rsidRPr="005A2545" w:rsidRDefault="004272B9" w:rsidP="00287451">
            <w:pPr>
              <w:jc w:val="center"/>
              <w:rPr>
                <w:sz w:val="20"/>
                <w:szCs w:val="20"/>
              </w:rPr>
            </w:pPr>
            <w:r w:rsidRPr="005A2545">
              <w:rPr>
                <w:b/>
                <w:sz w:val="20"/>
                <w:szCs w:val="20"/>
              </w:rPr>
              <w:t>S112: Written Description</w:t>
            </w:r>
          </w:p>
        </w:tc>
        <w:tc>
          <w:tcPr>
            <w:tcW w:w="1277" w:type="dxa"/>
            <w:shd w:val="clear" w:color="auto" w:fill="F2F2F2"/>
            <w:vAlign w:val="center"/>
          </w:tcPr>
          <w:p w14:paraId="66051CE4" w14:textId="77777777" w:rsidR="004272B9" w:rsidRPr="005A2545" w:rsidRDefault="004272B9" w:rsidP="00287451">
            <w:pPr>
              <w:jc w:val="center"/>
              <w:rPr>
                <w:sz w:val="20"/>
                <w:szCs w:val="20"/>
              </w:rPr>
            </w:pPr>
            <w:r w:rsidRPr="005A2545">
              <w:rPr>
                <w:b/>
                <w:sz w:val="20"/>
                <w:szCs w:val="20"/>
              </w:rPr>
              <w:t>S112: Enablement</w:t>
            </w:r>
          </w:p>
        </w:tc>
        <w:tc>
          <w:tcPr>
            <w:tcW w:w="1274" w:type="dxa"/>
            <w:shd w:val="clear" w:color="auto" w:fill="F2F2F2"/>
            <w:vAlign w:val="center"/>
          </w:tcPr>
          <w:p w14:paraId="6D324319" w14:textId="77777777" w:rsidR="004272B9" w:rsidRPr="005A2545" w:rsidRDefault="004272B9" w:rsidP="00287451">
            <w:pPr>
              <w:jc w:val="center"/>
              <w:rPr>
                <w:sz w:val="20"/>
                <w:szCs w:val="20"/>
              </w:rPr>
            </w:pPr>
            <w:r w:rsidRPr="005A2545">
              <w:rPr>
                <w:b/>
                <w:sz w:val="20"/>
                <w:szCs w:val="20"/>
              </w:rPr>
              <w:t>S112: Definiteness</w:t>
            </w:r>
          </w:p>
        </w:tc>
      </w:tr>
      <w:tr w:rsidR="004272B9" w:rsidRPr="005A2545" w14:paraId="72F8D45C" w14:textId="77777777" w:rsidTr="00287451">
        <w:tc>
          <w:tcPr>
            <w:tcW w:w="1699" w:type="dxa"/>
            <w:vAlign w:val="center"/>
          </w:tcPr>
          <w:p w14:paraId="3E69C33D" w14:textId="77777777" w:rsidR="004272B9" w:rsidRPr="005A2545" w:rsidRDefault="004272B9" w:rsidP="00287451">
            <w:pPr>
              <w:rPr>
                <w:sz w:val="20"/>
                <w:szCs w:val="20"/>
              </w:rPr>
            </w:pPr>
            <w:r w:rsidRPr="005A2545">
              <w:rPr>
                <w:b/>
                <w:sz w:val="20"/>
                <w:szCs w:val="20"/>
              </w:rPr>
              <w:t>AI coefficient</w:t>
            </w:r>
          </w:p>
        </w:tc>
        <w:tc>
          <w:tcPr>
            <w:tcW w:w="1277" w:type="dxa"/>
            <w:vAlign w:val="center"/>
          </w:tcPr>
          <w:p w14:paraId="7A73D8D1" w14:textId="77777777" w:rsidR="004272B9" w:rsidRPr="005A2545" w:rsidRDefault="004272B9" w:rsidP="00287451">
            <w:pPr>
              <w:jc w:val="center"/>
              <w:rPr>
                <w:sz w:val="20"/>
                <w:szCs w:val="20"/>
              </w:rPr>
            </w:pPr>
            <w:r w:rsidRPr="005A2545">
              <w:rPr>
                <w:sz w:val="20"/>
                <w:szCs w:val="20"/>
              </w:rPr>
              <w:t>+8.34***</w:t>
            </w:r>
            <w:r w:rsidRPr="005A2545">
              <w:rPr>
                <w:sz w:val="20"/>
                <w:szCs w:val="20"/>
              </w:rPr>
              <w:br/>
              <w:t>(1.41)</w:t>
            </w:r>
          </w:p>
        </w:tc>
        <w:tc>
          <w:tcPr>
            <w:tcW w:w="1277" w:type="dxa"/>
            <w:vAlign w:val="center"/>
          </w:tcPr>
          <w:p w14:paraId="4951CC13" w14:textId="77777777" w:rsidR="004272B9" w:rsidRPr="005A2545" w:rsidRDefault="004272B9" w:rsidP="00287451">
            <w:pPr>
              <w:jc w:val="center"/>
              <w:rPr>
                <w:sz w:val="20"/>
                <w:szCs w:val="20"/>
              </w:rPr>
            </w:pPr>
            <w:r w:rsidRPr="005A2545">
              <w:rPr>
                <w:sz w:val="20"/>
                <w:szCs w:val="20"/>
              </w:rPr>
              <w:t>-0.29</w:t>
            </w:r>
            <w:r w:rsidRPr="005A2545">
              <w:rPr>
                <w:sz w:val="20"/>
                <w:szCs w:val="20"/>
              </w:rPr>
              <w:br/>
              <w:t>(1.30)</w:t>
            </w:r>
          </w:p>
        </w:tc>
        <w:tc>
          <w:tcPr>
            <w:tcW w:w="1277" w:type="dxa"/>
            <w:vAlign w:val="center"/>
          </w:tcPr>
          <w:p w14:paraId="620EE25F" w14:textId="77777777" w:rsidR="004272B9" w:rsidRPr="005A2545" w:rsidRDefault="004272B9" w:rsidP="00287451">
            <w:pPr>
              <w:jc w:val="center"/>
              <w:rPr>
                <w:sz w:val="20"/>
                <w:szCs w:val="20"/>
              </w:rPr>
            </w:pPr>
            <w:r w:rsidRPr="005A2545">
              <w:rPr>
                <w:sz w:val="20"/>
                <w:szCs w:val="20"/>
              </w:rPr>
              <w:t>-5.34***</w:t>
            </w:r>
            <w:r w:rsidRPr="005A2545">
              <w:rPr>
                <w:sz w:val="20"/>
                <w:szCs w:val="20"/>
              </w:rPr>
              <w:br/>
              <w:t>(1.13)</w:t>
            </w:r>
          </w:p>
        </w:tc>
        <w:tc>
          <w:tcPr>
            <w:tcW w:w="1277" w:type="dxa"/>
            <w:vAlign w:val="center"/>
          </w:tcPr>
          <w:p w14:paraId="700F3ECF" w14:textId="77777777" w:rsidR="004272B9" w:rsidRPr="005A2545" w:rsidRDefault="004272B9" w:rsidP="00287451">
            <w:pPr>
              <w:jc w:val="center"/>
              <w:rPr>
                <w:sz w:val="20"/>
                <w:szCs w:val="20"/>
              </w:rPr>
            </w:pPr>
            <w:r w:rsidRPr="005A2545">
              <w:rPr>
                <w:sz w:val="20"/>
                <w:szCs w:val="20"/>
              </w:rPr>
              <w:t>-0.32</w:t>
            </w:r>
            <w:r w:rsidRPr="005A2545">
              <w:rPr>
                <w:sz w:val="20"/>
                <w:szCs w:val="20"/>
              </w:rPr>
              <w:br/>
              <w:t>(0.87)</w:t>
            </w:r>
          </w:p>
        </w:tc>
        <w:tc>
          <w:tcPr>
            <w:tcW w:w="1277" w:type="dxa"/>
            <w:vAlign w:val="center"/>
          </w:tcPr>
          <w:p w14:paraId="13E98569" w14:textId="77777777" w:rsidR="004272B9" w:rsidRPr="005A2545" w:rsidRDefault="004272B9" w:rsidP="00287451">
            <w:pPr>
              <w:jc w:val="center"/>
              <w:rPr>
                <w:sz w:val="20"/>
                <w:szCs w:val="20"/>
              </w:rPr>
            </w:pPr>
            <w:r w:rsidRPr="005A2545">
              <w:rPr>
                <w:sz w:val="20"/>
                <w:szCs w:val="20"/>
              </w:rPr>
              <w:t>+1.57**</w:t>
            </w:r>
            <w:r w:rsidRPr="005A2545">
              <w:rPr>
                <w:sz w:val="20"/>
                <w:szCs w:val="20"/>
              </w:rPr>
              <w:br/>
              <w:t>(0.63)</w:t>
            </w:r>
          </w:p>
        </w:tc>
        <w:tc>
          <w:tcPr>
            <w:tcW w:w="1274" w:type="dxa"/>
            <w:vAlign w:val="center"/>
          </w:tcPr>
          <w:p w14:paraId="00AFCA84" w14:textId="77777777" w:rsidR="004272B9" w:rsidRPr="005A2545" w:rsidRDefault="004272B9" w:rsidP="00287451">
            <w:pPr>
              <w:jc w:val="center"/>
              <w:rPr>
                <w:sz w:val="20"/>
                <w:szCs w:val="20"/>
              </w:rPr>
            </w:pPr>
            <w:r w:rsidRPr="005A2545">
              <w:rPr>
                <w:sz w:val="20"/>
                <w:szCs w:val="20"/>
              </w:rPr>
              <w:t>-1.06</w:t>
            </w:r>
            <w:r w:rsidRPr="005A2545">
              <w:rPr>
                <w:sz w:val="20"/>
                <w:szCs w:val="20"/>
              </w:rPr>
              <w:br/>
              <w:t>(1.55)</w:t>
            </w:r>
          </w:p>
        </w:tc>
      </w:tr>
      <w:tr w:rsidR="004272B9" w:rsidRPr="005A2545" w14:paraId="101F10B4" w14:textId="77777777" w:rsidTr="00287451">
        <w:tc>
          <w:tcPr>
            <w:tcW w:w="1699" w:type="dxa"/>
            <w:vAlign w:val="center"/>
          </w:tcPr>
          <w:p w14:paraId="4EF7C648" w14:textId="77777777" w:rsidR="004272B9" w:rsidRPr="005A2545" w:rsidRDefault="004272B9" w:rsidP="00287451">
            <w:pPr>
              <w:rPr>
                <w:sz w:val="20"/>
                <w:szCs w:val="20"/>
              </w:rPr>
            </w:pPr>
            <w:r w:rsidRPr="005A2545">
              <w:rPr>
                <w:b/>
                <w:sz w:val="20"/>
                <w:szCs w:val="20"/>
              </w:rPr>
              <w:t>Alpha</w:t>
            </w:r>
          </w:p>
        </w:tc>
        <w:tc>
          <w:tcPr>
            <w:tcW w:w="1277" w:type="dxa"/>
            <w:vAlign w:val="center"/>
          </w:tcPr>
          <w:p w14:paraId="127E9CF0" w14:textId="77777777" w:rsidR="004272B9" w:rsidRPr="005A2545" w:rsidRDefault="004272B9" w:rsidP="00287451">
            <w:pPr>
              <w:jc w:val="center"/>
              <w:rPr>
                <w:sz w:val="20"/>
                <w:szCs w:val="20"/>
              </w:rPr>
            </w:pPr>
            <w:r w:rsidRPr="005A2545">
              <w:rPr>
                <w:sz w:val="20"/>
                <w:szCs w:val="20"/>
              </w:rPr>
              <w:t>0.01</w:t>
            </w:r>
          </w:p>
        </w:tc>
        <w:tc>
          <w:tcPr>
            <w:tcW w:w="1277" w:type="dxa"/>
            <w:vAlign w:val="center"/>
          </w:tcPr>
          <w:p w14:paraId="1E57626E" w14:textId="77777777" w:rsidR="004272B9" w:rsidRPr="005A2545" w:rsidRDefault="004272B9" w:rsidP="00287451">
            <w:pPr>
              <w:jc w:val="center"/>
              <w:rPr>
                <w:sz w:val="20"/>
                <w:szCs w:val="20"/>
              </w:rPr>
            </w:pPr>
            <w:r w:rsidRPr="005A2545">
              <w:rPr>
                <w:sz w:val="20"/>
                <w:szCs w:val="20"/>
              </w:rPr>
              <w:t>n.s.</w:t>
            </w:r>
          </w:p>
        </w:tc>
        <w:tc>
          <w:tcPr>
            <w:tcW w:w="1277" w:type="dxa"/>
            <w:vAlign w:val="center"/>
          </w:tcPr>
          <w:p w14:paraId="1967D521" w14:textId="77777777" w:rsidR="004272B9" w:rsidRPr="005A2545" w:rsidRDefault="004272B9" w:rsidP="00287451">
            <w:pPr>
              <w:jc w:val="center"/>
              <w:rPr>
                <w:sz w:val="20"/>
                <w:szCs w:val="20"/>
              </w:rPr>
            </w:pPr>
            <w:r w:rsidRPr="005A2545">
              <w:rPr>
                <w:sz w:val="20"/>
                <w:szCs w:val="20"/>
              </w:rPr>
              <w:t>0.01</w:t>
            </w:r>
          </w:p>
        </w:tc>
        <w:tc>
          <w:tcPr>
            <w:tcW w:w="1277" w:type="dxa"/>
            <w:vAlign w:val="center"/>
          </w:tcPr>
          <w:p w14:paraId="3F680B2F" w14:textId="77777777" w:rsidR="004272B9" w:rsidRPr="005A2545" w:rsidRDefault="004272B9" w:rsidP="00287451">
            <w:pPr>
              <w:jc w:val="center"/>
              <w:rPr>
                <w:sz w:val="20"/>
                <w:szCs w:val="20"/>
              </w:rPr>
            </w:pPr>
            <w:r w:rsidRPr="005A2545">
              <w:rPr>
                <w:sz w:val="20"/>
                <w:szCs w:val="20"/>
              </w:rPr>
              <w:t>n.s.</w:t>
            </w:r>
          </w:p>
        </w:tc>
        <w:tc>
          <w:tcPr>
            <w:tcW w:w="1277" w:type="dxa"/>
            <w:vAlign w:val="center"/>
          </w:tcPr>
          <w:p w14:paraId="1581ECC2" w14:textId="77777777" w:rsidR="004272B9" w:rsidRPr="005A2545" w:rsidRDefault="004272B9" w:rsidP="00287451">
            <w:pPr>
              <w:jc w:val="center"/>
              <w:rPr>
                <w:sz w:val="20"/>
                <w:szCs w:val="20"/>
              </w:rPr>
            </w:pPr>
            <w:r w:rsidRPr="005A2545">
              <w:rPr>
                <w:sz w:val="20"/>
                <w:szCs w:val="20"/>
              </w:rPr>
              <w:t>0.05</w:t>
            </w:r>
          </w:p>
        </w:tc>
        <w:tc>
          <w:tcPr>
            <w:tcW w:w="1274" w:type="dxa"/>
            <w:vAlign w:val="center"/>
          </w:tcPr>
          <w:p w14:paraId="34648A6C" w14:textId="77777777" w:rsidR="004272B9" w:rsidRPr="005A2545" w:rsidRDefault="004272B9" w:rsidP="00287451">
            <w:pPr>
              <w:jc w:val="center"/>
              <w:rPr>
                <w:sz w:val="20"/>
                <w:szCs w:val="20"/>
              </w:rPr>
            </w:pPr>
            <w:r w:rsidRPr="005A2545">
              <w:rPr>
                <w:sz w:val="20"/>
                <w:szCs w:val="20"/>
              </w:rPr>
              <w:t>n.s.</w:t>
            </w:r>
          </w:p>
        </w:tc>
      </w:tr>
      <w:tr w:rsidR="004272B9" w:rsidRPr="005A2545" w14:paraId="24DBEA8A" w14:textId="77777777" w:rsidTr="00287451">
        <w:tc>
          <w:tcPr>
            <w:tcW w:w="1699" w:type="dxa"/>
            <w:vAlign w:val="center"/>
          </w:tcPr>
          <w:p w14:paraId="12D0771A" w14:textId="77777777" w:rsidR="004272B9" w:rsidRPr="005A2545" w:rsidRDefault="004272B9" w:rsidP="00287451">
            <w:pPr>
              <w:rPr>
                <w:sz w:val="20"/>
                <w:szCs w:val="20"/>
              </w:rPr>
            </w:pPr>
            <w:r w:rsidRPr="005A2545">
              <w:rPr>
                <w:b/>
                <w:sz w:val="20"/>
                <w:szCs w:val="20"/>
              </w:rPr>
              <w:t>Pr(non-AI)</w:t>
            </w:r>
          </w:p>
        </w:tc>
        <w:tc>
          <w:tcPr>
            <w:tcW w:w="1277" w:type="dxa"/>
            <w:vAlign w:val="center"/>
          </w:tcPr>
          <w:p w14:paraId="6275CC47" w14:textId="77777777" w:rsidR="004272B9" w:rsidRPr="005A2545" w:rsidRDefault="004272B9" w:rsidP="00287451">
            <w:pPr>
              <w:jc w:val="center"/>
              <w:rPr>
                <w:sz w:val="20"/>
                <w:szCs w:val="20"/>
              </w:rPr>
            </w:pPr>
            <w:r w:rsidRPr="005A2545">
              <w:rPr>
                <w:sz w:val="20"/>
                <w:szCs w:val="20"/>
              </w:rPr>
              <w:t>37.5%</w:t>
            </w:r>
          </w:p>
        </w:tc>
        <w:tc>
          <w:tcPr>
            <w:tcW w:w="1277" w:type="dxa"/>
            <w:vAlign w:val="center"/>
          </w:tcPr>
          <w:p w14:paraId="5C2AA399" w14:textId="77777777" w:rsidR="004272B9" w:rsidRPr="005A2545" w:rsidRDefault="004272B9" w:rsidP="00287451">
            <w:pPr>
              <w:jc w:val="center"/>
              <w:rPr>
                <w:sz w:val="20"/>
                <w:szCs w:val="20"/>
              </w:rPr>
            </w:pPr>
            <w:r w:rsidRPr="005A2545">
              <w:rPr>
                <w:sz w:val="20"/>
                <w:szCs w:val="20"/>
              </w:rPr>
              <w:t>19.2%</w:t>
            </w:r>
          </w:p>
        </w:tc>
        <w:tc>
          <w:tcPr>
            <w:tcW w:w="1277" w:type="dxa"/>
            <w:vAlign w:val="center"/>
          </w:tcPr>
          <w:p w14:paraId="6AD2FC52" w14:textId="77777777" w:rsidR="004272B9" w:rsidRPr="005A2545" w:rsidRDefault="004272B9" w:rsidP="00287451">
            <w:pPr>
              <w:jc w:val="center"/>
              <w:rPr>
                <w:sz w:val="20"/>
                <w:szCs w:val="20"/>
              </w:rPr>
            </w:pPr>
            <w:r w:rsidRPr="005A2545">
              <w:rPr>
                <w:sz w:val="20"/>
                <w:szCs w:val="20"/>
              </w:rPr>
              <w:t>19.3%</w:t>
            </w:r>
          </w:p>
        </w:tc>
        <w:tc>
          <w:tcPr>
            <w:tcW w:w="1277" w:type="dxa"/>
            <w:vAlign w:val="center"/>
          </w:tcPr>
          <w:p w14:paraId="3B26CA87" w14:textId="77777777" w:rsidR="004272B9" w:rsidRPr="005A2545" w:rsidRDefault="004272B9" w:rsidP="00287451">
            <w:pPr>
              <w:jc w:val="center"/>
              <w:rPr>
                <w:sz w:val="20"/>
                <w:szCs w:val="20"/>
              </w:rPr>
            </w:pPr>
            <w:r w:rsidRPr="005A2545">
              <w:rPr>
                <w:sz w:val="20"/>
                <w:szCs w:val="20"/>
              </w:rPr>
              <w:t>5.5%</w:t>
            </w:r>
          </w:p>
        </w:tc>
        <w:tc>
          <w:tcPr>
            <w:tcW w:w="1277" w:type="dxa"/>
            <w:vAlign w:val="center"/>
          </w:tcPr>
          <w:p w14:paraId="5A3476BB" w14:textId="77777777" w:rsidR="004272B9" w:rsidRPr="005A2545" w:rsidRDefault="004272B9" w:rsidP="00287451">
            <w:pPr>
              <w:jc w:val="center"/>
              <w:rPr>
                <w:sz w:val="20"/>
                <w:szCs w:val="20"/>
              </w:rPr>
            </w:pPr>
            <w:r w:rsidRPr="005A2545">
              <w:rPr>
                <w:sz w:val="20"/>
                <w:szCs w:val="20"/>
              </w:rPr>
              <w:t>3.0%</w:t>
            </w:r>
          </w:p>
        </w:tc>
        <w:tc>
          <w:tcPr>
            <w:tcW w:w="1274" w:type="dxa"/>
            <w:vAlign w:val="center"/>
          </w:tcPr>
          <w:p w14:paraId="29BBCE09" w14:textId="77777777" w:rsidR="004272B9" w:rsidRPr="005A2545" w:rsidRDefault="004272B9" w:rsidP="00287451">
            <w:pPr>
              <w:jc w:val="center"/>
              <w:rPr>
                <w:sz w:val="20"/>
                <w:szCs w:val="20"/>
              </w:rPr>
            </w:pPr>
            <w:r w:rsidRPr="005A2545">
              <w:rPr>
                <w:sz w:val="20"/>
                <w:szCs w:val="20"/>
              </w:rPr>
              <w:t>23.8%</w:t>
            </w:r>
          </w:p>
        </w:tc>
      </w:tr>
      <w:tr w:rsidR="004272B9" w:rsidRPr="005A2545" w14:paraId="0081ADD0" w14:textId="77777777" w:rsidTr="00287451">
        <w:tc>
          <w:tcPr>
            <w:tcW w:w="1699" w:type="dxa"/>
            <w:vAlign w:val="center"/>
          </w:tcPr>
          <w:p w14:paraId="23C17D9C" w14:textId="77777777" w:rsidR="004272B9" w:rsidRPr="005A2545" w:rsidRDefault="004272B9" w:rsidP="00287451">
            <w:pPr>
              <w:rPr>
                <w:sz w:val="20"/>
                <w:szCs w:val="20"/>
              </w:rPr>
            </w:pPr>
            <w:r w:rsidRPr="005A2545">
              <w:rPr>
                <w:b/>
                <w:sz w:val="20"/>
                <w:szCs w:val="20"/>
              </w:rPr>
              <w:t>Pr(AI)</w:t>
            </w:r>
          </w:p>
        </w:tc>
        <w:tc>
          <w:tcPr>
            <w:tcW w:w="1277" w:type="dxa"/>
            <w:vAlign w:val="center"/>
          </w:tcPr>
          <w:p w14:paraId="50FC9C78" w14:textId="77777777" w:rsidR="004272B9" w:rsidRPr="005A2545" w:rsidRDefault="004272B9" w:rsidP="00287451">
            <w:pPr>
              <w:jc w:val="center"/>
              <w:rPr>
                <w:sz w:val="20"/>
                <w:szCs w:val="20"/>
              </w:rPr>
            </w:pPr>
            <w:r w:rsidRPr="005A2545">
              <w:rPr>
                <w:sz w:val="20"/>
                <w:szCs w:val="20"/>
              </w:rPr>
              <w:t>45.8%</w:t>
            </w:r>
          </w:p>
        </w:tc>
        <w:tc>
          <w:tcPr>
            <w:tcW w:w="1277" w:type="dxa"/>
            <w:vAlign w:val="center"/>
          </w:tcPr>
          <w:p w14:paraId="060B766C" w14:textId="77777777" w:rsidR="004272B9" w:rsidRPr="005A2545" w:rsidRDefault="004272B9" w:rsidP="00287451">
            <w:pPr>
              <w:jc w:val="center"/>
              <w:rPr>
                <w:sz w:val="20"/>
                <w:szCs w:val="20"/>
              </w:rPr>
            </w:pPr>
            <w:r w:rsidRPr="005A2545">
              <w:rPr>
                <w:sz w:val="20"/>
                <w:szCs w:val="20"/>
              </w:rPr>
              <w:t>18.9%</w:t>
            </w:r>
          </w:p>
        </w:tc>
        <w:tc>
          <w:tcPr>
            <w:tcW w:w="1277" w:type="dxa"/>
            <w:vAlign w:val="center"/>
          </w:tcPr>
          <w:p w14:paraId="00CAC403" w14:textId="77777777" w:rsidR="004272B9" w:rsidRPr="005A2545" w:rsidRDefault="004272B9" w:rsidP="00287451">
            <w:pPr>
              <w:jc w:val="center"/>
              <w:rPr>
                <w:sz w:val="20"/>
                <w:szCs w:val="20"/>
              </w:rPr>
            </w:pPr>
            <w:r w:rsidRPr="005A2545">
              <w:rPr>
                <w:sz w:val="20"/>
                <w:szCs w:val="20"/>
              </w:rPr>
              <w:t>13.9%</w:t>
            </w:r>
          </w:p>
        </w:tc>
        <w:tc>
          <w:tcPr>
            <w:tcW w:w="1277" w:type="dxa"/>
            <w:vAlign w:val="center"/>
          </w:tcPr>
          <w:p w14:paraId="7DCE5218" w14:textId="77777777" w:rsidR="004272B9" w:rsidRPr="005A2545" w:rsidRDefault="004272B9" w:rsidP="00287451">
            <w:pPr>
              <w:jc w:val="center"/>
              <w:rPr>
                <w:sz w:val="20"/>
                <w:szCs w:val="20"/>
              </w:rPr>
            </w:pPr>
            <w:r w:rsidRPr="005A2545">
              <w:rPr>
                <w:sz w:val="20"/>
                <w:szCs w:val="20"/>
              </w:rPr>
              <w:t>5.2%</w:t>
            </w:r>
          </w:p>
        </w:tc>
        <w:tc>
          <w:tcPr>
            <w:tcW w:w="1277" w:type="dxa"/>
            <w:vAlign w:val="center"/>
          </w:tcPr>
          <w:p w14:paraId="6F306CF6" w14:textId="77777777" w:rsidR="004272B9" w:rsidRPr="005A2545" w:rsidRDefault="004272B9" w:rsidP="00287451">
            <w:pPr>
              <w:jc w:val="center"/>
              <w:rPr>
                <w:sz w:val="20"/>
                <w:szCs w:val="20"/>
              </w:rPr>
            </w:pPr>
            <w:r w:rsidRPr="005A2545">
              <w:rPr>
                <w:sz w:val="20"/>
                <w:szCs w:val="20"/>
              </w:rPr>
              <w:t>4.6%</w:t>
            </w:r>
          </w:p>
        </w:tc>
        <w:tc>
          <w:tcPr>
            <w:tcW w:w="1274" w:type="dxa"/>
            <w:vAlign w:val="center"/>
          </w:tcPr>
          <w:p w14:paraId="2FD1038B" w14:textId="77777777" w:rsidR="004272B9" w:rsidRPr="005A2545" w:rsidRDefault="004272B9" w:rsidP="00287451">
            <w:pPr>
              <w:jc w:val="center"/>
              <w:rPr>
                <w:sz w:val="20"/>
                <w:szCs w:val="20"/>
              </w:rPr>
            </w:pPr>
            <w:r w:rsidRPr="005A2545">
              <w:rPr>
                <w:sz w:val="20"/>
                <w:szCs w:val="20"/>
              </w:rPr>
              <w:t>22.7%</w:t>
            </w:r>
          </w:p>
        </w:tc>
      </w:tr>
      <w:tr w:rsidR="004272B9" w:rsidRPr="005A2545" w14:paraId="0C13D93C" w14:textId="77777777" w:rsidTr="00287451">
        <w:tc>
          <w:tcPr>
            <w:tcW w:w="1699" w:type="dxa"/>
            <w:vAlign w:val="center"/>
          </w:tcPr>
          <w:p w14:paraId="09F5AE87" w14:textId="77777777" w:rsidR="004272B9" w:rsidRPr="005A2545" w:rsidRDefault="004272B9" w:rsidP="00287451">
            <w:pPr>
              <w:rPr>
                <w:sz w:val="20"/>
                <w:szCs w:val="20"/>
              </w:rPr>
            </w:pPr>
            <w:r w:rsidRPr="005A2545">
              <w:rPr>
                <w:b/>
                <w:sz w:val="20"/>
                <w:szCs w:val="20"/>
              </w:rPr>
              <w:t>Relative change</w:t>
            </w:r>
          </w:p>
        </w:tc>
        <w:tc>
          <w:tcPr>
            <w:tcW w:w="1277" w:type="dxa"/>
            <w:vAlign w:val="center"/>
          </w:tcPr>
          <w:p w14:paraId="313519BB" w14:textId="77777777" w:rsidR="004272B9" w:rsidRPr="005A2545" w:rsidRDefault="004272B9" w:rsidP="00287451">
            <w:pPr>
              <w:jc w:val="center"/>
              <w:rPr>
                <w:sz w:val="20"/>
                <w:szCs w:val="20"/>
              </w:rPr>
            </w:pPr>
            <w:r w:rsidRPr="005A2545">
              <w:rPr>
                <w:sz w:val="20"/>
                <w:szCs w:val="20"/>
              </w:rPr>
              <w:t>+22.2%</w:t>
            </w:r>
          </w:p>
        </w:tc>
        <w:tc>
          <w:tcPr>
            <w:tcW w:w="1277" w:type="dxa"/>
            <w:vAlign w:val="center"/>
          </w:tcPr>
          <w:p w14:paraId="5D28F21C" w14:textId="77777777" w:rsidR="004272B9" w:rsidRPr="005A2545" w:rsidRDefault="004272B9" w:rsidP="00287451">
            <w:pPr>
              <w:jc w:val="center"/>
              <w:rPr>
                <w:sz w:val="20"/>
                <w:szCs w:val="20"/>
              </w:rPr>
            </w:pPr>
            <w:r w:rsidRPr="005A2545">
              <w:rPr>
                <w:sz w:val="20"/>
                <w:szCs w:val="20"/>
              </w:rPr>
              <w:t>-1.5%</w:t>
            </w:r>
          </w:p>
        </w:tc>
        <w:tc>
          <w:tcPr>
            <w:tcW w:w="1277" w:type="dxa"/>
            <w:vAlign w:val="center"/>
          </w:tcPr>
          <w:p w14:paraId="06DD1632" w14:textId="77777777" w:rsidR="004272B9" w:rsidRPr="005A2545" w:rsidRDefault="004272B9" w:rsidP="00287451">
            <w:pPr>
              <w:jc w:val="center"/>
              <w:rPr>
                <w:sz w:val="20"/>
                <w:szCs w:val="20"/>
              </w:rPr>
            </w:pPr>
            <w:r w:rsidRPr="005A2545">
              <w:rPr>
                <w:sz w:val="20"/>
                <w:szCs w:val="20"/>
              </w:rPr>
              <w:t>-27.7%</w:t>
            </w:r>
          </w:p>
        </w:tc>
        <w:tc>
          <w:tcPr>
            <w:tcW w:w="1277" w:type="dxa"/>
            <w:vAlign w:val="center"/>
          </w:tcPr>
          <w:p w14:paraId="6AA93B40" w14:textId="77777777" w:rsidR="004272B9" w:rsidRPr="005A2545" w:rsidRDefault="004272B9" w:rsidP="00287451">
            <w:pPr>
              <w:jc w:val="center"/>
              <w:rPr>
                <w:sz w:val="20"/>
                <w:szCs w:val="20"/>
              </w:rPr>
            </w:pPr>
            <w:r w:rsidRPr="005A2545">
              <w:rPr>
                <w:sz w:val="20"/>
                <w:szCs w:val="20"/>
              </w:rPr>
              <w:t>-5.8%</w:t>
            </w:r>
          </w:p>
        </w:tc>
        <w:tc>
          <w:tcPr>
            <w:tcW w:w="1277" w:type="dxa"/>
            <w:vAlign w:val="center"/>
          </w:tcPr>
          <w:p w14:paraId="79530434" w14:textId="77777777" w:rsidR="004272B9" w:rsidRPr="005A2545" w:rsidRDefault="004272B9" w:rsidP="00287451">
            <w:pPr>
              <w:jc w:val="center"/>
              <w:rPr>
                <w:sz w:val="20"/>
                <w:szCs w:val="20"/>
              </w:rPr>
            </w:pPr>
            <w:r w:rsidRPr="005A2545">
              <w:rPr>
                <w:sz w:val="20"/>
                <w:szCs w:val="20"/>
              </w:rPr>
              <w:t>+52.4%</w:t>
            </w:r>
          </w:p>
        </w:tc>
        <w:tc>
          <w:tcPr>
            <w:tcW w:w="1274" w:type="dxa"/>
            <w:vAlign w:val="center"/>
          </w:tcPr>
          <w:p w14:paraId="00D525B2" w14:textId="77777777" w:rsidR="004272B9" w:rsidRPr="005A2545" w:rsidRDefault="004272B9" w:rsidP="00287451">
            <w:pPr>
              <w:jc w:val="center"/>
              <w:rPr>
                <w:sz w:val="20"/>
                <w:szCs w:val="20"/>
              </w:rPr>
            </w:pPr>
            <w:r w:rsidRPr="005A2545">
              <w:rPr>
                <w:sz w:val="20"/>
                <w:szCs w:val="20"/>
              </w:rPr>
              <w:t>-4.4%</w:t>
            </w:r>
          </w:p>
        </w:tc>
      </w:tr>
      <w:tr w:rsidR="004272B9" w:rsidRPr="005A2545" w14:paraId="2EB3FE53" w14:textId="77777777" w:rsidTr="00287451">
        <w:tc>
          <w:tcPr>
            <w:tcW w:w="1699" w:type="dxa"/>
            <w:vAlign w:val="center"/>
          </w:tcPr>
          <w:p w14:paraId="708195C8" w14:textId="77777777" w:rsidR="004272B9" w:rsidRPr="005A2545" w:rsidRDefault="004272B9" w:rsidP="00287451">
            <w:pPr>
              <w:rPr>
                <w:sz w:val="20"/>
                <w:szCs w:val="20"/>
              </w:rPr>
            </w:pPr>
            <w:r w:rsidRPr="005A2545">
              <w:rPr>
                <w:b/>
                <w:sz w:val="20"/>
                <w:szCs w:val="20"/>
              </w:rPr>
              <w:t>N</w:t>
            </w:r>
          </w:p>
        </w:tc>
        <w:tc>
          <w:tcPr>
            <w:tcW w:w="1277" w:type="dxa"/>
            <w:vAlign w:val="center"/>
          </w:tcPr>
          <w:p w14:paraId="365C0DD5" w14:textId="77777777" w:rsidR="004272B9" w:rsidRPr="005A2545" w:rsidRDefault="004272B9" w:rsidP="00287451">
            <w:pPr>
              <w:jc w:val="center"/>
              <w:rPr>
                <w:sz w:val="20"/>
                <w:szCs w:val="20"/>
              </w:rPr>
            </w:pPr>
            <w:r w:rsidRPr="005A2545">
              <w:rPr>
                <w:sz w:val="20"/>
                <w:szCs w:val="20"/>
              </w:rPr>
              <w:t>3,206</w:t>
            </w:r>
          </w:p>
        </w:tc>
        <w:tc>
          <w:tcPr>
            <w:tcW w:w="1277" w:type="dxa"/>
            <w:vAlign w:val="center"/>
          </w:tcPr>
          <w:p w14:paraId="048B8351" w14:textId="77777777" w:rsidR="004272B9" w:rsidRPr="005A2545" w:rsidRDefault="004272B9" w:rsidP="00287451">
            <w:pPr>
              <w:jc w:val="center"/>
              <w:rPr>
                <w:sz w:val="20"/>
                <w:szCs w:val="20"/>
              </w:rPr>
            </w:pPr>
            <w:r w:rsidRPr="005A2545">
              <w:rPr>
                <w:sz w:val="20"/>
                <w:szCs w:val="20"/>
              </w:rPr>
              <w:t>3,206</w:t>
            </w:r>
          </w:p>
        </w:tc>
        <w:tc>
          <w:tcPr>
            <w:tcW w:w="1277" w:type="dxa"/>
            <w:vAlign w:val="center"/>
          </w:tcPr>
          <w:p w14:paraId="77397338" w14:textId="77777777" w:rsidR="004272B9" w:rsidRPr="005A2545" w:rsidRDefault="004272B9" w:rsidP="00287451">
            <w:pPr>
              <w:jc w:val="center"/>
              <w:rPr>
                <w:sz w:val="20"/>
                <w:szCs w:val="20"/>
              </w:rPr>
            </w:pPr>
            <w:r w:rsidRPr="005A2545">
              <w:rPr>
                <w:sz w:val="20"/>
                <w:szCs w:val="20"/>
              </w:rPr>
              <w:t>3,206</w:t>
            </w:r>
          </w:p>
        </w:tc>
        <w:tc>
          <w:tcPr>
            <w:tcW w:w="1277" w:type="dxa"/>
            <w:vAlign w:val="center"/>
          </w:tcPr>
          <w:p w14:paraId="72061F68" w14:textId="77777777" w:rsidR="004272B9" w:rsidRPr="005A2545" w:rsidRDefault="004272B9" w:rsidP="00287451">
            <w:pPr>
              <w:jc w:val="center"/>
              <w:rPr>
                <w:sz w:val="20"/>
                <w:szCs w:val="20"/>
              </w:rPr>
            </w:pPr>
            <w:r w:rsidRPr="005A2545">
              <w:rPr>
                <w:sz w:val="20"/>
                <w:szCs w:val="20"/>
              </w:rPr>
              <w:t>3,206</w:t>
            </w:r>
          </w:p>
        </w:tc>
        <w:tc>
          <w:tcPr>
            <w:tcW w:w="1277" w:type="dxa"/>
            <w:vAlign w:val="center"/>
          </w:tcPr>
          <w:p w14:paraId="6FEFC08E" w14:textId="77777777" w:rsidR="004272B9" w:rsidRPr="005A2545" w:rsidRDefault="004272B9" w:rsidP="00287451">
            <w:pPr>
              <w:jc w:val="center"/>
              <w:rPr>
                <w:sz w:val="20"/>
                <w:szCs w:val="20"/>
              </w:rPr>
            </w:pPr>
            <w:r w:rsidRPr="005A2545">
              <w:rPr>
                <w:sz w:val="20"/>
                <w:szCs w:val="20"/>
              </w:rPr>
              <w:t>3,206</w:t>
            </w:r>
          </w:p>
        </w:tc>
        <w:tc>
          <w:tcPr>
            <w:tcW w:w="1274" w:type="dxa"/>
            <w:vAlign w:val="center"/>
          </w:tcPr>
          <w:p w14:paraId="5BBAF774" w14:textId="77777777" w:rsidR="004272B9" w:rsidRPr="005A2545" w:rsidRDefault="004272B9" w:rsidP="00287451">
            <w:pPr>
              <w:jc w:val="center"/>
              <w:rPr>
                <w:sz w:val="20"/>
                <w:szCs w:val="20"/>
              </w:rPr>
            </w:pPr>
            <w:r w:rsidRPr="005A2545">
              <w:rPr>
                <w:sz w:val="20"/>
                <w:szCs w:val="20"/>
              </w:rPr>
              <w:t>3,206</w:t>
            </w:r>
          </w:p>
        </w:tc>
      </w:tr>
      <w:tr w:rsidR="004272B9" w:rsidRPr="005A2545" w14:paraId="3EBC28AC" w14:textId="77777777" w:rsidTr="00287451">
        <w:tc>
          <w:tcPr>
            <w:tcW w:w="1699" w:type="dxa"/>
            <w:vAlign w:val="center"/>
          </w:tcPr>
          <w:p w14:paraId="4A30802E" w14:textId="77777777" w:rsidR="004272B9" w:rsidRPr="005A2545" w:rsidRDefault="004272B9" w:rsidP="00287451">
            <w:pPr>
              <w:rPr>
                <w:sz w:val="20"/>
                <w:szCs w:val="20"/>
              </w:rPr>
            </w:pPr>
            <w:r w:rsidRPr="005A2545">
              <w:rPr>
                <w:b/>
                <w:sz w:val="20"/>
                <w:szCs w:val="20"/>
              </w:rPr>
              <w:t>R2</w:t>
            </w:r>
          </w:p>
        </w:tc>
        <w:tc>
          <w:tcPr>
            <w:tcW w:w="1277" w:type="dxa"/>
            <w:vAlign w:val="center"/>
          </w:tcPr>
          <w:p w14:paraId="41B2503C" w14:textId="77777777" w:rsidR="004272B9" w:rsidRPr="005A2545" w:rsidRDefault="004272B9" w:rsidP="00287451">
            <w:pPr>
              <w:jc w:val="center"/>
              <w:rPr>
                <w:sz w:val="20"/>
                <w:szCs w:val="20"/>
              </w:rPr>
            </w:pPr>
            <w:r w:rsidRPr="005A2545">
              <w:rPr>
                <w:sz w:val="20"/>
                <w:szCs w:val="20"/>
              </w:rPr>
              <w:t>0.696</w:t>
            </w:r>
          </w:p>
        </w:tc>
        <w:tc>
          <w:tcPr>
            <w:tcW w:w="1277" w:type="dxa"/>
            <w:vAlign w:val="center"/>
          </w:tcPr>
          <w:p w14:paraId="70BCDA5F" w14:textId="77777777" w:rsidR="004272B9" w:rsidRPr="005A2545" w:rsidRDefault="004272B9" w:rsidP="00287451">
            <w:pPr>
              <w:jc w:val="center"/>
              <w:rPr>
                <w:sz w:val="20"/>
                <w:szCs w:val="20"/>
              </w:rPr>
            </w:pPr>
            <w:r w:rsidRPr="005A2545">
              <w:rPr>
                <w:sz w:val="20"/>
                <w:szCs w:val="20"/>
              </w:rPr>
              <w:t>0.321</w:t>
            </w:r>
          </w:p>
        </w:tc>
        <w:tc>
          <w:tcPr>
            <w:tcW w:w="1277" w:type="dxa"/>
            <w:vAlign w:val="center"/>
          </w:tcPr>
          <w:p w14:paraId="181260C8" w14:textId="77777777" w:rsidR="004272B9" w:rsidRPr="005A2545" w:rsidRDefault="004272B9" w:rsidP="00287451">
            <w:pPr>
              <w:jc w:val="center"/>
              <w:rPr>
                <w:sz w:val="20"/>
                <w:szCs w:val="20"/>
              </w:rPr>
            </w:pPr>
            <w:r w:rsidRPr="005A2545">
              <w:rPr>
                <w:sz w:val="20"/>
                <w:szCs w:val="20"/>
              </w:rPr>
              <w:t>0.380</w:t>
            </w:r>
          </w:p>
        </w:tc>
        <w:tc>
          <w:tcPr>
            <w:tcW w:w="1277" w:type="dxa"/>
            <w:vAlign w:val="center"/>
          </w:tcPr>
          <w:p w14:paraId="14178C49" w14:textId="77777777" w:rsidR="004272B9" w:rsidRPr="005A2545" w:rsidRDefault="004272B9" w:rsidP="00287451">
            <w:pPr>
              <w:jc w:val="center"/>
              <w:rPr>
                <w:sz w:val="20"/>
                <w:szCs w:val="20"/>
              </w:rPr>
            </w:pPr>
            <w:r w:rsidRPr="005A2545">
              <w:rPr>
                <w:sz w:val="20"/>
                <w:szCs w:val="20"/>
              </w:rPr>
              <w:t>0.142</w:t>
            </w:r>
          </w:p>
        </w:tc>
        <w:tc>
          <w:tcPr>
            <w:tcW w:w="1277" w:type="dxa"/>
            <w:vAlign w:val="center"/>
          </w:tcPr>
          <w:p w14:paraId="666D85C3" w14:textId="77777777" w:rsidR="004272B9" w:rsidRPr="005A2545" w:rsidRDefault="004272B9" w:rsidP="00287451">
            <w:pPr>
              <w:jc w:val="center"/>
              <w:rPr>
                <w:sz w:val="20"/>
                <w:szCs w:val="20"/>
              </w:rPr>
            </w:pPr>
            <w:r w:rsidRPr="005A2545">
              <w:rPr>
                <w:sz w:val="20"/>
                <w:szCs w:val="20"/>
              </w:rPr>
              <w:t>0.153</w:t>
            </w:r>
          </w:p>
        </w:tc>
        <w:tc>
          <w:tcPr>
            <w:tcW w:w="1274" w:type="dxa"/>
            <w:vAlign w:val="center"/>
          </w:tcPr>
          <w:p w14:paraId="12B1815B" w14:textId="77777777" w:rsidR="004272B9" w:rsidRPr="005A2545" w:rsidRDefault="004272B9" w:rsidP="00287451">
            <w:pPr>
              <w:jc w:val="center"/>
              <w:rPr>
                <w:sz w:val="20"/>
                <w:szCs w:val="20"/>
              </w:rPr>
            </w:pPr>
            <w:r w:rsidRPr="005A2545">
              <w:rPr>
                <w:sz w:val="20"/>
                <w:szCs w:val="20"/>
              </w:rPr>
              <w:t>0.420</w:t>
            </w:r>
          </w:p>
        </w:tc>
      </w:tr>
    </w:tbl>
    <w:p w14:paraId="3E1864DD" w14:textId="77777777" w:rsidR="004272B9" w:rsidRPr="004272B9" w:rsidRDefault="004272B9" w:rsidP="004272B9">
      <w:pPr>
        <w:spacing w:line="480" w:lineRule="auto"/>
      </w:pPr>
    </w:p>
    <w:p w14:paraId="17F6EA26" w14:textId="77777777" w:rsidR="00164ACF" w:rsidRDefault="003425B1" w:rsidP="00164ACF">
      <w:pPr>
        <w:spacing w:line="480" w:lineRule="auto"/>
        <w:ind w:firstLine="720"/>
        <w:rPr>
          <w:color w:val="000000"/>
        </w:rPr>
      </w:pPr>
      <w:r>
        <w:rPr>
          <w:color w:val="000000"/>
        </w:rPr>
        <w:t>By contrast, o</w:t>
      </w:r>
      <w:r w:rsidR="00E34999">
        <w:rPr>
          <w:color w:val="000000"/>
        </w:rPr>
        <w:t>bviousness under</w:t>
      </w:r>
      <w:r w:rsidR="00AA6269">
        <w:rPr>
          <w:color w:val="000000"/>
        </w:rPr>
        <w:t xml:space="preserve"> section 103</w:t>
      </w:r>
      <w:r>
        <w:rPr>
          <w:color w:val="000000"/>
        </w:rPr>
        <w:t xml:space="preserve"> moves in the opposite direction, with </w:t>
      </w:r>
      <w:r w:rsidR="00AA6269">
        <w:rPr>
          <w:color w:val="000000"/>
        </w:rPr>
        <w:t xml:space="preserve">AI patents </w:t>
      </w:r>
      <w:r>
        <w:rPr>
          <w:color w:val="000000"/>
        </w:rPr>
        <w:t>being</w:t>
      </w:r>
      <w:r w:rsidR="00AA6269">
        <w:rPr>
          <w:color w:val="000000"/>
        </w:rPr>
        <w:t xml:space="preserve"> less likely to be invalidated as obvious than non-AI patents. </w:t>
      </w:r>
      <w:r w:rsidR="00CE5FC4">
        <w:rPr>
          <w:color w:val="000000"/>
        </w:rPr>
        <w:t xml:space="preserve">This result is also statistically significant at 99% confidence. </w:t>
      </w:r>
      <w:r w:rsidR="0043206C">
        <w:rPr>
          <w:color w:val="000000"/>
        </w:rPr>
        <w:t xml:space="preserve">The AI indicator is -5.34 percentage points. </w:t>
      </w:r>
      <w:r w:rsidR="00492EB3">
        <w:rPr>
          <w:color w:val="000000"/>
        </w:rPr>
        <w:t xml:space="preserve">While non-AI patents in the sample are invalidated under section 103 at a rate of about </w:t>
      </w:r>
      <w:r w:rsidR="0043206C">
        <w:rPr>
          <w:color w:val="000000"/>
        </w:rPr>
        <w:t>19.3</w:t>
      </w:r>
      <w:r w:rsidR="00492EB3">
        <w:rPr>
          <w:color w:val="000000"/>
        </w:rPr>
        <w:t>%, AI patents are invalidated under section 103 at only 1</w:t>
      </w:r>
      <w:r w:rsidR="0043206C">
        <w:rPr>
          <w:color w:val="000000"/>
        </w:rPr>
        <w:t>3.9</w:t>
      </w:r>
      <w:r w:rsidR="00492EB3">
        <w:rPr>
          <w:color w:val="000000"/>
        </w:rPr>
        <w:t>%. This represents</w:t>
      </w:r>
      <w:r w:rsidR="00C15E25">
        <w:rPr>
          <w:color w:val="000000"/>
        </w:rPr>
        <w:t xml:space="preserve"> about a 2</w:t>
      </w:r>
      <w:r w:rsidR="00492EB3">
        <w:rPr>
          <w:color w:val="000000"/>
        </w:rPr>
        <w:t>7</w:t>
      </w:r>
      <w:r w:rsidR="00FD3DB1">
        <w:rPr>
          <w:color w:val="000000"/>
        </w:rPr>
        <w:t>.7</w:t>
      </w:r>
      <w:r w:rsidR="00C15E25">
        <w:rPr>
          <w:color w:val="000000"/>
        </w:rPr>
        <w:t xml:space="preserve">% decrease relative to the non-AI baseline. </w:t>
      </w:r>
    </w:p>
    <w:p w14:paraId="69C5DA37" w14:textId="4F9C5B49" w:rsidR="003425B1" w:rsidRPr="00164ACF" w:rsidRDefault="003425B1" w:rsidP="00C33391">
      <w:pPr>
        <w:spacing w:line="480" w:lineRule="auto"/>
        <w:ind w:firstLine="720"/>
        <w:rPr>
          <w:color w:val="000000"/>
        </w:rPr>
      </w:pPr>
      <w:r>
        <w:rPr>
          <w:color w:val="000000"/>
        </w:rPr>
        <w:lastRenderedPageBreak/>
        <w:t>This pattern</w:t>
      </w:r>
      <w:r w:rsidR="00164ACF">
        <w:rPr>
          <w:color w:val="000000"/>
        </w:rPr>
        <w:t xml:space="preserve"> on section 103</w:t>
      </w:r>
      <w:r w:rsidR="004272B9">
        <w:rPr>
          <w:color w:val="000000"/>
        </w:rPr>
        <w:t xml:space="preserve"> </w:t>
      </w:r>
      <w:r w:rsidR="00164ACF">
        <w:rPr>
          <w:color w:val="000000"/>
        </w:rPr>
        <w:t>may be surprising</w:t>
      </w:r>
      <w:r>
        <w:rPr>
          <w:color w:val="000000"/>
        </w:rPr>
        <w:t xml:space="preserve">. </w:t>
      </w:r>
      <w:r w:rsidR="00164ACF" w:rsidRPr="00164ACF">
        <w:rPr>
          <w:color w:val="000000"/>
        </w:rPr>
        <w:t xml:space="preserve">Conventional wisdom </w:t>
      </w:r>
      <w:r w:rsidR="00164ACF">
        <w:rPr>
          <w:color w:val="000000"/>
        </w:rPr>
        <w:t xml:space="preserve">might </w:t>
      </w:r>
      <w:r w:rsidR="00164ACF" w:rsidRPr="00164ACF">
        <w:rPr>
          <w:color w:val="000000"/>
        </w:rPr>
        <w:t xml:space="preserve">predict the opposite. AI inventions are often criticized as combining known algorithms, publicly available models, and existing computational techniques, making them appear especially susceptible to obviousness challenges. Yet </w:t>
      </w:r>
      <w:r w:rsidR="00164ACF">
        <w:rPr>
          <w:color w:val="000000"/>
        </w:rPr>
        <w:t xml:space="preserve">my </w:t>
      </w:r>
      <w:r w:rsidR="00164ACF" w:rsidRPr="00164ACF">
        <w:rPr>
          <w:color w:val="000000"/>
        </w:rPr>
        <w:t>data show that AI patents are significantly</w:t>
      </w:r>
      <w:r w:rsidR="00164ACF" w:rsidRPr="00164ACF">
        <w:rPr>
          <w:rStyle w:val="apple-converted-space"/>
          <w:color w:val="000000"/>
        </w:rPr>
        <w:t> </w:t>
      </w:r>
      <w:r w:rsidR="00164ACF" w:rsidRPr="00164ACF">
        <w:rPr>
          <w:rStyle w:val="Strong"/>
          <w:b w:val="0"/>
          <w:bCs w:val="0"/>
          <w:color w:val="000000"/>
        </w:rPr>
        <w:t>less</w:t>
      </w:r>
      <w:r w:rsidR="00164ACF" w:rsidRPr="00164ACF">
        <w:rPr>
          <w:b/>
          <w:bCs/>
          <w:color w:val="000000"/>
        </w:rPr>
        <w:t>,</w:t>
      </w:r>
      <w:r w:rsidR="00164ACF" w:rsidRPr="00164ACF">
        <w:rPr>
          <w:color w:val="000000"/>
        </w:rPr>
        <w:t xml:space="preserve"> not more, likely to be invalidated under § 103. One explanation is that modern patent doctrine increasingly substitutes eligibility</w:t>
      </w:r>
      <w:r w:rsidR="00164ACF">
        <w:rPr>
          <w:color w:val="000000"/>
        </w:rPr>
        <w:t xml:space="preserve"> under section 101</w:t>
      </w:r>
      <w:r w:rsidR="00164ACF" w:rsidRPr="00164ACF">
        <w:rPr>
          <w:color w:val="000000"/>
        </w:rPr>
        <w:t xml:space="preserve"> for obviousness</w:t>
      </w:r>
      <w:r w:rsidR="00164ACF">
        <w:rPr>
          <w:color w:val="000000"/>
        </w:rPr>
        <w:t xml:space="preserve"> under section 103</w:t>
      </w:r>
      <w:r w:rsidR="00164ACF" w:rsidRPr="00164ACF">
        <w:rPr>
          <w:color w:val="000000"/>
        </w:rPr>
        <w:t>. Rather than asking the traditional factual question whether the claimed invention would have been obvious to a person having ordinary skill in the art, courts appear more likely to resolve AI disputes at the threshold by characterizing the claims as directed to an abstract idea under § 101. The procedural evidence points in the same direction. AI patents are substantially more likely to be resolved on motions to dismiss or judgment on the pleadings, procedural stages at which courts rarely undertake the fact-intensive analysis required by</w:t>
      </w:r>
      <w:r w:rsidR="00164ACF" w:rsidRPr="00164ACF">
        <w:rPr>
          <w:rStyle w:val="apple-converted-space"/>
          <w:color w:val="000000"/>
        </w:rPr>
        <w:t> </w:t>
      </w:r>
      <w:r w:rsidR="00164ACF" w:rsidRPr="00164ACF">
        <w:rPr>
          <w:rStyle w:val="Emphasis"/>
          <w:color w:val="000000"/>
        </w:rPr>
        <w:t>Graham</w:t>
      </w:r>
      <w:r w:rsidR="00164ACF" w:rsidRPr="00164ACF">
        <w:rPr>
          <w:color w:val="000000"/>
        </w:rPr>
        <w:t xml:space="preserve">. </w:t>
      </w:r>
      <w:r w:rsidR="00164ACF">
        <w:rPr>
          <w:color w:val="000000"/>
        </w:rPr>
        <w:t>Quite simply, c</w:t>
      </w:r>
      <w:r w:rsidR="00164ACF" w:rsidRPr="00164ACF">
        <w:rPr>
          <w:color w:val="000000"/>
        </w:rPr>
        <w:t>ases dismissed under</w:t>
      </w:r>
      <w:r w:rsidR="006A6423">
        <w:rPr>
          <w:color w:val="000000"/>
        </w:rPr>
        <w:t xml:space="preserve"> section</w:t>
      </w:r>
      <w:r w:rsidR="00164ACF" w:rsidRPr="00164ACF">
        <w:rPr>
          <w:color w:val="000000"/>
        </w:rPr>
        <w:t xml:space="preserve"> 101 never reach the obviousness inquiry. If so, the lower incidence of </w:t>
      </w:r>
      <w:r w:rsidR="006A6423">
        <w:rPr>
          <w:color w:val="000000"/>
        </w:rPr>
        <w:t>section</w:t>
      </w:r>
      <w:r w:rsidR="00164ACF" w:rsidRPr="00164ACF">
        <w:rPr>
          <w:color w:val="000000"/>
        </w:rPr>
        <w:t xml:space="preserve"> 103 invalidation does not necessarily imply that AI patents are more inventive than other patents. Instead, it suggests that many AI patents are screened out before courts ever ask the question that </w:t>
      </w:r>
      <w:r w:rsidR="006A6423">
        <w:rPr>
          <w:color w:val="000000"/>
        </w:rPr>
        <w:t xml:space="preserve">section </w:t>
      </w:r>
      <w:r w:rsidR="00164ACF" w:rsidRPr="00164ACF">
        <w:rPr>
          <w:color w:val="000000"/>
        </w:rPr>
        <w:t xml:space="preserve">103 was designed to answer. Read together, the </w:t>
      </w:r>
      <w:r w:rsidR="006A6423">
        <w:rPr>
          <w:color w:val="000000"/>
        </w:rPr>
        <w:t xml:space="preserve">section </w:t>
      </w:r>
      <w:r w:rsidR="00164ACF" w:rsidRPr="00164ACF">
        <w:rPr>
          <w:color w:val="000000"/>
        </w:rPr>
        <w:t xml:space="preserve">101 and </w:t>
      </w:r>
      <w:r w:rsidR="006A6423">
        <w:rPr>
          <w:color w:val="000000"/>
        </w:rPr>
        <w:t>section</w:t>
      </w:r>
      <w:r w:rsidR="00164ACF" w:rsidRPr="00164ACF">
        <w:rPr>
          <w:color w:val="000000"/>
        </w:rPr>
        <w:t xml:space="preserve"> 103 findings describe a shift in doctrinal emphasis: for AI inventions, eligibility increasingly performs work that Congress assigned to obviousness.</w:t>
      </w:r>
    </w:p>
    <w:p w14:paraId="20DB5619" w14:textId="595162CF" w:rsidR="00C06516" w:rsidRDefault="003425B1" w:rsidP="00FD3DB1">
      <w:pPr>
        <w:spacing w:line="480" w:lineRule="auto"/>
        <w:ind w:firstLine="720"/>
        <w:rPr>
          <w:color w:val="000000"/>
        </w:rPr>
      </w:pPr>
      <w:r>
        <w:rPr>
          <w:color w:val="000000"/>
        </w:rPr>
        <w:t xml:space="preserve">The only other statutory ground found statistically significant in some specifications is </w:t>
      </w:r>
      <w:r w:rsidR="00EE55C2">
        <w:rPr>
          <w:color w:val="000000"/>
        </w:rPr>
        <w:t xml:space="preserve">lack of </w:t>
      </w:r>
      <w:r>
        <w:rPr>
          <w:color w:val="000000"/>
        </w:rPr>
        <w:t>enablement</w:t>
      </w:r>
      <w:r w:rsidR="00EE55C2">
        <w:rPr>
          <w:color w:val="000000"/>
        </w:rPr>
        <w:t xml:space="preserve"> as a source of an invalidity ground for patents found invalidated in the district court</w:t>
      </w:r>
      <w:r>
        <w:rPr>
          <w:color w:val="000000"/>
        </w:rPr>
        <w:t>. The adjusted probability of an enablement-based invalidity ground rises from 3</w:t>
      </w:r>
      <w:r w:rsidR="00FD3DB1">
        <w:rPr>
          <w:color w:val="000000"/>
        </w:rPr>
        <w:t>.0</w:t>
      </w:r>
      <w:r>
        <w:rPr>
          <w:color w:val="000000"/>
        </w:rPr>
        <w:t xml:space="preserve">% to </w:t>
      </w:r>
      <w:r w:rsidR="00FD3DB1">
        <w:rPr>
          <w:color w:val="000000"/>
        </w:rPr>
        <w:t>4.6</w:t>
      </w:r>
      <w:r>
        <w:rPr>
          <w:color w:val="000000"/>
        </w:rPr>
        <w:t>%. That relative change (5</w:t>
      </w:r>
      <w:r w:rsidR="00FD3DB1">
        <w:rPr>
          <w:color w:val="000000"/>
        </w:rPr>
        <w:t>2.4</w:t>
      </w:r>
      <w:r>
        <w:rPr>
          <w:color w:val="000000"/>
        </w:rPr>
        <w:t>%) is large because the baseline is small</w:t>
      </w:r>
      <w:r w:rsidR="006F1A65">
        <w:rPr>
          <w:color w:val="000000"/>
        </w:rPr>
        <w:t>, with few cases where the court rules that the patent is not enabled</w:t>
      </w:r>
      <w:r>
        <w:rPr>
          <w:color w:val="000000"/>
        </w:rPr>
        <w:t xml:space="preserve">. </w:t>
      </w:r>
      <w:r w:rsidR="007C358D">
        <w:rPr>
          <w:color w:val="000000"/>
        </w:rPr>
        <w:t>The enablement result is suggestive but very fragile</w:t>
      </w:r>
      <w:r w:rsidR="00CE5FC4">
        <w:rPr>
          <w:color w:val="000000"/>
        </w:rPr>
        <w:t xml:space="preserve"> </w:t>
      </w:r>
      <w:r w:rsidR="00CE5FC4">
        <w:rPr>
          <w:color w:val="000000"/>
        </w:rPr>
        <w:lastRenderedPageBreak/>
        <w:t>and should not be highlighted</w:t>
      </w:r>
      <w:r w:rsidR="007C358D">
        <w:rPr>
          <w:color w:val="000000"/>
        </w:rPr>
        <w:t>. T</w:t>
      </w:r>
      <w:r w:rsidR="00F04C58">
        <w:rPr>
          <w:color w:val="000000"/>
        </w:rPr>
        <w:t xml:space="preserve">his result, which shows up only in some specifications where I include technology controls, appears to be driven by technological composition. AI patents are underrepresented in pharm/bio, the technological field where finding a patent not enabled is more common. In turn, AI patents are overrepresented in software, where enablement results are uncommon. As such, after technology fixed effects remove that compositional imbalance in Model 4, </w:t>
      </w:r>
      <w:r w:rsidR="007C358D">
        <w:rPr>
          <w:color w:val="000000"/>
        </w:rPr>
        <w:t xml:space="preserve">the fully controlled model shows a statistically significant positive association between AI status and enablement invalidity. A close look at the data reveals that this association is driven largely by a small number of multi-patent case clusters, especially the famous Lemelson/Symbol image-scanning litigation, and to a lesser extent, some software cases. </w:t>
      </w:r>
      <w:r w:rsidR="00EE55C2">
        <w:rPr>
          <w:color w:val="000000"/>
        </w:rPr>
        <w:t xml:space="preserve">These patents are largely labeled as “vision” AI patents by the USPTO Database, and thus it may be picking up enablement problems in broad, functional automation patents labeled as AI by the USPTO rather than a general property of contemporary AI inventions. </w:t>
      </w:r>
      <w:r w:rsidR="007C358D">
        <w:rPr>
          <w:color w:val="000000"/>
        </w:rPr>
        <w:t>Once those clusters are removed, the enablement coefficient falls sharply and is no longer statistically significant</w:t>
      </w:r>
      <w:r w:rsidR="00EE55C2">
        <w:rPr>
          <w:color w:val="000000"/>
        </w:rPr>
        <w:t>.</w:t>
      </w:r>
      <w:r w:rsidR="007C358D">
        <w:rPr>
          <w:color w:val="000000"/>
        </w:rPr>
        <w:t xml:space="preserve"> </w:t>
      </w:r>
      <w:r w:rsidR="009767C1">
        <w:rPr>
          <w:color w:val="000000"/>
        </w:rPr>
        <w:t xml:space="preserve">As noted later in this Article, the enablement result disappears in the software-only subsample. </w:t>
      </w:r>
      <w:r w:rsidR="00F04C58">
        <w:rPr>
          <w:color w:val="000000"/>
        </w:rPr>
        <w:t xml:space="preserve">For </w:t>
      </w:r>
      <w:r>
        <w:rPr>
          <w:color w:val="000000"/>
        </w:rPr>
        <w:t xml:space="preserve">that reason, the enablement result is best treated as </w:t>
      </w:r>
      <w:r w:rsidR="007C358D">
        <w:rPr>
          <w:color w:val="000000"/>
        </w:rPr>
        <w:t xml:space="preserve">a </w:t>
      </w:r>
      <w:r>
        <w:rPr>
          <w:color w:val="000000"/>
        </w:rPr>
        <w:t xml:space="preserve">suggestive and </w:t>
      </w:r>
      <w:r w:rsidR="007C358D">
        <w:rPr>
          <w:color w:val="000000"/>
        </w:rPr>
        <w:t>a secondary weak finding relative</w:t>
      </w:r>
      <w:r>
        <w:rPr>
          <w:color w:val="000000"/>
        </w:rPr>
        <w:t xml:space="preserve"> to the much larger and more </w:t>
      </w:r>
      <w:r w:rsidR="007C358D">
        <w:rPr>
          <w:color w:val="000000"/>
        </w:rPr>
        <w:t xml:space="preserve">robust </w:t>
      </w:r>
      <w:r>
        <w:rPr>
          <w:color w:val="000000"/>
        </w:rPr>
        <w:t xml:space="preserve">finding </w:t>
      </w:r>
      <w:r w:rsidR="007C358D">
        <w:rPr>
          <w:color w:val="000000"/>
        </w:rPr>
        <w:t xml:space="preserve">on </w:t>
      </w:r>
      <w:r>
        <w:rPr>
          <w:color w:val="000000"/>
        </w:rPr>
        <w:t>section 101</w:t>
      </w:r>
      <w:r w:rsidR="006F1A65">
        <w:rPr>
          <w:color w:val="000000"/>
        </w:rPr>
        <w:t>, and to a lesser extent, the section 103 finding</w:t>
      </w:r>
      <w:r>
        <w:rPr>
          <w:color w:val="000000"/>
        </w:rPr>
        <w:t>. There is no statistically significant relationship for anticipation (section 102), written description, or indefiniteness. So</w:t>
      </w:r>
      <w:r w:rsidR="00AA6269">
        <w:rPr>
          <w:color w:val="000000"/>
        </w:rPr>
        <w:t xml:space="preserve"> even within the subset of patents invalidated, AI patents are disproportionately routed into section 101</w:t>
      </w:r>
      <w:r w:rsidR="00492EB3">
        <w:rPr>
          <w:color w:val="000000"/>
        </w:rPr>
        <w:t xml:space="preserve"> a</w:t>
      </w:r>
      <w:r w:rsidR="00AA6269">
        <w:rPr>
          <w:color w:val="000000"/>
        </w:rPr>
        <w:t xml:space="preserve"> rather than the more conventional prior art and disclosure doctrines. </w:t>
      </w:r>
    </w:p>
    <w:p w14:paraId="35FFEEFC" w14:textId="0F7B5BCA" w:rsidR="00FD3DB1" w:rsidRDefault="00FD3DB1" w:rsidP="004A63FC">
      <w:pPr>
        <w:spacing w:line="480" w:lineRule="auto"/>
        <w:ind w:firstLine="720"/>
        <w:rPr>
          <w:color w:val="000000"/>
        </w:rPr>
      </w:pPr>
      <w:r>
        <w:rPr>
          <w:color w:val="000000"/>
        </w:rPr>
        <w:t xml:space="preserve">Figure </w:t>
      </w:r>
      <w:r w:rsidR="001142BC">
        <w:rPr>
          <w:color w:val="000000"/>
        </w:rPr>
        <w:t xml:space="preserve">7 </w:t>
      </w:r>
      <w:r>
        <w:rPr>
          <w:color w:val="000000"/>
        </w:rPr>
        <w:t>below s</w:t>
      </w:r>
      <w:r w:rsidR="004A63FC">
        <w:rPr>
          <w:color w:val="000000"/>
        </w:rPr>
        <w:t>ummarizes</w:t>
      </w:r>
      <w:r>
        <w:rPr>
          <w:color w:val="000000"/>
        </w:rPr>
        <w:t xml:space="preserve"> the results for invalidity</w:t>
      </w:r>
      <w:r w:rsidR="004A63FC">
        <w:rPr>
          <w:color w:val="000000"/>
        </w:rPr>
        <w:t xml:space="preserve"> across the statutory subsections as well as generally</w:t>
      </w:r>
      <w:r>
        <w:rPr>
          <w:color w:val="000000"/>
        </w:rPr>
        <w:t xml:space="preserve">. If a bar crosses does not cross the horizontal axis, that means it is statistically significant. Wider bars indicate larger standard errors. </w:t>
      </w:r>
    </w:p>
    <w:p w14:paraId="504C4C83" w14:textId="4F1D652D" w:rsidR="00B34956" w:rsidRPr="00E333AB" w:rsidRDefault="00B34956" w:rsidP="00E333AB">
      <w:pPr>
        <w:spacing w:line="480" w:lineRule="auto"/>
        <w:jc w:val="center"/>
        <w:rPr>
          <w:b/>
          <w:bCs/>
          <w:color w:val="000000"/>
        </w:rPr>
      </w:pPr>
      <w:r w:rsidRPr="00E333AB">
        <w:rPr>
          <w:b/>
          <w:bCs/>
          <w:color w:val="000000"/>
        </w:rPr>
        <w:lastRenderedPageBreak/>
        <w:t xml:space="preserve">Figure </w:t>
      </w:r>
      <w:r w:rsidR="001142BC">
        <w:rPr>
          <w:b/>
          <w:bCs/>
          <w:color w:val="000000"/>
        </w:rPr>
        <w:t>7</w:t>
      </w:r>
      <w:r w:rsidRPr="00E333AB">
        <w:rPr>
          <w:b/>
          <w:bCs/>
          <w:color w:val="000000"/>
        </w:rPr>
        <w:t>: Coefficient Plot Across Invalidity and AI Tiers</w:t>
      </w:r>
    </w:p>
    <w:p w14:paraId="3A946F2C" w14:textId="6B79AC05" w:rsidR="004272B9" w:rsidRPr="004A63FC" w:rsidRDefault="004272B9" w:rsidP="004272B9">
      <w:pPr>
        <w:spacing w:line="480" w:lineRule="auto"/>
        <w:ind w:firstLine="720"/>
        <w:jc w:val="center"/>
      </w:pPr>
      <w:r w:rsidRPr="005A2545">
        <w:rPr>
          <w:noProof/>
          <w:sz w:val="20"/>
          <w:szCs w:val="20"/>
        </w:rPr>
        <w:drawing>
          <wp:inline distT="0" distB="0" distL="0" distR="0" wp14:anchorId="35C92F22" wp14:editId="6C1CFC88">
            <wp:extent cx="5486400" cy="2587752"/>
            <wp:effectExtent l="0" t="0" r="0" b="3175"/>
            <wp:docPr id="647923764" name="Picture 647923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validity_statutory_ai50_ai93.png"/>
                    <pic:cNvPicPr/>
                  </pic:nvPicPr>
                  <pic:blipFill>
                    <a:blip r:embed="rId12"/>
                    <a:stretch>
                      <a:fillRect/>
                    </a:stretch>
                  </pic:blipFill>
                  <pic:spPr>
                    <a:xfrm>
                      <a:off x="0" y="0"/>
                      <a:ext cx="5486400" cy="2587752"/>
                    </a:xfrm>
                    <a:prstGeom prst="rect">
                      <a:avLst/>
                    </a:prstGeom>
                  </pic:spPr>
                </pic:pic>
              </a:graphicData>
            </a:graphic>
          </wp:inline>
        </w:drawing>
      </w:r>
    </w:p>
    <w:p w14:paraId="08372EDE" w14:textId="31E4C515" w:rsidR="00C06516" w:rsidRDefault="007F4ABC" w:rsidP="00BA2B33">
      <w:pPr>
        <w:pStyle w:val="FootnoteText"/>
        <w:spacing w:line="480" w:lineRule="auto"/>
        <w:rPr>
          <w:noProof/>
          <w:sz w:val="24"/>
          <w:szCs w:val="24"/>
        </w:rPr>
      </w:pPr>
      <w:r w:rsidRPr="00BA2B33">
        <w:rPr>
          <w:noProof/>
          <w:sz w:val="24"/>
          <w:szCs w:val="24"/>
        </w:rPr>
        <w:t xml:space="preserve">Table </w:t>
      </w:r>
      <w:r w:rsidR="004272B9">
        <w:rPr>
          <w:noProof/>
          <w:sz w:val="24"/>
          <w:szCs w:val="24"/>
        </w:rPr>
        <w:t>5</w:t>
      </w:r>
      <w:r w:rsidRPr="00BA2B33">
        <w:rPr>
          <w:noProof/>
          <w:sz w:val="24"/>
          <w:szCs w:val="24"/>
        </w:rPr>
        <w:t xml:space="preserve"> then looks at the effect of </w:t>
      </w:r>
      <w:r w:rsidRPr="00BA2B33">
        <w:rPr>
          <w:i/>
          <w:iCs/>
          <w:noProof/>
          <w:sz w:val="24"/>
          <w:szCs w:val="24"/>
        </w:rPr>
        <w:t>Alice</w:t>
      </w:r>
      <w:r w:rsidRPr="00BA2B33">
        <w:rPr>
          <w:noProof/>
          <w:sz w:val="24"/>
          <w:szCs w:val="24"/>
        </w:rPr>
        <w:t xml:space="preserve"> on the invalidity findings on section 101. Specifically, </w:t>
      </w:r>
      <w:r w:rsidR="00A36D7E">
        <w:rPr>
          <w:noProof/>
          <w:sz w:val="24"/>
          <w:szCs w:val="24"/>
        </w:rPr>
        <w:t>Model 1</w:t>
      </w:r>
      <w:r w:rsidR="0039309F" w:rsidRPr="00BA2B33">
        <w:rPr>
          <w:noProof/>
          <w:sz w:val="24"/>
          <w:szCs w:val="24"/>
        </w:rPr>
        <w:t xml:space="preserve"> </w:t>
      </w:r>
      <w:r w:rsidRPr="00BA2B33">
        <w:rPr>
          <w:noProof/>
          <w:sz w:val="24"/>
          <w:szCs w:val="24"/>
        </w:rPr>
        <w:t>adds a post-</w:t>
      </w:r>
      <w:r w:rsidRPr="00BA2B33">
        <w:rPr>
          <w:i/>
          <w:iCs/>
          <w:noProof/>
          <w:sz w:val="24"/>
          <w:szCs w:val="24"/>
        </w:rPr>
        <w:t>Alice</w:t>
      </w:r>
      <w:r w:rsidRPr="00BA2B33">
        <w:rPr>
          <w:noProof/>
          <w:sz w:val="24"/>
          <w:szCs w:val="24"/>
        </w:rPr>
        <w:t xml:space="preserve"> indicator </w:t>
      </w:r>
      <w:r w:rsidR="0039309F" w:rsidRPr="00BA2B33">
        <w:rPr>
          <w:noProof/>
          <w:sz w:val="24"/>
          <w:szCs w:val="24"/>
        </w:rPr>
        <w:t>equal to one after June 19, 2014, and zero before that date</w:t>
      </w:r>
      <w:r w:rsidRPr="00BA2B33">
        <w:rPr>
          <w:noProof/>
          <w:sz w:val="24"/>
          <w:szCs w:val="24"/>
        </w:rPr>
        <w:t xml:space="preserve">. </w:t>
      </w:r>
      <w:r w:rsidR="00A36D7E">
        <w:rPr>
          <w:noProof/>
          <w:sz w:val="24"/>
          <w:szCs w:val="24"/>
        </w:rPr>
        <w:t xml:space="preserve">In Model 2, it </w:t>
      </w:r>
      <w:r w:rsidR="00BA2B33" w:rsidRPr="00BA2B33">
        <w:rPr>
          <w:noProof/>
          <w:sz w:val="24"/>
          <w:szCs w:val="24"/>
        </w:rPr>
        <w:t>also adds an interaction term between the post-</w:t>
      </w:r>
      <w:r w:rsidR="00BA2B33" w:rsidRPr="00BA2B33">
        <w:rPr>
          <w:i/>
          <w:iCs/>
          <w:noProof/>
          <w:sz w:val="24"/>
          <w:szCs w:val="24"/>
        </w:rPr>
        <w:t>Alice</w:t>
      </w:r>
      <w:r w:rsidR="00BA2B33" w:rsidRPr="00BA2B33">
        <w:rPr>
          <w:noProof/>
          <w:sz w:val="24"/>
          <w:szCs w:val="24"/>
        </w:rPr>
        <w:t xml:space="preserve"> indicator and the AI indicator in some specifications.</w:t>
      </w:r>
      <w:r w:rsidR="00BA2B33">
        <w:rPr>
          <w:noProof/>
          <w:sz w:val="24"/>
          <w:szCs w:val="24"/>
        </w:rPr>
        <w:t xml:space="preserve"> </w:t>
      </w:r>
      <w:r w:rsidR="00BA2B33" w:rsidRPr="00BA2B33">
        <w:rPr>
          <w:sz w:val="24"/>
          <w:szCs w:val="24"/>
        </w:rPr>
        <w:t>The non-interacted model answers, “Does the AI result surviving controlling for the post-</w:t>
      </w:r>
      <w:r w:rsidR="00BA2B33" w:rsidRPr="00BA2B33">
        <w:rPr>
          <w:i/>
          <w:iCs/>
          <w:sz w:val="24"/>
          <w:szCs w:val="24"/>
        </w:rPr>
        <w:t>Alice</w:t>
      </w:r>
      <w:r w:rsidR="00BA2B33" w:rsidRPr="00BA2B33">
        <w:rPr>
          <w:sz w:val="24"/>
          <w:szCs w:val="24"/>
        </w:rPr>
        <w:t xml:space="preserve"> era?” By contrast, the interaction term answers, “did the AI gap itself change after </w:t>
      </w:r>
      <w:r w:rsidR="00BA2B33" w:rsidRPr="00BA2B33">
        <w:rPr>
          <w:i/>
          <w:iCs/>
          <w:sz w:val="24"/>
          <w:szCs w:val="24"/>
        </w:rPr>
        <w:t>Alice</w:t>
      </w:r>
      <w:r w:rsidR="00BA2B33" w:rsidRPr="00BA2B33">
        <w:rPr>
          <w:sz w:val="24"/>
          <w:szCs w:val="24"/>
        </w:rPr>
        <w:t xml:space="preserve">?” </w:t>
      </w:r>
      <w:r w:rsidRPr="00BA2B33">
        <w:rPr>
          <w:noProof/>
          <w:sz w:val="24"/>
          <w:szCs w:val="24"/>
        </w:rPr>
        <w:t xml:space="preserve">The results are stark: </w:t>
      </w:r>
      <w:r w:rsidR="00BA2B33" w:rsidRPr="00BA2B33">
        <w:rPr>
          <w:noProof/>
          <w:sz w:val="24"/>
          <w:szCs w:val="24"/>
        </w:rPr>
        <w:t>AI patents remain more likely to be invalidated under section 101 even after accounting for the general post-</w:t>
      </w:r>
      <w:r w:rsidR="00BA2B33" w:rsidRPr="00BA2B33">
        <w:rPr>
          <w:i/>
          <w:iCs/>
          <w:noProof/>
          <w:sz w:val="24"/>
          <w:szCs w:val="24"/>
        </w:rPr>
        <w:t>Alice</w:t>
      </w:r>
      <w:r w:rsidR="00BA2B33" w:rsidRPr="00BA2B33">
        <w:rPr>
          <w:noProof/>
          <w:sz w:val="24"/>
          <w:szCs w:val="24"/>
        </w:rPr>
        <w:t xml:space="preserve"> increase in eligibility invalidations. The coefficient on the broad USPTO-AI indicator at 50% confidence is 8.</w:t>
      </w:r>
      <w:r w:rsidR="004A63FC">
        <w:rPr>
          <w:noProof/>
          <w:sz w:val="24"/>
          <w:szCs w:val="24"/>
        </w:rPr>
        <w:t>09</w:t>
      </w:r>
      <w:r w:rsidR="00BA2B33" w:rsidRPr="00BA2B33">
        <w:rPr>
          <w:noProof/>
          <w:sz w:val="24"/>
          <w:szCs w:val="24"/>
        </w:rPr>
        <w:t xml:space="preserve"> percentage point, and the post-</w:t>
      </w:r>
      <w:r w:rsidR="00BA2B33" w:rsidRPr="00BA2B33">
        <w:rPr>
          <w:i/>
          <w:iCs/>
          <w:noProof/>
          <w:sz w:val="24"/>
          <w:szCs w:val="24"/>
        </w:rPr>
        <w:t>Alice</w:t>
      </w:r>
      <w:r w:rsidR="00BA2B33" w:rsidRPr="00BA2B33">
        <w:rPr>
          <w:noProof/>
          <w:sz w:val="24"/>
          <w:szCs w:val="24"/>
        </w:rPr>
        <w:t xml:space="preserve"> indicator itself is 21.9 percentage points. This means two things are occurring: courts became more likely to use section 101 after </w:t>
      </w:r>
      <w:r w:rsidR="00BA2B33" w:rsidRPr="00BA2B33">
        <w:rPr>
          <w:i/>
          <w:iCs/>
          <w:noProof/>
          <w:sz w:val="24"/>
          <w:szCs w:val="24"/>
        </w:rPr>
        <w:t>Alice</w:t>
      </w:r>
      <w:r w:rsidR="00BA2B33" w:rsidRPr="00BA2B33">
        <w:rPr>
          <w:noProof/>
          <w:sz w:val="24"/>
          <w:szCs w:val="24"/>
        </w:rPr>
        <w:t xml:space="preserve"> overall, and AI patents are still more likely to be invalidated than non-AI pat</w:t>
      </w:r>
      <w:r w:rsidR="00006157">
        <w:rPr>
          <w:noProof/>
          <w:sz w:val="24"/>
          <w:szCs w:val="24"/>
        </w:rPr>
        <w:t>ents</w:t>
      </w:r>
      <w:r w:rsidR="00BA2B33" w:rsidRPr="00BA2B33">
        <w:rPr>
          <w:noProof/>
          <w:sz w:val="24"/>
          <w:szCs w:val="24"/>
        </w:rPr>
        <w:t xml:space="preserve"> even after controlling for this broader doctrinal shift</w:t>
      </w:r>
      <w:r w:rsidR="00006157">
        <w:rPr>
          <w:noProof/>
          <w:sz w:val="24"/>
          <w:szCs w:val="24"/>
        </w:rPr>
        <w:t xml:space="preserve"> in eligibility law post-</w:t>
      </w:r>
      <w:r w:rsidR="00006157" w:rsidRPr="00006157">
        <w:rPr>
          <w:i/>
          <w:iCs/>
          <w:noProof/>
          <w:sz w:val="24"/>
          <w:szCs w:val="24"/>
        </w:rPr>
        <w:t>Alice</w:t>
      </w:r>
      <w:r w:rsidR="00BA2B33" w:rsidRPr="00BA2B33">
        <w:rPr>
          <w:noProof/>
          <w:sz w:val="24"/>
          <w:szCs w:val="24"/>
        </w:rPr>
        <w:t>. The interaction model is even mor</w:t>
      </w:r>
      <w:r w:rsidR="00006157">
        <w:rPr>
          <w:noProof/>
          <w:sz w:val="24"/>
          <w:szCs w:val="24"/>
        </w:rPr>
        <w:t>e</w:t>
      </w:r>
      <w:r w:rsidR="00BA2B33" w:rsidRPr="00BA2B33">
        <w:rPr>
          <w:noProof/>
          <w:sz w:val="24"/>
          <w:szCs w:val="24"/>
        </w:rPr>
        <w:t xml:space="preserve"> revealing. There, the AI coefficient before </w:t>
      </w:r>
      <w:r w:rsidR="00BA2B33" w:rsidRPr="00BA2B33">
        <w:rPr>
          <w:i/>
          <w:iCs/>
          <w:noProof/>
          <w:sz w:val="24"/>
          <w:szCs w:val="24"/>
        </w:rPr>
        <w:t>Alice</w:t>
      </w:r>
      <w:r w:rsidR="00BA2B33" w:rsidRPr="00BA2B33">
        <w:rPr>
          <w:noProof/>
          <w:sz w:val="24"/>
          <w:szCs w:val="24"/>
        </w:rPr>
        <w:t xml:space="preserve"> is slightly negative: about -3.</w:t>
      </w:r>
      <w:r w:rsidR="004A63FC">
        <w:rPr>
          <w:noProof/>
          <w:sz w:val="24"/>
          <w:szCs w:val="24"/>
        </w:rPr>
        <w:t>78</w:t>
      </w:r>
      <w:r w:rsidR="00BA2B33" w:rsidRPr="00BA2B33">
        <w:rPr>
          <w:noProof/>
          <w:sz w:val="24"/>
          <w:szCs w:val="24"/>
        </w:rPr>
        <w:t xml:space="preserve"> percentage points. But the AIxpost-</w:t>
      </w:r>
      <w:r w:rsidR="00BA2B33" w:rsidRPr="00006157">
        <w:rPr>
          <w:i/>
          <w:iCs/>
          <w:noProof/>
          <w:sz w:val="24"/>
          <w:szCs w:val="24"/>
        </w:rPr>
        <w:t>Alice</w:t>
      </w:r>
      <w:r w:rsidR="00BA2B33" w:rsidRPr="00BA2B33">
        <w:rPr>
          <w:noProof/>
          <w:sz w:val="24"/>
          <w:szCs w:val="24"/>
        </w:rPr>
        <w:t xml:space="preserve"> interaction term is 15.3 percentage points, so the implied post-</w:t>
      </w:r>
      <w:r w:rsidR="00BA2B33" w:rsidRPr="00006157">
        <w:rPr>
          <w:i/>
          <w:iCs/>
          <w:noProof/>
          <w:sz w:val="24"/>
          <w:szCs w:val="24"/>
        </w:rPr>
        <w:t>Alice</w:t>
      </w:r>
      <w:r w:rsidR="00BA2B33" w:rsidRPr="00BA2B33">
        <w:rPr>
          <w:noProof/>
          <w:sz w:val="24"/>
          <w:szCs w:val="24"/>
        </w:rPr>
        <w:t xml:space="preserve"> effect is 11.5 percentage points. In predicted probability terms, before </w:t>
      </w:r>
      <w:r w:rsidR="00BA2B33" w:rsidRPr="00006157">
        <w:rPr>
          <w:i/>
          <w:iCs/>
          <w:noProof/>
          <w:sz w:val="24"/>
          <w:szCs w:val="24"/>
        </w:rPr>
        <w:t>Alice</w:t>
      </w:r>
      <w:r w:rsidR="00BA2B33" w:rsidRPr="00BA2B33">
        <w:rPr>
          <w:noProof/>
          <w:sz w:val="24"/>
          <w:szCs w:val="24"/>
        </w:rPr>
        <w:t xml:space="preserve"> the model predicts section 101 invalidation probabiliites of about </w:t>
      </w:r>
      <w:r w:rsidR="00BA2B33" w:rsidRPr="00BA2B33">
        <w:rPr>
          <w:noProof/>
          <w:sz w:val="24"/>
          <w:szCs w:val="24"/>
        </w:rPr>
        <w:lastRenderedPageBreak/>
        <w:t xml:space="preserve">25.6% for non-AI patents and 21.8% for AI patents. But after </w:t>
      </w:r>
      <w:r w:rsidR="00BA2B33" w:rsidRPr="00006157">
        <w:rPr>
          <w:i/>
          <w:iCs/>
          <w:noProof/>
          <w:sz w:val="24"/>
          <w:szCs w:val="24"/>
        </w:rPr>
        <w:t>Alice</w:t>
      </w:r>
      <w:r w:rsidR="00BA2B33" w:rsidRPr="00BA2B33">
        <w:rPr>
          <w:noProof/>
          <w:sz w:val="24"/>
          <w:szCs w:val="24"/>
        </w:rPr>
        <w:t>, the probabilities rise to 42</w:t>
      </w:r>
      <w:r w:rsidR="004A63FC">
        <w:rPr>
          <w:noProof/>
          <w:sz w:val="24"/>
          <w:szCs w:val="24"/>
        </w:rPr>
        <w:t>.0</w:t>
      </w:r>
      <w:r w:rsidR="00BA2B33" w:rsidRPr="00BA2B33">
        <w:rPr>
          <w:noProof/>
          <w:sz w:val="24"/>
          <w:szCs w:val="24"/>
        </w:rPr>
        <w:t xml:space="preserve">% for non-AI patents and 53.5% for AI patents. In plain terms, before </w:t>
      </w:r>
      <w:r w:rsidR="00BA2B33" w:rsidRPr="00006157">
        <w:rPr>
          <w:i/>
          <w:iCs/>
          <w:noProof/>
          <w:sz w:val="24"/>
          <w:szCs w:val="24"/>
        </w:rPr>
        <w:t>Alice</w:t>
      </w:r>
      <w:r w:rsidR="00BA2B33" w:rsidRPr="00BA2B33">
        <w:rPr>
          <w:noProof/>
          <w:sz w:val="24"/>
          <w:szCs w:val="24"/>
        </w:rPr>
        <w:t xml:space="preserve">, AI patents were not especially more likely to be invalidated under section 101; after </w:t>
      </w:r>
      <w:r w:rsidR="00BA2B33" w:rsidRPr="00006157">
        <w:rPr>
          <w:i/>
          <w:iCs/>
          <w:noProof/>
          <w:sz w:val="24"/>
          <w:szCs w:val="24"/>
        </w:rPr>
        <w:t>Alice</w:t>
      </w:r>
      <w:r w:rsidR="00BA2B33" w:rsidRPr="00BA2B33">
        <w:rPr>
          <w:noProof/>
          <w:sz w:val="24"/>
          <w:szCs w:val="24"/>
        </w:rPr>
        <w:t xml:space="preserve">, they were substantially more likely to be invalidated under section 101 than comparable non-AI patents. </w:t>
      </w:r>
      <w:r w:rsidR="00006157">
        <w:rPr>
          <w:noProof/>
          <w:sz w:val="24"/>
          <w:szCs w:val="24"/>
        </w:rPr>
        <w:t xml:space="preserve"> The same result persists when defining an AI invention at the higher 86% and 93% thresholds</w:t>
      </w:r>
      <w:r w:rsidR="00A36D7E">
        <w:rPr>
          <w:noProof/>
          <w:sz w:val="24"/>
          <w:szCs w:val="24"/>
        </w:rPr>
        <w:t>, as shown in Models 3 and 4</w:t>
      </w:r>
      <w:r w:rsidR="00006157">
        <w:rPr>
          <w:noProof/>
          <w:sz w:val="24"/>
          <w:szCs w:val="24"/>
        </w:rPr>
        <w:t>.</w:t>
      </w:r>
      <w:r w:rsidR="00660C22">
        <w:rPr>
          <w:noProof/>
          <w:sz w:val="24"/>
          <w:szCs w:val="24"/>
        </w:rPr>
        <w:t xml:space="preserve"> Figure </w:t>
      </w:r>
      <w:r w:rsidR="001142BC">
        <w:rPr>
          <w:noProof/>
          <w:sz w:val="24"/>
          <w:szCs w:val="24"/>
        </w:rPr>
        <w:t>8</w:t>
      </w:r>
      <w:r w:rsidR="00660C22">
        <w:rPr>
          <w:noProof/>
          <w:sz w:val="24"/>
          <w:szCs w:val="24"/>
        </w:rPr>
        <w:t xml:space="preserve"> makes clear the difference.</w:t>
      </w:r>
    </w:p>
    <w:p w14:paraId="6E6C61F1" w14:textId="4DAF1515" w:rsidR="00F46C28" w:rsidRPr="006A6423" w:rsidRDefault="00F46C28" w:rsidP="006A6423">
      <w:pPr>
        <w:pStyle w:val="Heading3"/>
        <w:jc w:val="center"/>
        <w:rPr>
          <w:rFonts w:cs="Times New Roman"/>
          <w:b/>
          <w:bCs/>
          <w:i/>
          <w:iCs/>
          <w:color w:val="auto"/>
          <w:sz w:val="24"/>
          <w:szCs w:val="24"/>
        </w:rPr>
      </w:pPr>
      <w:r w:rsidRPr="006A6423">
        <w:rPr>
          <w:rFonts w:cs="Times New Roman"/>
          <w:b/>
          <w:bCs/>
          <w:color w:val="auto"/>
          <w:sz w:val="24"/>
          <w:szCs w:val="24"/>
        </w:rPr>
        <w:t xml:space="preserve">Table 5: Section 101 and </w:t>
      </w:r>
      <w:r w:rsidRPr="006A6423">
        <w:rPr>
          <w:rFonts w:cs="Times New Roman"/>
          <w:b/>
          <w:bCs/>
          <w:i/>
          <w:iCs/>
          <w:color w:val="auto"/>
          <w:sz w:val="24"/>
          <w:szCs w:val="24"/>
        </w:rPr>
        <w:t>Alice</w:t>
      </w:r>
    </w:p>
    <w:tbl>
      <w:tblPr>
        <w:tblStyle w:val="TableGrid"/>
        <w:tblW w:w="9360" w:type="dxa"/>
        <w:tblLayout w:type="fixed"/>
        <w:tblLook w:val="04A0" w:firstRow="1" w:lastRow="0" w:firstColumn="1" w:lastColumn="0" w:noHBand="0" w:noVBand="1"/>
      </w:tblPr>
      <w:tblGrid>
        <w:gridCol w:w="2232"/>
        <w:gridCol w:w="1782"/>
        <w:gridCol w:w="1782"/>
        <w:gridCol w:w="1782"/>
        <w:gridCol w:w="1782"/>
      </w:tblGrid>
      <w:tr w:rsidR="00F46C28" w:rsidRPr="005A2545" w14:paraId="73A92DF3" w14:textId="77777777" w:rsidTr="00287451">
        <w:tc>
          <w:tcPr>
            <w:tcW w:w="2232" w:type="dxa"/>
            <w:shd w:val="clear" w:color="auto" w:fill="F2F2F2"/>
            <w:vAlign w:val="center"/>
          </w:tcPr>
          <w:p w14:paraId="4EF63E81" w14:textId="77777777" w:rsidR="00F46C28" w:rsidRPr="005A2545" w:rsidRDefault="00F46C28" w:rsidP="00287451">
            <w:pPr>
              <w:jc w:val="center"/>
              <w:rPr>
                <w:sz w:val="20"/>
                <w:szCs w:val="20"/>
              </w:rPr>
            </w:pPr>
            <w:r w:rsidRPr="005A2545">
              <w:rPr>
                <w:b/>
                <w:sz w:val="20"/>
                <w:szCs w:val="20"/>
              </w:rPr>
              <w:t>Statistic</w:t>
            </w:r>
          </w:p>
        </w:tc>
        <w:tc>
          <w:tcPr>
            <w:tcW w:w="1782" w:type="dxa"/>
            <w:shd w:val="clear" w:color="auto" w:fill="F2F2F2"/>
            <w:vAlign w:val="center"/>
          </w:tcPr>
          <w:p w14:paraId="57C8C08A" w14:textId="77777777" w:rsidR="00F46C28" w:rsidRPr="005A2545" w:rsidRDefault="00F46C28" w:rsidP="00287451">
            <w:pPr>
              <w:jc w:val="center"/>
              <w:rPr>
                <w:sz w:val="20"/>
                <w:szCs w:val="20"/>
              </w:rPr>
            </w:pPr>
            <w:r w:rsidRPr="005A2545">
              <w:rPr>
                <w:b/>
                <w:sz w:val="20"/>
                <w:szCs w:val="20"/>
              </w:rPr>
              <w:t>Model 1</w:t>
            </w:r>
            <w:r w:rsidRPr="005A2545">
              <w:rPr>
                <w:sz w:val="20"/>
                <w:szCs w:val="20"/>
              </w:rPr>
              <w:br/>
            </w:r>
            <w:r w:rsidRPr="005A2545">
              <w:rPr>
                <w:b/>
                <w:sz w:val="20"/>
                <w:szCs w:val="20"/>
              </w:rPr>
              <w:t>AI50, no interaction</w:t>
            </w:r>
          </w:p>
        </w:tc>
        <w:tc>
          <w:tcPr>
            <w:tcW w:w="1782" w:type="dxa"/>
            <w:shd w:val="clear" w:color="auto" w:fill="F2F2F2"/>
            <w:vAlign w:val="center"/>
          </w:tcPr>
          <w:p w14:paraId="4B8F5AA1" w14:textId="77777777" w:rsidR="00F46C28" w:rsidRPr="005A2545" w:rsidRDefault="00F46C28" w:rsidP="00287451">
            <w:pPr>
              <w:jc w:val="center"/>
              <w:rPr>
                <w:sz w:val="20"/>
                <w:szCs w:val="20"/>
              </w:rPr>
            </w:pPr>
            <w:r w:rsidRPr="005A2545">
              <w:rPr>
                <w:b/>
                <w:sz w:val="20"/>
                <w:szCs w:val="20"/>
              </w:rPr>
              <w:t>Model 2</w:t>
            </w:r>
            <w:r w:rsidRPr="005A2545">
              <w:rPr>
                <w:sz w:val="20"/>
                <w:szCs w:val="20"/>
              </w:rPr>
              <w:br/>
            </w:r>
            <w:r w:rsidRPr="005A2545">
              <w:rPr>
                <w:b/>
                <w:sz w:val="20"/>
                <w:szCs w:val="20"/>
              </w:rPr>
              <w:t>AI50, interaction</w:t>
            </w:r>
          </w:p>
        </w:tc>
        <w:tc>
          <w:tcPr>
            <w:tcW w:w="1782" w:type="dxa"/>
            <w:shd w:val="clear" w:color="auto" w:fill="F2F2F2"/>
            <w:vAlign w:val="center"/>
          </w:tcPr>
          <w:p w14:paraId="5594ACED" w14:textId="77777777" w:rsidR="00F46C28" w:rsidRPr="005A2545" w:rsidRDefault="00F46C28" w:rsidP="00287451">
            <w:pPr>
              <w:jc w:val="center"/>
              <w:rPr>
                <w:sz w:val="20"/>
                <w:szCs w:val="20"/>
              </w:rPr>
            </w:pPr>
            <w:r w:rsidRPr="005A2545">
              <w:rPr>
                <w:b/>
                <w:sz w:val="20"/>
                <w:szCs w:val="20"/>
              </w:rPr>
              <w:t>Model 3</w:t>
            </w:r>
            <w:r w:rsidRPr="005A2545">
              <w:rPr>
                <w:sz w:val="20"/>
                <w:szCs w:val="20"/>
              </w:rPr>
              <w:br/>
            </w:r>
            <w:r w:rsidRPr="005A2545">
              <w:rPr>
                <w:b/>
                <w:sz w:val="20"/>
                <w:szCs w:val="20"/>
              </w:rPr>
              <w:t>AI93, no interaction</w:t>
            </w:r>
          </w:p>
        </w:tc>
        <w:tc>
          <w:tcPr>
            <w:tcW w:w="1782" w:type="dxa"/>
            <w:shd w:val="clear" w:color="auto" w:fill="F2F2F2"/>
            <w:vAlign w:val="center"/>
          </w:tcPr>
          <w:p w14:paraId="43BAE327" w14:textId="77777777" w:rsidR="00F46C28" w:rsidRPr="005A2545" w:rsidRDefault="00F46C28" w:rsidP="00287451">
            <w:pPr>
              <w:jc w:val="center"/>
              <w:rPr>
                <w:sz w:val="20"/>
                <w:szCs w:val="20"/>
              </w:rPr>
            </w:pPr>
            <w:r w:rsidRPr="005A2545">
              <w:rPr>
                <w:b/>
                <w:sz w:val="20"/>
                <w:szCs w:val="20"/>
              </w:rPr>
              <w:t>Model 4</w:t>
            </w:r>
            <w:r w:rsidRPr="005A2545">
              <w:rPr>
                <w:sz w:val="20"/>
                <w:szCs w:val="20"/>
              </w:rPr>
              <w:br/>
            </w:r>
            <w:r w:rsidRPr="005A2545">
              <w:rPr>
                <w:b/>
                <w:sz w:val="20"/>
                <w:szCs w:val="20"/>
              </w:rPr>
              <w:t>AI93, interaction</w:t>
            </w:r>
          </w:p>
        </w:tc>
      </w:tr>
      <w:tr w:rsidR="00F46C28" w:rsidRPr="005A2545" w14:paraId="0A101382" w14:textId="77777777" w:rsidTr="00287451">
        <w:tc>
          <w:tcPr>
            <w:tcW w:w="2232" w:type="dxa"/>
            <w:vAlign w:val="center"/>
          </w:tcPr>
          <w:p w14:paraId="3C54BADD" w14:textId="77777777" w:rsidR="00F46C28" w:rsidRPr="005A2545" w:rsidRDefault="00F46C28" w:rsidP="00287451">
            <w:pPr>
              <w:rPr>
                <w:sz w:val="20"/>
                <w:szCs w:val="20"/>
              </w:rPr>
            </w:pPr>
            <w:r w:rsidRPr="005A2545">
              <w:rPr>
                <w:b/>
                <w:sz w:val="20"/>
                <w:szCs w:val="20"/>
              </w:rPr>
              <w:t>AI coefficient</w:t>
            </w:r>
          </w:p>
        </w:tc>
        <w:tc>
          <w:tcPr>
            <w:tcW w:w="1782" w:type="dxa"/>
            <w:vAlign w:val="center"/>
          </w:tcPr>
          <w:p w14:paraId="1991863B" w14:textId="77777777" w:rsidR="00F46C28" w:rsidRPr="005A2545" w:rsidRDefault="00F46C28" w:rsidP="00287451">
            <w:pPr>
              <w:jc w:val="center"/>
              <w:rPr>
                <w:sz w:val="20"/>
                <w:szCs w:val="20"/>
              </w:rPr>
            </w:pPr>
            <w:r w:rsidRPr="005A2545">
              <w:rPr>
                <w:sz w:val="20"/>
                <w:szCs w:val="20"/>
              </w:rPr>
              <w:t>+8.09***</w:t>
            </w:r>
            <w:r w:rsidRPr="005A2545">
              <w:rPr>
                <w:sz w:val="20"/>
                <w:szCs w:val="20"/>
              </w:rPr>
              <w:br/>
              <w:t>(1.40)</w:t>
            </w:r>
          </w:p>
        </w:tc>
        <w:tc>
          <w:tcPr>
            <w:tcW w:w="1782" w:type="dxa"/>
            <w:vAlign w:val="center"/>
          </w:tcPr>
          <w:p w14:paraId="7ED74605" w14:textId="77777777" w:rsidR="00F46C28" w:rsidRPr="005A2545" w:rsidRDefault="00F46C28" w:rsidP="00287451">
            <w:pPr>
              <w:jc w:val="center"/>
              <w:rPr>
                <w:sz w:val="20"/>
                <w:szCs w:val="20"/>
              </w:rPr>
            </w:pPr>
            <w:r w:rsidRPr="005A2545">
              <w:rPr>
                <w:sz w:val="20"/>
                <w:szCs w:val="20"/>
              </w:rPr>
              <w:t>-3.78*</w:t>
            </w:r>
            <w:r w:rsidRPr="005A2545">
              <w:rPr>
                <w:sz w:val="20"/>
                <w:szCs w:val="20"/>
              </w:rPr>
              <w:br/>
              <w:t>(2.28)</w:t>
            </w:r>
          </w:p>
        </w:tc>
        <w:tc>
          <w:tcPr>
            <w:tcW w:w="1782" w:type="dxa"/>
            <w:vAlign w:val="center"/>
          </w:tcPr>
          <w:p w14:paraId="23A61DB0" w14:textId="77777777" w:rsidR="00F46C28" w:rsidRPr="005A2545" w:rsidRDefault="00F46C28" w:rsidP="00287451">
            <w:pPr>
              <w:jc w:val="center"/>
              <w:rPr>
                <w:sz w:val="20"/>
                <w:szCs w:val="20"/>
              </w:rPr>
            </w:pPr>
            <w:r w:rsidRPr="005A2545">
              <w:rPr>
                <w:sz w:val="20"/>
                <w:szCs w:val="20"/>
              </w:rPr>
              <w:t>+6.68***</w:t>
            </w:r>
            <w:r w:rsidRPr="005A2545">
              <w:rPr>
                <w:sz w:val="20"/>
                <w:szCs w:val="20"/>
              </w:rPr>
              <w:br/>
              <w:t>(1.40)</w:t>
            </w:r>
          </w:p>
        </w:tc>
        <w:tc>
          <w:tcPr>
            <w:tcW w:w="1782" w:type="dxa"/>
            <w:vAlign w:val="center"/>
          </w:tcPr>
          <w:p w14:paraId="36CDA3C2" w14:textId="77777777" w:rsidR="00F46C28" w:rsidRPr="005A2545" w:rsidRDefault="00F46C28" w:rsidP="00287451">
            <w:pPr>
              <w:jc w:val="center"/>
              <w:rPr>
                <w:sz w:val="20"/>
                <w:szCs w:val="20"/>
              </w:rPr>
            </w:pPr>
            <w:r w:rsidRPr="005A2545">
              <w:rPr>
                <w:sz w:val="20"/>
                <w:szCs w:val="20"/>
              </w:rPr>
              <w:t>-3.63</w:t>
            </w:r>
            <w:r w:rsidRPr="005A2545">
              <w:rPr>
                <w:sz w:val="20"/>
                <w:szCs w:val="20"/>
              </w:rPr>
              <w:br/>
              <w:t>(2.85)</w:t>
            </w:r>
          </w:p>
        </w:tc>
      </w:tr>
      <w:tr w:rsidR="00F46C28" w:rsidRPr="005A2545" w14:paraId="3712EA91" w14:textId="77777777" w:rsidTr="00287451">
        <w:tc>
          <w:tcPr>
            <w:tcW w:w="2232" w:type="dxa"/>
            <w:vAlign w:val="center"/>
          </w:tcPr>
          <w:p w14:paraId="25C92763" w14:textId="77777777" w:rsidR="00F46C28" w:rsidRPr="005A2545" w:rsidRDefault="00F46C28" w:rsidP="00287451">
            <w:pPr>
              <w:rPr>
                <w:sz w:val="20"/>
                <w:szCs w:val="20"/>
              </w:rPr>
            </w:pPr>
            <w:r w:rsidRPr="005A2545">
              <w:rPr>
                <w:b/>
                <w:sz w:val="20"/>
                <w:szCs w:val="20"/>
              </w:rPr>
              <w:t>Alpha</w:t>
            </w:r>
          </w:p>
        </w:tc>
        <w:tc>
          <w:tcPr>
            <w:tcW w:w="1782" w:type="dxa"/>
            <w:vAlign w:val="center"/>
          </w:tcPr>
          <w:p w14:paraId="30F8CD8B" w14:textId="77777777" w:rsidR="00F46C28" w:rsidRPr="005A2545" w:rsidRDefault="00F46C28" w:rsidP="00287451">
            <w:pPr>
              <w:jc w:val="center"/>
              <w:rPr>
                <w:sz w:val="20"/>
                <w:szCs w:val="20"/>
              </w:rPr>
            </w:pPr>
            <w:r w:rsidRPr="005A2545">
              <w:rPr>
                <w:sz w:val="20"/>
                <w:szCs w:val="20"/>
              </w:rPr>
              <w:t>0.01</w:t>
            </w:r>
          </w:p>
        </w:tc>
        <w:tc>
          <w:tcPr>
            <w:tcW w:w="1782" w:type="dxa"/>
            <w:vAlign w:val="center"/>
          </w:tcPr>
          <w:p w14:paraId="53F21966" w14:textId="77777777" w:rsidR="00F46C28" w:rsidRPr="005A2545" w:rsidRDefault="00F46C28" w:rsidP="00287451">
            <w:pPr>
              <w:jc w:val="center"/>
              <w:rPr>
                <w:sz w:val="20"/>
                <w:szCs w:val="20"/>
              </w:rPr>
            </w:pPr>
            <w:r w:rsidRPr="005A2545">
              <w:rPr>
                <w:sz w:val="20"/>
                <w:szCs w:val="20"/>
              </w:rPr>
              <w:t>0.10</w:t>
            </w:r>
          </w:p>
        </w:tc>
        <w:tc>
          <w:tcPr>
            <w:tcW w:w="1782" w:type="dxa"/>
            <w:vAlign w:val="center"/>
          </w:tcPr>
          <w:p w14:paraId="09C537F9" w14:textId="77777777" w:rsidR="00F46C28" w:rsidRPr="005A2545" w:rsidRDefault="00F46C28" w:rsidP="00287451">
            <w:pPr>
              <w:jc w:val="center"/>
              <w:rPr>
                <w:sz w:val="20"/>
                <w:szCs w:val="20"/>
              </w:rPr>
            </w:pPr>
            <w:r w:rsidRPr="005A2545">
              <w:rPr>
                <w:sz w:val="20"/>
                <w:szCs w:val="20"/>
              </w:rPr>
              <w:t>0.01</w:t>
            </w:r>
          </w:p>
        </w:tc>
        <w:tc>
          <w:tcPr>
            <w:tcW w:w="1782" w:type="dxa"/>
            <w:vAlign w:val="center"/>
          </w:tcPr>
          <w:p w14:paraId="6E00FDBB" w14:textId="77777777" w:rsidR="00F46C28" w:rsidRPr="005A2545" w:rsidRDefault="00F46C28" w:rsidP="00287451">
            <w:pPr>
              <w:jc w:val="center"/>
              <w:rPr>
                <w:sz w:val="20"/>
                <w:szCs w:val="20"/>
              </w:rPr>
            </w:pPr>
            <w:r w:rsidRPr="005A2545">
              <w:rPr>
                <w:sz w:val="20"/>
                <w:szCs w:val="20"/>
              </w:rPr>
              <w:t>n.s.</w:t>
            </w:r>
          </w:p>
        </w:tc>
      </w:tr>
      <w:tr w:rsidR="00F46C28" w:rsidRPr="005A2545" w14:paraId="3C36093E" w14:textId="77777777" w:rsidTr="00287451">
        <w:tc>
          <w:tcPr>
            <w:tcW w:w="2232" w:type="dxa"/>
            <w:vAlign w:val="center"/>
          </w:tcPr>
          <w:p w14:paraId="6BBD8B46" w14:textId="77777777" w:rsidR="00F46C28" w:rsidRPr="005A2545" w:rsidRDefault="00F46C28" w:rsidP="00287451">
            <w:pPr>
              <w:rPr>
                <w:sz w:val="20"/>
                <w:szCs w:val="20"/>
              </w:rPr>
            </w:pPr>
            <w:r w:rsidRPr="005A2545">
              <w:rPr>
                <w:b/>
                <w:sz w:val="20"/>
                <w:szCs w:val="20"/>
              </w:rPr>
              <w:t>Post-Alice coefficient</w:t>
            </w:r>
          </w:p>
        </w:tc>
        <w:tc>
          <w:tcPr>
            <w:tcW w:w="1782" w:type="dxa"/>
            <w:vAlign w:val="center"/>
          </w:tcPr>
          <w:p w14:paraId="6194EB06" w14:textId="77777777" w:rsidR="00F46C28" w:rsidRPr="005A2545" w:rsidRDefault="00F46C28" w:rsidP="00287451">
            <w:pPr>
              <w:jc w:val="center"/>
              <w:rPr>
                <w:sz w:val="20"/>
                <w:szCs w:val="20"/>
              </w:rPr>
            </w:pPr>
            <w:r w:rsidRPr="005A2545">
              <w:rPr>
                <w:sz w:val="20"/>
                <w:szCs w:val="20"/>
              </w:rPr>
              <w:t>+21.88***</w:t>
            </w:r>
            <w:r w:rsidRPr="005A2545">
              <w:rPr>
                <w:sz w:val="20"/>
                <w:szCs w:val="20"/>
              </w:rPr>
              <w:br/>
              <w:t>(3.85)</w:t>
            </w:r>
          </w:p>
        </w:tc>
        <w:tc>
          <w:tcPr>
            <w:tcW w:w="1782" w:type="dxa"/>
            <w:vAlign w:val="center"/>
          </w:tcPr>
          <w:p w14:paraId="290922EB" w14:textId="77777777" w:rsidR="00F46C28" w:rsidRPr="005A2545" w:rsidRDefault="00F46C28" w:rsidP="00287451">
            <w:pPr>
              <w:jc w:val="center"/>
              <w:rPr>
                <w:sz w:val="20"/>
                <w:szCs w:val="20"/>
              </w:rPr>
            </w:pPr>
            <w:r w:rsidRPr="005A2545">
              <w:rPr>
                <w:sz w:val="20"/>
                <w:szCs w:val="20"/>
              </w:rPr>
              <w:t>+16.43***</w:t>
            </w:r>
            <w:r w:rsidRPr="005A2545">
              <w:rPr>
                <w:sz w:val="20"/>
                <w:szCs w:val="20"/>
              </w:rPr>
              <w:br/>
              <w:t>(3.86)</w:t>
            </w:r>
          </w:p>
        </w:tc>
        <w:tc>
          <w:tcPr>
            <w:tcW w:w="1782" w:type="dxa"/>
            <w:vAlign w:val="center"/>
          </w:tcPr>
          <w:p w14:paraId="5E8D4DC3" w14:textId="77777777" w:rsidR="00F46C28" w:rsidRPr="005A2545" w:rsidRDefault="00F46C28" w:rsidP="00287451">
            <w:pPr>
              <w:jc w:val="center"/>
              <w:rPr>
                <w:sz w:val="20"/>
                <w:szCs w:val="20"/>
              </w:rPr>
            </w:pPr>
            <w:r w:rsidRPr="005A2545">
              <w:rPr>
                <w:sz w:val="20"/>
                <w:szCs w:val="20"/>
              </w:rPr>
              <w:t>+21.97***</w:t>
            </w:r>
            <w:r w:rsidRPr="005A2545">
              <w:rPr>
                <w:sz w:val="20"/>
                <w:szCs w:val="20"/>
              </w:rPr>
              <w:br/>
              <w:t>(3.88)</w:t>
            </w:r>
          </w:p>
        </w:tc>
        <w:tc>
          <w:tcPr>
            <w:tcW w:w="1782" w:type="dxa"/>
            <w:vAlign w:val="center"/>
          </w:tcPr>
          <w:p w14:paraId="6DED1B1D" w14:textId="77777777" w:rsidR="00F46C28" w:rsidRPr="005A2545" w:rsidRDefault="00F46C28" w:rsidP="00287451">
            <w:pPr>
              <w:jc w:val="center"/>
              <w:rPr>
                <w:sz w:val="20"/>
                <w:szCs w:val="20"/>
              </w:rPr>
            </w:pPr>
            <w:r w:rsidRPr="005A2545">
              <w:rPr>
                <w:sz w:val="20"/>
                <w:szCs w:val="20"/>
              </w:rPr>
              <w:t>+19.22***</w:t>
            </w:r>
            <w:r w:rsidRPr="005A2545">
              <w:rPr>
                <w:sz w:val="20"/>
                <w:szCs w:val="20"/>
              </w:rPr>
              <w:br/>
              <w:t>(3.80)</w:t>
            </w:r>
          </w:p>
        </w:tc>
      </w:tr>
      <w:tr w:rsidR="00F46C28" w:rsidRPr="005A2545" w14:paraId="06A942F1" w14:textId="77777777" w:rsidTr="00287451">
        <w:tc>
          <w:tcPr>
            <w:tcW w:w="2232" w:type="dxa"/>
            <w:vAlign w:val="center"/>
          </w:tcPr>
          <w:p w14:paraId="000D63F9" w14:textId="77777777" w:rsidR="00F46C28" w:rsidRPr="005A2545" w:rsidRDefault="00F46C28" w:rsidP="00287451">
            <w:pPr>
              <w:rPr>
                <w:sz w:val="20"/>
                <w:szCs w:val="20"/>
              </w:rPr>
            </w:pPr>
            <w:r w:rsidRPr="005A2545">
              <w:rPr>
                <w:b/>
                <w:sz w:val="20"/>
                <w:szCs w:val="20"/>
              </w:rPr>
              <w:t>Post-Alice alpha</w:t>
            </w:r>
          </w:p>
        </w:tc>
        <w:tc>
          <w:tcPr>
            <w:tcW w:w="1782" w:type="dxa"/>
            <w:vAlign w:val="center"/>
          </w:tcPr>
          <w:p w14:paraId="1CC0EFC5" w14:textId="77777777" w:rsidR="00F46C28" w:rsidRPr="005A2545" w:rsidRDefault="00F46C28" w:rsidP="00287451">
            <w:pPr>
              <w:jc w:val="center"/>
              <w:rPr>
                <w:sz w:val="20"/>
                <w:szCs w:val="20"/>
              </w:rPr>
            </w:pPr>
            <w:r w:rsidRPr="005A2545">
              <w:rPr>
                <w:sz w:val="20"/>
                <w:szCs w:val="20"/>
              </w:rPr>
              <w:t>0.01</w:t>
            </w:r>
          </w:p>
        </w:tc>
        <w:tc>
          <w:tcPr>
            <w:tcW w:w="1782" w:type="dxa"/>
            <w:vAlign w:val="center"/>
          </w:tcPr>
          <w:p w14:paraId="30BB27C5" w14:textId="77777777" w:rsidR="00F46C28" w:rsidRPr="005A2545" w:rsidRDefault="00F46C28" w:rsidP="00287451">
            <w:pPr>
              <w:jc w:val="center"/>
              <w:rPr>
                <w:sz w:val="20"/>
                <w:szCs w:val="20"/>
              </w:rPr>
            </w:pPr>
            <w:r w:rsidRPr="005A2545">
              <w:rPr>
                <w:sz w:val="20"/>
                <w:szCs w:val="20"/>
              </w:rPr>
              <w:t>0.01</w:t>
            </w:r>
          </w:p>
        </w:tc>
        <w:tc>
          <w:tcPr>
            <w:tcW w:w="1782" w:type="dxa"/>
            <w:vAlign w:val="center"/>
          </w:tcPr>
          <w:p w14:paraId="16F17175" w14:textId="77777777" w:rsidR="00F46C28" w:rsidRPr="005A2545" w:rsidRDefault="00F46C28" w:rsidP="00287451">
            <w:pPr>
              <w:jc w:val="center"/>
              <w:rPr>
                <w:sz w:val="20"/>
                <w:szCs w:val="20"/>
              </w:rPr>
            </w:pPr>
            <w:r w:rsidRPr="005A2545">
              <w:rPr>
                <w:sz w:val="20"/>
                <w:szCs w:val="20"/>
              </w:rPr>
              <w:t>0.01</w:t>
            </w:r>
          </w:p>
        </w:tc>
        <w:tc>
          <w:tcPr>
            <w:tcW w:w="1782" w:type="dxa"/>
            <w:vAlign w:val="center"/>
          </w:tcPr>
          <w:p w14:paraId="479A5485" w14:textId="77777777" w:rsidR="00F46C28" w:rsidRPr="005A2545" w:rsidRDefault="00F46C28" w:rsidP="00287451">
            <w:pPr>
              <w:jc w:val="center"/>
              <w:rPr>
                <w:sz w:val="20"/>
                <w:szCs w:val="20"/>
              </w:rPr>
            </w:pPr>
            <w:r w:rsidRPr="005A2545">
              <w:rPr>
                <w:sz w:val="20"/>
                <w:szCs w:val="20"/>
              </w:rPr>
              <w:t>0.01</w:t>
            </w:r>
          </w:p>
        </w:tc>
      </w:tr>
      <w:tr w:rsidR="00F46C28" w:rsidRPr="005A2545" w14:paraId="2E0BA528" w14:textId="77777777" w:rsidTr="00287451">
        <w:tc>
          <w:tcPr>
            <w:tcW w:w="2232" w:type="dxa"/>
            <w:vAlign w:val="center"/>
          </w:tcPr>
          <w:p w14:paraId="2679DC1D" w14:textId="77777777" w:rsidR="00F46C28" w:rsidRPr="005A2545" w:rsidRDefault="00F46C28" w:rsidP="00287451">
            <w:pPr>
              <w:rPr>
                <w:sz w:val="20"/>
                <w:szCs w:val="20"/>
              </w:rPr>
            </w:pPr>
            <w:r w:rsidRPr="005A2545">
              <w:rPr>
                <w:b/>
                <w:sz w:val="20"/>
                <w:szCs w:val="20"/>
              </w:rPr>
              <w:t>AI x Post-Alice</w:t>
            </w:r>
          </w:p>
        </w:tc>
        <w:tc>
          <w:tcPr>
            <w:tcW w:w="1782" w:type="dxa"/>
            <w:vAlign w:val="center"/>
          </w:tcPr>
          <w:p w14:paraId="2BFDFFBB" w14:textId="77777777" w:rsidR="00F46C28" w:rsidRPr="005A2545" w:rsidRDefault="00F46C28" w:rsidP="00287451">
            <w:pPr>
              <w:jc w:val="center"/>
              <w:rPr>
                <w:sz w:val="20"/>
                <w:szCs w:val="20"/>
              </w:rPr>
            </w:pPr>
          </w:p>
        </w:tc>
        <w:tc>
          <w:tcPr>
            <w:tcW w:w="1782" w:type="dxa"/>
            <w:vAlign w:val="center"/>
          </w:tcPr>
          <w:p w14:paraId="4A486F71" w14:textId="77777777" w:rsidR="00F46C28" w:rsidRPr="005A2545" w:rsidRDefault="00F46C28" w:rsidP="00287451">
            <w:pPr>
              <w:jc w:val="center"/>
              <w:rPr>
                <w:sz w:val="20"/>
                <w:szCs w:val="20"/>
              </w:rPr>
            </w:pPr>
            <w:r w:rsidRPr="005A2545">
              <w:rPr>
                <w:sz w:val="20"/>
                <w:szCs w:val="20"/>
              </w:rPr>
              <w:t>+15.26***</w:t>
            </w:r>
            <w:r w:rsidRPr="005A2545">
              <w:rPr>
                <w:sz w:val="20"/>
                <w:szCs w:val="20"/>
              </w:rPr>
              <w:br/>
              <w:t>(2.67)</w:t>
            </w:r>
          </w:p>
        </w:tc>
        <w:tc>
          <w:tcPr>
            <w:tcW w:w="1782" w:type="dxa"/>
            <w:vAlign w:val="center"/>
          </w:tcPr>
          <w:p w14:paraId="57E818F7" w14:textId="77777777" w:rsidR="00F46C28" w:rsidRPr="005A2545" w:rsidRDefault="00F46C28" w:rsidP="00287451">
            <w:pPr>
              <w:jc w:val="center"/>
              <w:rPr>
                <w:sz w:val="20"/>
                <w:szCs w:val="20"/>
              </w:rPr>
            </w:pPr>
          </w:p>
        </w:tc>
        <w:tc>
          <w:tcPr>
            <w:tcW w:w="1782" w:type="dxa"/>
            <w:vAlign w:val="center"/>
          </w:tcPr>
          <w:p w14:paraId="7E12B08A" w14:textId="77777777" w:rsidR="00F46C28" w:rsidRPr="005A2545" w:rsidRDefault="00F46C28" w:rsidP="00287451">
            <w:pPr>
              <w:jc w:val="center"/>
              <w:rPr>
                <w:sz w:val="20"/>
                <w:szCs w:val="20"/>
              </w:rPr>
            </w:pPr>
            <w:r w:rsidRPr="005A2545">
              <w:rPr>
                <w:sz w:val="20"/>
                <w:szCs w:val="20"/>
              </w:rPr>
              <w:t>+12.94***</w:t>
            </w:r>
            <w:r w:rsidRPr="005A2545">
              <w:rPr>
                <w:sz w:val="20"/>
                <w:szCs w:val="20"/>
              </w:rPr>
              <w:br/>
              <w:t>(3.29)</w:t>
            </w:r>
          </w:p>
        </w:tc>
      </w:tr>
      <w:tr w:rsidR="00F46C28" w:rsidRPr="005A2545" w14:paraId="26A9ACB4" w14:textId="77777777" w:rsidTr="00287451">
        <w:tc>
          <w:tcPr>
            <w:tcW w:w="2232" w:type="dxa"/>
            <w:vAlign w:val="center"/>
          </w:tcPr>
          <w:p w14:paraId="0FCBAF26" w14:textId="77777777" w:rsidR="00F46C28" w:rsidRPr="005A2545" w:rsidRDefault="00F46C28" w:rsidP="00287451">
            <w:pPr>
              <w:rPr>
                <w:sz w:val="20"/>
                <w:szCs w:val="20"/>
              </w:rPr>
            </w:pPr>
            <w:r w:rsidRPr="005A2545">
              <w:rPr>
                <w:b/>
                <w:sz w:val="20"/>
                <w:szCs w:val="20"/>
              </w:rPr>
              <w:t>Interaction alpha</w:t>
            </w:r>
          </w:p>
        </w:tc>
        <w:tc>
          <w:tcPr>
            <w:tcW w:w="1782" w:type="dxa"/>
            <w:vAlign w:val="center"/>
          </w:tcPr>
          <w:p w14:paraId="140B0073" w14:textId="77777777" w:rsidR="00F46C28" w:rsidRPr="005A2545" w:rsidRDefault="00F46C28" w:rsidP="00287451">
            <w:pPr>
              <w:jc w:val="center"/>
              <w:rPr>
                <w:sz w:val="20"/>
                <w:szCs w:val="20"/>
              </w:rPr>
            </w:pPr>
          </w:p>
        </w:tc>
        <w:tc>
          <w:tcPr>
            <w:tcW w:w="1782" w:type="dxa"/>
            <w:vAlign w:val="center"/>
          </w:tcPr>
          <w:p w14:paraId="051D05BC" w14:textId="77777777" w:rsidR="00F46C28" w:rsidRPr="005A2545" w:rsidRDefault="00F46C28" w:rsidP="00287451">
            <w:pPr>
              <w:jc w:val="center"/>
              <w:rPr>
                <w:sz w:val="20"/>
                <w:szCs w:val="20"/>
              </w:rPr>
            </w:pPr>
            <w:r w:rsidRPr="005A2545">
              <w:rPr>
                <w:sz w:val="20"/>
                <w:szCs w:val="20"/>
              </w:rPr>
              <w:t>0.01</w:t>
            </w:r>
          </w:p>
        </w:tc>
        <w:tc>
          <w:tcPr>
            <w:tcW w:w="1782" w:type="dxa"/>
            <w:vAlign w:val="center"/>
          </w:tcPr>
          <w:p w14:paraId="4571BB7D" w14:textId="77777777" w:rsidR="00F46C28" w:rsidRPr="005A2545" w:rsidRDefault="00F46C28" w:rsidP="00287451">
            <w:pPr>
              <w:jc w:val="center"/>
              <w:rPr>
                <w:sz w:val="20"/>
                <w:szCs w:val="20"/>
              </w:rPr>
            </w:pPr>
          </w:p>
        </w:tc>
        <w:tc>
          <w:tcPr>
            <w:tcW w:w="1782" w:type="dxa"/>
            <w:vAlign w:val="center"/>
          </w:tcPr>
          <w:p w14:paraId="37327B1C" w14:textId="77777777" w:rsidR="00F46C28" w:rsidRPr="005A2545" w:rsidRDefault="00F46C28" w:rsidP="00287451">
            <w:pPr>
              <w:jc w:val="center"/>
              <w:rPr>
                <w:sz w:val="20"/>
                <w:szCs w:val="20"/>
              </w:rPr>
            </w:pPr>
            <w:r w:rsidRPr="005A2545">
              <w:rPr>
                <w:sz w:val="20"/>
                <w:szCs w:val="20"/>
              </w:rPr>
              <w:t>0.01</w:t>
            </w:r>
          </w:p>
        </w:tc>
      </w:tr>
      <w:tr w:rsidR="00F46C28" w:rsidRPr="005A2545" w14:paraId="126C750B" w14:textId="77777777" w:rsidTr="00287451">
        <w:tc>
          <w:tcPr>
            <w:tcW w:w="2232" w:type="dxa"/>
            <w:vAlign w:val="center"/>
          </w:tcPr>
          <w:p w14:paraId="56532C76" w14:textId="77777777" w:rsidR="00F46C28" w:rsidRPr="005A2545" w:rsidRDefault="00F46C28" w:rsidP="00287451">
            <w:pPr>
              <w:rPr>
                <w:sz w:val="20"/>
                <w:szCs w:val="20"/>
              </w:rPr>
            </w:pPr>
            <w:r w:rsidRPr="005A2545">
              <w:rPr>
                <w:b/>
                <w:sz w:val="20"/>
                <w:szCs w:val="20"/>
              </w:rPr>
              <w:t>AI effect after Alice</w:t>
            </w:r>
          </w:p>
        </w:tc>
        <w:tc>
          <w:tcPr>
            <w:tcW w:w="1782" w:type="dxa"/>
            <w:vAlign w:val="center"/>
          </w:tcPr>
          <w:p w14:paraId="4FDD981D" w14:textId="77777777" w:rsidR="00F46C28" w:rsidRPr="005A2545" w:rsidRDefault="00F46C28" w:rsidP="00287451">
            <w:pPr>
              <w:jc w:val="center"/>
              <w:rPr>
                <w:sz w:val="20"/>
                <w:szCs w:val="20"/>
              </w:rPr>
            </w:pPr>
          </w:p>
        </w:tc>
        <w:tc>
          <w:tcPr>
            <w:tcW w:w="1782" w:type="dxa"/>
            <w:vAlign w:val="center"/>
          </w:tcPr>
          <w:p w14:paraId="032163EF" w14:textId="77777777" w:rsidR="00F46C28" w:rsidRPr="005A2545" w:rsidRDefault="00F46C28" w:rsidP="00287451">
            <w:pPr>
              <w:jc w:val="center"/>
              <w:rPr>
                <w:sz w:val="20"/>
                <w:szCs w:val="20"/>
              </w:rPr>
            </w:pPr>
            <w:r w:rsidRPr="005A2545">
              <w:rPr>
                <w:sz w:val="20"/>
                <w:szCs w:val="20"/>
              </w:rPr>
              <w:t>+11.48***</w:t>
            </w:r>
            <w:r w:rsidRPr="005A2545">
              <w:rPr>
                <w:sz w:val="20"/>
                <w:szCs w:val="20"/>
              </w:rPr>
              <w:br/>
              <w:t>(1.61)</w:t>
            </w:r>
          </w:p>
        </w:tc>
        <w:tc>
          <w:tcPr>
            <w:tcW w:w="1782" w:type="dxa"/>
            <w:vAlign w:val="center"/>
          </w:tcPr>
          <w:p w14:paraId="330381AC" w14:textId="77777777" w:rsidR="00F46C28" w:rsidRPr="005A2545" w:rsidRDefault="00F46C28" w:rsidP="00287451">
            <w:pPr>
              <w:jc w:val="center"/>
              <w:rPr>
                <w:sz w:val="20"/>
                <w:szCs w:val="20"/>
              </w:rPr>
            </w:pPr>
          </w:p>
        </w:tc>
        <w:tc>
          <w:tcPr>
            <w:tcW w:w="1782" w:type="dxa"/>
            <w:vAlign w:val="center"/>
          </w:tcPr>
          <w:p w14:paraId="28925FA8" w14:textId="77777777" w:rsidR="00F46C28" w:rsidRPr="005A2545" w:rsidRDefault="00F46C28" w:rsidP="00287451">
            <w:pPr>
              <w:jc w:val="center"/>
              <w:rPr>
                <w:sz w:val="20"/>
                <w:szCs w:val="20"/>
              </w:rPr>
            </w:pPr>
            <w:r w:rsidRPr="005A2545">
              <w:rPr>
                <w:sz w:val="20"/>
                <w:szCs w:val="20"/>
              </w:rPr>
              <w:t>+9.32***</w:t>
            </w:r>
            <w:r w:rsidRPr="005A2545">
              <w:rPr>
                <w:sz w:val="20"/>
                <w:szCs w:val="20"/>
              </w:rPr>
              <w:br/>
              <w:t>(1.60)</w:t>
            </w:r>
          </w:p>
        </w:tc>
      </w:tr>
      <w:tr w:rsidR="00F46C28" w:rsidRPr="005A2545" w14:paraId="54C6E3F4" w14:textId="77777777" w:rsidTr="00287451">
        <w:tc>
          <w:tcPr>
            <w:tcW w:w="2232" w:type="dxa"/>
            <w:vAlign w:val="center"/>
          </w:tcPr>
          <w:p w14:paraId="65D2E5A2" w14:textId="77777777" w:rsidR="00F46C28" w:rsidRPr="005A2545" w:rsidRDefault="00F46C28" w:rsidP="00287451">
            <w:pPr>
              <w:rPr>
                <w:sz w:val="20"/>
                <w:szCs w:val="20"/>
              </w:rPr>
            </w:pPr>
            <w:r w:rsidRPr="005A2545">
              <w:rPr>
                <w:b/>
                <w:sz w:val="20"/>
                <w:szCs w:val="20"/>
              </w:rPr>
              <w:t>Post-Alice AI alpha</w:t>
            </w:r>
          </w:p>
        </w:tc>
        <w:tc>
          <w:tcPr>
            <w:tcW w:w="1782" w:type="dxa"/>
            <w:vAlign w:val="center"/>
          </w:tcPr>
          <w:p w14:paraId="66C0725B" w14:textId="77777777" w:rsidR="00F46C28" w:rsidRPr="005A2545" w:rsidRDefault="00F46C28" w:rsidP="00287451">
            <w:pPr>
              <w:jc w:val="center"/>
              <w:rPr>
                <w:sz w:val="20"/>
                <w:szCs w:val="20"/>
              </w:rPr>
            </w:pPr>
          </w:p>
        </w:tc>
        <w:tc>
          <w:tcPr>
            <w:tcW w:w="1782" w:type="dxa"/>
            <w:vAlign w:val="center"/>
          </w:tcPr>
          <w:p w14:paraId="7FF00C95" w14:textId="77777777" w:rsidR="00F46C28" w:rsidRPr="005A2545" w:rsidRDefault="00F46C28" w:rsidP="00287451">
            <w:pPr>
              <w:jc w:val="center"/>
              <w:rPr>
                <w:sz w:val="20"/>
                <w:szCs w:val="20"/>
              </w:rPr>
            </w:pPr>
            <w:r w:rsidRPr="005A2545">
              <w:rPr>
                <w:sz w:val="20"/>
                <w:szCs w:val="20"/>
              </w:rPr>
              <w:t>0.01</w:t>
            </w:r>
          </w:p>
        </w:tc>
        <w:tc>
          <w:tcPr>
            <w:tcW w:w="1782" w:type="dxa"/>
            <w:vAlign w:val="center"/>
          </w:tcPr>
          <w:p w14:paraId="371FB62D" w14:textId="77777777" w:rsidR="00F46C28" w:rsidRPr="005A2545" w:rsidRDefault="00F46C28" w:rsidP="00287451">
            <w:pPr>
              <w:jc w:val="center"/>
              <w:rPr>
                <w:sz w:val="20"/>
                <w:szCs w:val="20"/>
              </w:rPr>
            </w:pPr>
          </w:p>
        </w:tc>
        <w:tc>
          <w:tcPr>
            <w:tcW w:w="1782" w:type="dxa"/>
            <w:vAlign w:val="center"/>
          </w:tcPr>
          <w:p w14:paraId="569CB48A" w14:textId="77777777" w:rsidR="00F46C28" w:rsidRPr="005A2545" w:rsidRDefault="00F46C28" w:rsidP="00287451">
            <w:pPr>
              <w:jc w:val="center"/>
              <w:rPr>
                <w:sz w:val="20"/>
                <w:szCs w:val="20"/>
              </w:rPr>
            </w:pPr>
            <w:r w:rsidRPr="005A2545">
              <w:rPr>
                <w:sz w:val="20"/>
                <w:szCs w:val="20"/>
              </w:rPr>
              <w:t>0.01</w:t>
            </w:r>
          </w:p>
        </w:tc>
      </w:tr>
      <w:tr w:rsidR="00F46C28" w:rsidRPr="005A2545" w14:paraId="25AB131D" w14:textId="77777777" w:rsidTr="00287451">
        <w:tc>
          <w:tcPr>
            <w:tcW w:w="2232" w:type="dxa"/>
            <w:vAlign w:val="center"/>
          </w:tcPr>
          <w:p w14:paraId="6D23EEF7" w14:textId="77777777" w:rsidR="00F46C28" w:rsidRPr="005A2545" w:rsidRDefault="00F46C28" w:rsidP="00287451">
            <w:pPr>
              <w:rPr>
                <w:sz w:val="20"/>
                <w:szCs w:val="20"/>
              </w:rPr>
            </w:pPr>
            <w:r w:rsidRPr="005A2545">
              <w:rPr>
                <w:b/>
                <w:sz w:val="20"/>
                <w:szCs w:val="20"/>
              </w:rPr>
              <w:t>Pr(non-AI)</w:t>
            </w:r>
          </w:p>
        </w:tc>
        <w:tc>
          <w:tcPr>
            <w:tcW w:w="1782" w:type="dxa"/>
            <w:vAlign w:val="center"/>
          </w:tcPr>
          <w:p w14:paraId="16936614" w14:textId="77777777" w:rsidR="00F46C28" w:rsidRPr="005A2545" w:rsidRDefault="00F46C28" w:rsidP="00287451">
            <w:pPr>
              <w:jc w:val="center"/>
              <w:rPr>
                <w:sz w:val="20"/>
                <w:szCs w:val="20"/>
              </w:rPr>
            </w:pPr>
            <w:r w:rsidRPr="005A2545">
              <w:rPr>
                <w:sz w:val="20"/>
                <w:szCs w:val="20"/>
              </w:rPr>
              <w:t>37.6%</w:t>
            </w:r>
          </w:p>
        </w:tc>
        <w:tc>
          <w:tcPr>
            <w:tcW w:w="1782" w:type="dxa"/>
            <w:vAlign w:val="center"/>
          </w:tcPr>
          <w:p w14:paraId="2FBFD9C5" w14:textId="77777777" w:rsidR="00F46C28" w:rsidRPr="005A2545" w:rsidRDefault="00F46C28" w:rsidP="00287451">
            <w:pPr>
              <w:jc w:val="center"/>
              <w:rPr>
                <w:sz w:val="20"/>
                <w:szCs w:val="20"/>
              </w:rPr>
            </w:pPr>
          </w:p>
        </w:tc>
        <w:tc>
          <w:tcPr>
            <w:tcW w:w="1782" w:type="dxa"/>
            <w:vAlign w:val="center"/>
          </w:tcPr>
          <w:p w14:paraId="6E121F7F" w14:textId="77777777" w:rsidR="00F46C28" w:rsidRPr="005A2545" w:rsidRDefault="00F46C28" w:rsidP="00287451">
            <w:pPr>
              <w:jc w:val="center"/>
              <w:rPr>
                <w:sz w:val="20"/>
                <w:szCs w:val="20"/>
              </w:rPr>
            </w:pPr>
            <w:r w:rsidRPr="005A2545">
              <w:rPr>
                <w:sz w:val="20"/>
                <w:szCs w:val="20"/>
              </w:rPr>
              <w:t>39.0%</w:t>
            </w:r>
          </w:p>
        </w:tc>
        <w:tc>
          <w:tcPr>
            <w:tcW w:w="1782" w:type="dxa"/>
            <w:vAlign w:val="center"/>
          </w:tcPr>
          <w:p w14:paraId="484F4F89" w14:textId="77777777" w:rsidR="00F46C28" w:rsidRPr="005A2545" w:rsidRDefault="00F46C28" w:rsidP="00287451">
            <w:pPr>
              <w:jc w:val="center"/>
              <w:rPr>
                <w:sz w:val="20"/>
                <w:szCs w:val="20"/>
              </w:rPr>
            </w:pPr>
          </w:p>
        </w:tc>
      </w:tr>
      <w:tr w:rsidR="00F46C28" w:rsidRPr="005A2545" w14:paraId="41B3C864" w14:textId="77777777" w:rsidTr="00287451">
        <w:tc>
          <w:tcPr>
            <w:tcW w:w="2232" w:type="dxa"/>
            <w:vAlign w:val="center"/>
          </w:tcPr>
          <w:p w14:paraId="2F08F8EE" w14:textId="77777777" w:rsidR="00F46C28" w:rsidRPr="005A2545" w:rsidRDefault="00F46C28" w:rsidP="00287451">
            <w:pPr>
              <w:rPr>
                <w:sz w:val="20"/>
                <w:szCs w:val="20"/>
              </w:rPr>
            </w:pPr>
            <w:r w:rsidRPr="005A2545">
              <w:rPr>
                <w:b/>
                <w:sz w:val="20"/>
                <w:szCs w:val="20"/>
              </w:rPr>
              <w:t>Pr(AI)</w:t>
            </w:r>
          </w:p>
        </w:tc>
        <w:tc>
          <w:tcPr>
            <w:tcW w:w="1782" w:type="dxa"/>
            <w:vAlign w:val="center"/>
          </w:tcPr>
          <w:p w14:paraId="0642A18C" w14:textId="77777777" w:rsidR="00F46C28" w:rsidRPr="005A2545" w:rsidRDefault="00F46C28" w:rsidP="00287451">
            <w:pPr>
              <w:jc w:val="center"/>
              <w:rPr>
                <w:sz w:val="20"/>
                <w:szCs w:val="20"/>
              </w:rPr>
            </w:pPr>
            <w:r w:rsidRPr="005A2545">
              <w:rPr>
                <w:sz w:val="20"/>
                <w:szCs w:val="20"/>
              </w:rPr>
              <w:t>45.7%</w:t>
            </w:r>
          </w:p>
        </w:tc>
        <w:tc>
          <w:tcPr>
            <w:tcW w:w="1782" w:type="dxa"/>
            <w:vAlign w:val="center"/>
          </w:tcPr>
          <w:p w14:paraId="453C3E97" w14:textId="77777777" w:rsidR="00F46C28" w:rsidRPr="005A2545" w:rsidRDefault="00F46C28" w:rsidP="00287451">
            <w:pPr>
              <w:jc w:val="center"/>
              <w:rPr>
                <w:sz w:val="20"/>
                <w:szCs w:val="20"/>
              </w:rPr>
            </w:pPr>
          </w:p>
        </w:tc>
        <w:tc>
          <w:tcPr>
            <w:tcW w:w="1782" w:type="dxa"/>
            <w:vAlign w:val="center"/>
          </w:tcPr>
          <w:p w14:paraId="333A12AE" w14:textId="77777777" w:rsidR="00F46C28" w:rsidRPr="005A2545" w:rsidRDefault="00F46C28" w:rsidP="00287451">
            <w:pPr>
              <w:jc w:val="center"/>
              <w:rPr>
                <w:sz w:val="20"/>
                <w:szCs w:val="20"/>
              </w:rPr>
            </w:pPr>
            <w:r w:rsidRPr="005A2545">
              <w:rPr>
                <w:sz w:val="20"/>
                <w:szCs w:val="20"/>
              </w:rPr>
              <w:t>45.6%</w:t>
            </w:r>
          </w:p>
        </w:tc>
        <w:tc>
          <w:tcPr>
            <w:tcW w:w="1782" w:type="dxa"/>
            <w:vAlign w:val="center"/>
          </w:tcPr>
          <w:p w14:paraId="55EB5F4C" w14:textId="77777777" w:rsidR="00F46C28" w:rsidRPr="005A2545" w:rsidRDefault="00F46C28" w:rsidP="00287451">
            <w:pPr>
              <w:jc w:val="center"/>
              <w:rPr>
                <w:sz w:val="20"/>
                <w:szCs w:val="20"/>
              </w:rPr>
            </w:pPr>
          </w:p>
        </w:tc>
      </w:tr>
      <w:tr w:rsidR="00F46C28" w:rsidRPr="005A2545" w14:paraId="3917B3B8" w14:textId="77777777" w:rsidTr="00287451">
        <w:tc>
          <w:tcPr>
            <w:tcW w:w="2232" w:type="dxa"/>
            <w:vAlign w:val="center"/>
          </w:tcPr>
          <w:p w14:paraId="291B7FBE" w14:textId="77777777" w:rsidR="00F46C28" w:rsidRPr="005A2545" w:rsidRDefault="00F46C28" w:rsidP="00287451">
            <w:pPr>
              <w:rPr>
                <w:sz w:val="20"/>
                <w:szCs w:val="20"/>
              </w:rPr>
            </w:pPr>
            <w:r w:rsidRPr="005A2545">
              <w:rPr>
                <w:b/>
                <w:sz w:val="20"/>
                <w:szCs w:val="20"/>
              </w:rPr>
              <w:t>Pr(non-AI), pre-Alice</w:t>
            </w:r>
          </w:p>
        </w:tc>
        <w:tc>
          <w:tcPr>
            <w:tcW w:w="1782" w:type="dxa"/>
            <w:vAlign w:val="center"/>
          </w:tcPr>
          <w:p w14:paraId="1F006694" w14:textId="77777777" w:rsidR="00F46C28" w:rsidRPr="005A2545" w:rsidRDefault="00F46C28" w:rsidP="00287451">
            <w:pPr>
              <w:jc w:val="center"/>
              <w:rPr>
                <w:sz w:val="20"/>
                <w:szCs w:val="20"/>
              </w:rPr>
            </w:pPr>
          </w:p>
        </w:tc>
        <w:tc>
          <w:tcPr>
            <w:tcW w:w="1782" w:type="dxa"/>
            <w:vAlign w:val="center"/>
          </w:tcPr>
          <w:p w14:paraId="6D6C0B56" w14:textId="77777777" w:rsidR="00F46C28" w:rsidRPr="005A2545" w:rsidRDefault="00F46C28" w:rsidP="00287451">
            <w:pPr>
              <w:jc w:val="center"/>
              <w:rPr>
                <w:sz w:val="20"/>
                <w:szCs w:val="20"/>
              </w:rPr>
            </w:pPr>
            <w:r w:rsidRPr="005A2545">
              <w:rPr>
                <w:sz w:val="20"/>
                <w:szCs w:val="20"/>
              </w:rPr>
              <w:t>25.6%</w:t>
            </w:r>
          </w:p>
        </w:tc>
        <w:tc>
          <w:tcPr>
            <w:tcW w:w="1782" w:type="dxa"/>
            <w:vAlign w:val="center"/>
          </w:tcPr>
          <w:p w14:paraId="64FBDEB2" w14:textId="77777777" w:rsidR="00F46C28" w:rsidRPr="005A2545" w:rsidRDefault="00F46C28" w:rsidP="00287451">
            <w:pPr>
              <w:jc w:val="center"/>
              <w:rPr>
                <w:sz w:val="20"/>
                <w:szCs w:val="20"/>
              </w:rPr>
            </w:pPr>
          </w:p>
        </w:tc>
        <w:tc>
          <w:tcPr>
            <w:tcW w:w="1782" w:type="dxa"/>
            <w:vAlign w:val="center"/>
          </w:tcPr>
          <w:p w14:paraId="2D9B47A1" w14:textId="77777777" w:rsidR="00F46C28" w:rsidRPr="005A2545" w:rsidRDefault="00F46C28" w:rsidP="00287451">
            <w:pPr>
              <w:jc w:val="center"/>
              <w:rPr>
                <w:sz w:val="20"/>
                <w:szCs w:val="20"/>
              </w:rPr>
            </w:pPr>
            <w:r w:rsidRPr="005A2545">
              <w:rPr>
                <w:sz w:val="20"/>
                <w:szCs w:val="20"/>
              </w:rPr>
              <w:t>25.1%</w:t>
            </w:r>
          </w:p>
        </w:tc>
      </w:tr>
      <w:tr w:rsidR="00F46C28" w:rsidRPr="005A2545" w14:paraId="0811293B" w14:textId="77777777" w:rsidTr="00287451">
        <w:tc>
          <w:tcPr>
            <w:tcW w:w="2232" w:type="dxa"/>
            <w:vAlign w:val="center"/>
          </w:tcPr>
          <w:p w14:paraId="5D567794" w14:textId="77777777" w:rsidR="00F46C28" w:rsidRPr="005A2545" w:rsidRDefault="00F46C28" w:rsidP="00287451">
            <w:pPr>
              <w:rPr>
                <w:sz w:val="20"/>
                <w:szCs w:val="20"/>
              </w:rPr>
            </w:pPr>
            <w:r w:rsidRPr="005A2545">
              <w:rPr>
                <w:b/>
                <w:sz w:val="20"/>
                <w:szCs w:val="20"/>
              </w:rPr>
              <w:t>Pr(AI), pre-Alice</w:t>
            </w:r>
          </w:p>
        </w:tc>
        <w:tc>
          <w:tcPr>
            <w:tcW w:w="1782" w:type="dxa"/>
            <w:vAlign w:val="center"/>
          </w:tcPr>
          <w:p w14:paraId="59364B85" w14:textId="77777777" w:rsidR="00F46C28" w:rsidRPr="005A2545" w:rsidRDefault="00F46C28" w:rsidP="00287451">
            <w:pPr>
              <w:jc w:val="center"/>
              <w:rPr>
                <w:sz w:val="20"/>
                <w:szCs w:val="20"/>
              </w:rPr>
            </w:pPr>
          </w:p>
        </w:tc>
        <w:tc>
          <w:tcPr>
            <w:tcW w:w="1782" w:type="dxa"/>
            <w:vAlign w:val="center"/>
          </w:tcPr>
          <w:p w14:paraId="12FC1698" w14:textId="77777777" w:rsidR="00F46C28" w:rsidRPr="005A2545" w:rsidRDefault="00F46C28" w:rsidP="00287451">
            <w:pPr>
              <w:jc w:val="center"/>
              <w:rPr>
                <w:sz w:val="20"/>
                <w:szCs w:val="20"/>
              </w:rPr>
            </w:pPr>
            <w:r w:rsidRPr="005A2545">
              <w:rPr>
                <w:sz w:val="20"/>
                <w:szCs w:val="20"/>
              </w:rPr>
              <w:t>21.8%</w:t>
            </w:r>
          </w:p>
        </w:tc>
        <w:tc>
          <w:tcPr>
            <w:tcW w:w="1782" w:type="dxa"/>
            <w:vAlign w:val="center"/>
          </w:tcPr>
          <w:p w14:paraId="6BFB808F" w14:textId="77777777" w:rsidR="00F46C28" w:rsidRPr="005A2545" w:rsidRDefault="00F46C28" w:rsidP="00287451">
            <w:pPr>
              <w:jc w:val="center"/>
              <w:rPr>
                <w:sz w:val="20"/>
                <w:szCs w:val="20"/>
              </w:rPr>
            </w:pPr>
          </w:p>
        </w:tc>
        <w:tc>
          <w:tcPr>
            <w:tcW w:w="1782" w:type="dxa"/>
            <w:vAlign w:val="center"/>
          </w:tcPr>
          <w:p w14:paraId="2A7FE8C2" w14:textId="77777777" w:rsidR="00F46C28" w:rsidRPr="005A2545" w:rsidRDefault="00F46C28" w:rsidP="00287451">
            <w:pPr>
              <w:jc w:val="center"/>
              <w:rPr>
                <w:sz w:val="20"/>
                <w:szCs w:val="20"/>
              </w:rPr>
            </w:pPr>
            <w:r w:rsidRPr="005A2545">
              <w:rPr>
                <w:sz w:val="20"/>
                <w:szCs w:val="20"/>
              </w:rPr>
              <w:t>21.5%</w:t>
            </w:r>
          </w:p>
        </w:tc>
      </w:tr>
      <w:tr w:rsidR="00F46C28" w:rsidRPr="005A2545" w14:paraId="021BBD2C" w14:textId="77777777" w:rsidTr="00287451">
        <w:tc>
          <w:tcPr>
            <w:tcW w:w="2232" w:type="dxa"/>
            <w:vAlign w:val="center"/>
          </w:tcPr>
          <w:p w14:paraId="15676C3E" w14:textId="77777777" w:rsidR="00F46C28" w:rsidRPr="005A2545" w:rsidRDefault="00F46C28" w:rsidP="00287451">
            <w:pPr>
              <w:rPr>
                <w:sz w:val="20"/>
                <w:szCs w:val="20"/>
              </w:rPr>
            </w:pPr>
            <w:r w:rsidRPr="005A2545">
              <w:rPr>
                <w:b/>
                <w:sz w:val="20"/>
                <w:szCs w:val="20"/>
              </w:rPr>
              <w:t>Pr(non-AI), post-Alice</w:t>
            </w:r>
          </w:p>
        </w:tc>
        <w:tc>
          <w:tcPr>
            <w:tcW w:w="1782" w:type="dxa"/>
            <w:vAlign w:val="center"/>
          </w:tcPr>
          <w:p w14:paraId="3BB035A7" w14:textId="77777777" w:rsidR="00F46C28" w:rsidRPr="005A2545" w:rsidRDefault="00F46C28" w:rsidP="00287451">
            <w:pPr>
              <w:jc w:val="center"/>
              <w:rPr>
                <w:sz w:val="20"/>
                <w:szCs w:val="20"/>
              </w:rPr>
            </w:pPr>
          </w:p>
        </w:tc>
        <w:tc>
          <w:tcPr>
            <w:tcW w:w="1782" w:type="dxa"/>
            <w:vAlign w:val="center"/>
          </w:tcPr>
          <w:p w14:paraId="72072B2C" w14:textId="77777777" w:rsidR="00F46C28" w:rsidRPr="005A2545" w:rsidRDefault="00F46C28" w:rsidP="00287451">
            <w:pPr>
              <w:jc w:val="center"/>
              <w:rPr>
                <w:sz w:val="20"/>
                <w:szCs w:val="20"/>
              </w:rPr>
            </w:pPr>
            <w:r w:rsidRPr="005A2545">
              <w:rPr>
                <w:sz w:val="20"/>
                <w:szCs w:val="20"/>
              </w:rPr>
              <w:t>42.0%</w:t>
            </w:r>
          </w:p>
        </w:tc>
        <w:tc>
          <w:tcPr>
            <w:tcW w:w="1782" w:type="dxa"/>
            <w:vAlign w:val="center"/>
          </w:tcPr>
          <w:p w14:paraId="18101938" w14:textId="77777777" w:rsidR="00F46C28" w:rsidRPr="005A2545" w:rsidRDefault="00F46C28" w:rsidP="00287451">
            <w:pPr>
              <w:jc w:val="center"/>
              <w:rPr>
                <w:sz w:val="20"/>
                <w:szCs w:val="20"/>
              </w:rPr>
            </w:pPr>
          </w:p>
        </w:tc>
        <w:tc>
          <w:tcPr>
            <w:tcW w:w="1782" w:type="dxa"/>
            <w:vAlign w:val="center"/>
          </w:tcPr>
          <w:p w14:paraId="3CA431EA" w14:textId="77777777" w:rsidR="00F46C28" w:rsidRPr="005A2545" w:rsidRDefault="00F46C28" w:rsidP="00287451">
            <w:pPr>
              <w:jc w:val="center"/>
              <w:rPr>
                <w:sz w:val="20"/>
                <w:szCs w:val="20"/>
              </w:rPr>
            </w:pPr>
            <w:r w:rsidRPr="005A2545">
              <w:rPr>
                <w:sz w:val="20"/>
                <w:szCs w:val="20"/>
              </w:rPr>
              <w:t>44.3%</w:t>
            </w:r>
          </w:p>
        </w:tc>
      </w:tr>
      <w:tr w:rsidR="00F46C28" w:rsidRPr="005A2545" w14:paraId="57E4DF57" w14:textId="77777777" w:rsidTr="00287451">
        <w:tc>
          <w:tcPr>
            <w:tcW w:w="2232" w:type="dxa"/>
            <w:vAlign w:val="center"/>
          </w:tcPr>
          <w:p w14:paraId="7D34E851" w14:textId="77777777" w:rsidR="00F46C28" w:rsidRPr="005A2545" w:rsidRDefault="00F46C28" w:rsidP="00287451">
            <w:pPr>
              <w:rPr>
                <w:sz w:val="20"/>
                <w:szCs w:val="20"/>
              </w:rPr>
            </w:pPr>
            <w:r w:rsidRPr="005A2545">
              <w:rPr>
                <w:b/>
                <w:sz w:val="20"/>
                <w:szCs w:val="20"/>
              </w:rPr>
              <w:t>Pr(AI), post-Alice</w:t>
            </w:r>
          </w:p>
        </w:tc>
        <w:tc>
          <w:tcPr>
            <w:tcW w:w="1782" w:type="dxa"/>
            <w:vAlign w:val="center"/>
          </w:tcPr>
          <w:p w14:paraId="71C1797D" w14:textId="77777777" w:rsidR="00F46C28" w:rsidRPr="005A2545" w:rsidRDefault="00F46C28" w:rsidP="00287451">
            <w:pPr>
              <w:jc w:val="center"/>
              <w:rPr>
                <w:sz w:val="20"/>
                <w:szCs w:val="20"/>
              </w:rPr>
            </w:pPr>
          </w:p>
        </w:tc>
        <w:tc>
          <w:tcPr>
            <w:tcW w:w="1782" w:type="dxa"/>
            <w:vAlign w:val="center"/>
          </w:tcPr>
          <w:p w14:paraId="265EB02A" w14:textId="77777777" w:rsidR="00F46C28" w:rsidRPr="005A2545" w:rsidRDefault="00F46C28" w:rsidP="00287451">
            <w:pPr>
              <w:jc w:val="center"/>
              <w:rPr>
                <w:sz w:val="20"/>
                <w:szCs w:val="20"/>
              </w:rPr>
            </w:pPr>
            <w:r w:rsidRPr="005A2545">
              <w:rPr>
                <w:sz w:val="20"/>
                <w:szCs w:val="20"/>
              </w:rPr>
              <w:t>53.5%</w:t>
            </w:r>
          </w:p>
        </w:tc>
        <w:tc>
          <w:tcPr>
            <w:tcW w:w="1782" w:type="dxa"/>
            <w:vAlign w:val="center"/>
          </w:tcPr>
          <w:p w14:paraId="19990990" w14:textId="77777777" w:rsidR="00F46C28" w:rsidRPr="005A2545" w:rsidRDefault="00F46C28" w:rsidP="00287451">
            <w:pPr>
              <w:jc w:val="center"/>
              <w:rPr>
                <w:sz w:val="20"/>
                <w:szCs w:val="20"/>
              </w:rPr>
            </w:pPr>
          </w:p>
        </w:tc>
        <w:tc>
          <w:tcPr>
            <w:tcW w:w="1782" w:type="dxa"/>
            <w:vAlign w:val="center"/>
          </w:tcPr>
          <w:p w14:paraId="1F1085AC" w14:textId="77777777" w:rsidR="00F46C28" w:rsidRPr="005A2545" w:rsidRDefault="00F46C28" w:rsidP="00287451">
            <w:pPr>
              <w:jc w:val="center"/>
              <w:rPr>
                <w:sz w:val="20"/>
                <w:szCs w:val="20"/>
              </w:rPr>
            </w:pPr>
            <w:r w:rsidRPr="005A2545">
              <w:rPr>
                <w:sz w:val="20"/>
                <w:szCs w:val="20"/>
              </w:rPr>
              <w:t>53.6%</w:t>
            </w:r>
          </w:p>
        </w:tc>
      </w:tr>
    </w:tbl>
    <w:p w14:paraId="4A80D84B" w14:textId="77777777" w:rsidR="00F46C28" w:rsidRDefault="00F46C28" w:rsidP="00BA2B33">
      <w:pPr>
        <w:pStyle w:val="FootnoteText"/>
        <w:spacing w:line="480" w:lineRule="auto"/>
        <w:rPr>
          <w:sz w:val="24"/>
          <w:szCs w:val="24"/>
        </w:rPr>
      </w:pPr>
    </w:p>
    <w:p w14:paraId="4AB1C8CE" w14:textId="77777777" w:rsidR="006A6423" w:rsidRDefault="006A6423" w:rsidP="00BA2B33">
      <w:pPr>
        <w:pStyle w:val="FootnoteText"/>
        <w:spacing w:line="480" w:lineRule="auto"/>
        <w:rPr>
          <w:sz w:val="24"/>
          <w:szCs w:val="24"/>
        </w:rPr>
      </w:pPr>
    </w:p>
    <w:p w14:paraId="14EFE606" w14:textId="77777777" w:rsidR="006A6423" w:rsidRDefault="006A6423" w:rsidP="00BA2B33">
      <w:pPr>
        <w:pStyle w:val="FootnoteText"/>
        <w:spacing w:line="480" w:lineRule="auto"/>
        <w:rPr>
          <w:sz w:val="24"/>
          <w:szCs w:val="24"/>
        </w:rPr>
      </w:pPr>
    </w:p>
    <w:p w14:paraId="1C381B39" w14:textId="77777777" w:rsidR="006A6423" w:rsidRDefault="006A6423" w:rsidP="00BA2B33">
      <w:pPr>
        <w:pStyle w:val="FootnoteText"/>
        <w:spacing w:line="480" w:lineRule="auto"/>
        <w:rPr>
          <w:sz w:val="24"/>
          <w:szCs w:val="24"/>
        </w:rPr>
      </w:pPr>
    </w:p>
    <w:p w14:paraId="51BC5897" w14:textId="77777777" w:rsidR="006A6423" w:rsidRDefault="006A6423" w:rsidP="00BA2B33">
      <w:pPr>
        <w:pStyle w:val="FootnoteText"/>
        <w:spacing w:line="480" w:lineRule="auto"/>
        <w:rPr>
          <w:sz w:val="24"/>
          <w:szCs w:val="24"/>
        </w:rPr>
      </w:pPr>
    </w:p>
    <w:p w14:paraId="1F05510F" w14:textId="77777777" w:rsidR="006A6423" w:rsidRDefault="006A6423" w:rsidP="00BA2B33">
      <w:pPr>
        <w:pStyle w:val="FootnoteText"/>
        <w:spacing w:line="480" w:lineRule="auto"/>
        <w:rPr>
          <w:sz w:val="24"/>
          <w:szCs w:val="24"/>
        </w:rPr>
      </w:pPr>
    </w:p>
    <w:p w14:paraId="6243ED93" w14:textId="77777777" w:rsidR="006A6423" w:rsidRDefault="006A6423" w:rsidP="00BA2B33">
      <w:pPr>
        <w:pStyle w:val="FootnoteText"/>
        <w:spacing w:line="480" w:lineRule="auto"/>
        <w:rPr>
          <w:sz w:val="24"/>
          <w:szCs w:val="24"/>
        </w:rPr>
      </w:pPr>
    </w:p>
    <w:p w14:paraId="4516E6F4" w14:textId="77777777" w:rsidR="006A6423" w:rsidRDefault="006A6423" w:rsidP="00BA2B33">
      <w:pPr>
        <w:pStyle w:val="FootnoteText"/>
        <w:spacing w:line="480" w:lineRule="auto"/>
        <w:rPr>
          <w:sz w:val="24"/>
          <w:szCs w:val="24"/>
        </w:rPr>
      </w:pPr>
    </w:p>
    <w:p w14:paraId="0DA19D03" w14:textId="4295DDCB" w:rsidR="000B1DDB" w:rsidRPr="00E333AB" w:rsidRDefault="000B1DDB" w:rsidP="00E333AB">
      <w:pPr>
        <w:jc w:val="center"/>
        <w:rPr>
          <w:b/>
          <w:bCs/>
        </w:rPr>
      </w:pPr>
      <w:r w:rsidRPr="00E333AB">
        <w:rPr>
          <w:b/>
          <w:bCs/>
        </w:rPr>
        <w:lastRenderedPageBreak/>
        <w:t xml:space="preserve">Figure </w:t>
      </w:r>
      <w:r w:rsidR="001142BC">
        <w:rPr>
          <w:b/>
          <w:bCs/>
        </w:rPr>
        <w:t>8:</w:t>
      </w:r>
      <w:r w:rsidRPr="00E333AB">
        <w:rPr>
          <w:b/>
          <w:bCs/>
        </w:rPr>
        <w:t xml:space="preserve"> Coefficient Plot on Invalidity </w:t>
      </w:r>
      <w:r w:rsidR="00B34956" w:rsidRPr="00E333AB">
        <w:rPr>
          <w:b/>
          <w:bCs/>
        </w:rPr>
        <w:t xml:space="preserve">with </w:t>
      </w:r>
      <w:r w:rsidR="00B34956" w:rsidRPr="006A6423">
        <w:rPr>
          <w:b/>
          <w:bCs/>
          <w:i/>
          <w:iCs/>
        </w:rPr>
        <w:t>Alice</w:t>
      </w:r>
      <w:r w:rsidR="00B34956" w:rsidRPr="00E333AB">
        <w:rPr>
          <w:b/>
          <w:bCs/>
        </w:rPr>
        <w:t xml:space="preserve"> Post Control and Interaction</w:t>
      </w:r>
    </w:p>
    <w:p w14:paraId="57B35C37" w14:textId="0C1125AE" w:rsidR="000B1DDB" w:rsidRPr="00E333AB" w:rsidRDefault="000B1DDB" w:rsidP="00E333AB">
      <w:pPr>
        <w:pStyle w:val="FootnoteText"/>
        <w:spacing w:line="480" w:lineRule="auto"/>
        <w:ind w:firstLine="0"/>
        <w:jc w:val="center"/>
        <w:rPr>
          <w:b/>
          <w:bCs/>
          <w:sz w:val="24"/>
          <w:szCs w:val="24"/>
        </w:rPr>
      </w:pPr>
    </w:p>
    <w:p w14:paraId="67B5BF13" w14:textId="42701D62" w:rsidR="00660C22" w:rsidRPr="00BA2B33" w:rsidRDefault="00660C22" w:rsidP="00BA2B33">
      <w:pPr>
        <w:pStyle w:val="FootnoteText"/>
        <w:spacing w:line="480" w:lineRule="auto"/>
        <w:rPr>
          <w:sz w:val="24"/>
          <w:szCs w:val="24"/>
        </w:rPr>
      </w:pPr>
      <w:r w:rsidRPr="005A2545">
        <w:rPr>
          <w:noProof/>
        </w:rPr>
        <w:drawing>
          <wp:inline distT="0" distB="0" distL="0" distR="0" wp14:anchorId="62241E81" wp14:editId="1D9F6D54">
            <wp:extent cx="5943600" cy="22828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ice_combined_ai50_ai93.png"/>
                    <pic:cNvPicPr/>
                  </pic:nvPicPr>
                  <pic:blipFill>
                    <a:blip r:embed="rId13"/>
                    <a:stretch>
                      <a:fillRect/>
                    </a:stretch>
                  </pic:blipFill>
                  <pic:spPr>
                    <a:xfrm>
                      <a:off x="0" y="0"/>
                      <a:ext cx="5943600" cy="2282825"/>
                    </a:xfrm>
                    <a:prstGeom prst="rect">
                      <a:avLst/>
                    </a:prstGeom>
                  </pic:spPr>
                </pic:pic>
              </a:graphicData>
            </a:graphic>
          </wp:inline>
        </w:drawing>
      </w:r>
    </w:p>
    <w:p w14:paraId="6D087C17" w14:textId="6CF7654C" w:rsidR="008074B4" w:rsidRPr="006A6423" w:rsidRDefault="008074B4" w:rsidP="00CE5FC4">
      <w:pPr>
        <w:pStyle w:val="Heading1"/>
        <w:spacing w:before="0" w:after="0" w:line="480" w:lineRule="auto"/>
        <w:rPr>
          <w:rFonts w:ascii="Times New Roman" w:hAnsi="Times New Roman" w:cs="Times New Roman"/>
          <w:b/>
          <w:bCs/>
          <w:color w:val="000000" w:themeColor="text1"/>
          <w:sz w:val="24"/>
          <w:szCs w:val="24"/>
        </w:rPr>
      </w:pPr>
      <w:r w:rsidRPr="008074B4">
        <w:rPr>
          <w:rFonts w:ascii="Times New Roman" w:hAnsi="Times New Roman" w:cs="Times New Roman"/>
          <w:sz w:val="24"/>
          <w:szCs w:val="24"/>
        </w:rPr>
        <w:t xml:space="preserve">B. </w:t>
      </w:r>
      <w:r w:rsidRPr="006A6423">
        <w:rPr>
          <w:rFonts w:ascii="Times New Roman" w:hAnsi="Times New Roman" w:cs="Times New Roman"/>
          <w:b/>
          <w:bCs/>
          <w:color w:val="000000" w:themeColor="text1"/>
          <w:sz w:val="24"/>
          <w:szCs w:val="24"/>
        </w:rPr>
        <w:t>Non-Infringement</w:t>
      </w:r>
    </w:p>
    <w:p w14:paraId="7BB0D346" w14:textId="3D25C879" w:rsidR="008074B4" w:rsidRDefault="008074B4" w:rsidP="00CE5FC4">
      <w:pPr>
        <w:spacing w:line="480" w:lineRule="auto"/>
        <w:ind w:firstLine="720"/>
        <w:rPr>
          <w:color w:val="000000"/>
        </w:rPr>
      </w:pPr>
      <w:r w:rsidRPr="00304B82">
        <w:rPr>
          <w:color w:val="000000" w:themeColor="text1"/>
        </w:rPr>
        <w:t xml:space="preserve">Table </w:t>
      </w:r>
      <w:r w:rsidR="001142BC">
        <w:rPr>
          <w:color w:val="000000" w:themeColor="text1"/>
        </w:rPr>
        <w:t>6</w:t>
      </w:r>
      <w:r w:rsidR="00CE5FC4">
        <w:rPr>
          <w:color w:val="000000" w:themeColor="text1"/>
        </w:rPr>
        <w:t xml:space="preserve"> </w:t>
      </w:r>
      <w:r w:rsidRPr="00304B82">
        <w:rPr>
          <w:color w:val="000000" w:themeColor="text1"/>
        </w:rPr>
        <w:t>show</w:t>
      </w:r>
      <w:r w:rsidR="00304B82" w:rsidRPr="00304B82">
        <w:rPr>
          <w:color w:val="000000" w:themeColor="text1"/>
        </w:rPr>
        <w:t>s</w:t>
      </w:r>
      <w:r w:rsidRPr="00304B82">
        <w:rPr>
          <w:color w:val="000000" w:themeColor="text1"/>
        </w:rPr>
        <w:t xml:space="preserve"> that the </w:t>
      </w:r>
      <w:r w:rsidRPr="008074B4">
        <w:rPr>
          <w:color w:val="000000"/>
        </w:rPr>
        <w:t xml:space="preserve">infringement </w:t>
      </w:r>
      <w:r w:rsidR="00CE5FC4">
        <w:rPr>
          <w:color w:val="000000"/>
        </w:rPr>
        <w:t xml:space="preserve">discrepancy </w:t>
      </w:r>
      <w:r w:rsidRPr="008074B4">
        <w:rPr>
          <w:color w:val="000000"/>
        </w:rPr>
        <w:t xml:space="preserve">for AI patents survives the same sequence of controls. </w:t>
      </w:r>
      <w:r w:rsidR="00304B82">
        <w:rPr>
          <w:color w:val="000000"/>
        </w:rPr>
        <w:t xml:space="preserve">Across all models, the AI indicator (again, defined </w:t>
      </w:r>
      <w:r w:rsidR="00D15498">
        <w:rPr>
          <w:color w:val="000000"/>
        </w:rPr>
        <w:t xml:space="preserve">in the main specification </w:t>
      </w:r>
      <w:r w:rsidR="00304B82">
        <w:rPr>
          <w:color w:val="000000"/>
        </w:rPr>
        <w:t xml:space="preserve">by the 50% threshold from the USPTO Database) is statistically significant </w:t>
      </w:r>
      <w:r w:rsidR="00CE5FC4">
        <w:rPr>
          <w:color w:val="000000"/>
        </w:rPr>
        <w:t>at</w:t>
      </w:r>
      <w:r w:rsidR="00304B82">
        <w:rPr>
          <w:color w:val="000000"/>
        </w:rPr>
        <w:t xml:space="preserve"> least </w:t>
      </w:r>
      <w:r w:rsidR="00A36D7E">
        <w:rPr>
          <w:color w:val="000000"/>
        </w:rPr>
        <w:t xml:space="preserve">at </w:t>
      </w:r>
      <w:r w:rsidR="00F062AC">
        <w:rPr>
          <w:color w:val="000000"/>
        </w:rPr>
        <w:t>99%</w:t>
      </w:r>
      <w:r w:rsidR="00304B82">
        <w:rPr>
          <w:color w:val="000000"/>
        </w:rPr>
        <w:t xml:space="preserve"> confidence. In Model 1, with no controls, the non-AI baseline is </w:t>
      </w:r>
      <w:r w:rsidR="00F062AC">
        <w:rPr>
          <w:color w:val="000000"/>
        </w:rPr>
        <w:t>3</w:t>
      </w:r>
      <w:r w:rsidR="005121B3">
        <w:rPr>
          <w:color w:val="000000"/>
        </w:rPr>
        <w:t>4.7</w:t>
      </w:r>
      <w:r w:rsidR="00304B82">
        <w:rPr>
          <w:color w:val="000000"/>
        </w:rPr>
        <w:t xml:space="preserve">%. </w:t>
      </w:r>
      <w:r w:rsidR="00F062AC">
        <w:rPr>
          <w:color w:val="000000"/>
        </w:rPr>
        <w:t>The coefficient on the AI indicator is -</w:t>
      </w:r>
      <w:r w:rsidR="005121B3">
        <w:rPr>
          <w:color w:val="000000"/>
        </w:rPr>
        <w:t>10.69</w:t>
      </w:r>
      <w:r w:rsidR="00F062AC">
        <w:rPr>
          <w:color w:val="000000"/>
        </w:rPr>
        <w:t xml:space="preserve"> percentage points, which corresponds to an adjusted probability of 2</w:t>
      </w:r>
      <w:r w:rsidR="005121B3">
        <w:rPr>
          <w:color w:val="000000"/>
        </w:rPr>
        <w:t>4.0</w:t>
      </w:r>
      <w:r w:rsidR="00F062AC">
        <w:rPr>
          <w:color w:val="000000"/>
        </w:rPr>
        <w:t>% for an AI invention. This represents a</w:t>
      </w:r>
      <w:r w:rsidR="00304B82">
        <w:rPr>
          <w:color w:val="000000"/>
        </w:rPr>
        <w:t xml:space="preserve"> </w:t>
      </w:r>
      <w:r w:rsidR="005121B3">
        <w:rPr>
          <w:color w:val="000000"/>
        </w:rPr>
        <w:t>30.8</w:t>
      </w:r>
      <w:r w:rsidR="00304B82">
        <w:rPr>
          <w:color w:val="000000"/>
        </w:rPr>
        <w:t xml:space="preserve">% </w:t>
      </w:r>
      <w:r w:rsidR="00F062AC">
        <w:rPr>
          <w:color w:val="000000"/>
        </w:rPr>
        <w:t xml:space="preserve">decreased rate of </w:t>
      </w:r>
      <w:r w:rsidR="0028016E">
        <w:rPr>
          <w:color w:val="000000"/>
        </w:rPr>
        <w:t>infrin</w:t>
      </w:r>
      <w:r w:rsidR="00F062AC">
        <w:rPr>
          <w:color w:val="000000"/>
        </w:rPr>
        <w:t>gement</w:t>
      </w:r>
      <w:r w:rsidR="00304B82">
        <w:rPr>
          <w:color w:val="000000"/>
        </w:rPr>
        <w:t xml:space="preserve"> relative to the non-AI baseline. As with the invalidity outcomes, the numbers tighten as we add more controls. By the time we get to our preferred specification in Model 4</w:t>
      </w:r>
      <w:r w:rsidR="00D15498">
        <w:rPr>
          <w:color w:val="000000"/>
        </w:rPr>
        <w:t xml:space="preserve"> with all controls and fixed effects</w:t>
      </w:r>
      <w:r w:rsidR="00304B82">
        <w:rPr>
          <w:color w:val="000000"/>
        </w:rPr>
        <w:t xml:space="preserve">, there is a </w:t>
      </w:r>
      <w:r w:rsidR="00F062AC">
        <w:rPr>
          <w:color w:val="000000"/>
        </w:rPr>
        <w:t>-</w:t>
      </w:r>
      <w:r w:rsidR="00E431F3">
        <w:rPr>
          <w:color w:val="000000"/>
        </w:rPr>
        <w:t>4.</w:t>
      </w:r>
      <w:r w:rsidR="005121B3">
        <w:rPr>
          <w:color w:val="000000"/>
        </w:rPr>
        <w:t xml:space="preserve">60 </w:t>
      </w:r>
      <w:r w:rsidR="00304B82">
        <w:rPr>
          <w:color w:val="000000"/>
        </w:rPr>
        <w:t xml:space="preserve">percentage point </w:t>
      </w:r>
      <w:r w:rsidR="00492EB3">
        <w:rPr>
          <w:color w:val="000000"/>
        </w:rPr>
        <w:t>decrease</w:t>
      </w:r>
      <w:r w:rsidR="00304B82">
        <w:rPr>
          <w:color w:val="000000"/>
        </w:rPr>
        <w:t xml:space="preserve"> in infringement outcome for </w:t>
      </w:r>
      <w:r w:rsidR="00492EB3">
        <w:rPr>
          <w:color w:val="000000"/>
        </w:rPr>
        <w:t>an AI patent. The adjusted probability falls from 3</w:t>
      </w:r>
      <w:r w:rsidR="00F062AC">
        <w:rPr>
          <w:color w:val="000000"/>
        </w:rPr>
        <w:t>3.</w:t>
      </w:r>
      <w:r w:rsidR="005121B3">
        <w:rPr>
          <w:color w:val="000000"/>
        </w:rPr>
        <w:t>5</w:t>
      </w:r>
      <w:r w:rsidR="00492EB3">
        <w:rPr>
          <w:color w:val="000000"/>
        </w:rPr>
        <w:t>% for non-AI patents to 2</w:t>
      </w:r>
      <w:r w:rsidR="00F062AC">
        <w:rPr>
          <w:color w:val="000000"/>
        </w:rPr>
        <w:t>8.</w:t>
      </w:r>
      <w:r w:rsidR="005121B3">
        <w:rPr>
          <w:color w:val="000000"/>
        </w:rPr>
        <w:t>9</w:t>
      </w:r>
      <w:r w:rsidR="00492EB3">
        <w:rPr>
          <w:color w:val="000000"/>
        </w:rPr>
        <w:t>% for AI patents</w:t>
      </w:r>
      <w:r w:rsidR="005121B3">
        <w:rPr>
          <w:color w:val="000000"/>
        </w:rPr>
        <w:t>. While this difference is still statistically significant at 99% confidence, it is smaller than the invalidity results and thus should be taken with a grain of salt</w:t>
      </w:r>
      <w:r w:rsidR="00492EB3">
        <w:rPr>
          <w:color w:val="000000"/>
        </w:rPr>
        <w:t xml:space="preserve">. </w:t>
      </w:r>
      <w:r w:rsidRPr="008074B4">
        <w:rPr>
          <w:color w:val="000000"/>
        </w:rPr>
        <w:t xml:space="preserve">AI patents are </w:t>
      </w:r>
      <w:r w:rsidR="00D15498">
        <w:rPr>
          <w:color w:val="000000"/>
        </w:rPr>
        <w:t xml:space="preserve">thus </w:t>
      </w:r>
      <w:r w:rsidRPr="008074B4">
        <w:rPr>
          <w:color w:val="000000"/>
        </w:rPr>
        <w:t xml:space="preserve">not merely more likely to lose somewhere in the litigation process; they are also </w:t>
      </w:r>
      <w:r w:rsidR="00EE55C2">
        <w:rPr>
          <w:color w:val="000000"/>
        </w:rPr>
        <w:t>less</w:t>
      </w:r>
      <w:r w:rsidRPr="008074B4">
        <w:rPr>
          <w:color w:val="000000"/>
        </w:rPr>
        <w:t xml:space="preserve"> likely to end in </w:t>
      </w:r>
      <w:r w:rsidR="00EE55C2">
        <w:rPr>
          <w:color w:val="000000"/>
        </w:rPr>
        <w:t xml:space="preserve">an </w:t>
      </w:r>
      <w:r w:rsidRPr="008074B4">
        <w:rPr>
          <w:color w:val="000000"/>
        </w:rPr>
        <w:t xml:space="preserve">infringement finding </w:t>
      </w:r>
      <w:r w:rsidRPr="008074B4">
        <w:rPr>
          <w:color w:val="000000"/>
        </w:rPr>
        <w:lastRenderedPageBreak/>
        <w:t>even after the model compares them within similar courts, years, technologies, and procedural settings</w:t>
      </w:r>
      <w:r w:rsidR="00304B82">
        <w:rPr>
          <w:color w:val="000000"/>
        </w:rPr>
        <w:t>.</w:t>
      </w:r>
    </w:p>
    <w:p w14:paraId="6B9A438F" w14:textId="07063097" w:rsidR="0063659D" w:rsidRPr="006A6423" w:rsidRDefault="0063659D" w:rsidP="006A6423">
      <w:pPr>
        <w:pStyle w:val="Heading3"/>
        <w:jc w:val="center"/>
        <w:rPr>
          <w:rFonts w:cs="Times New Roman"/>
          <w:b/>
          <w:bCs/>
          <w:color w:val="auto"/>
          <w:sz w:val="24"/>
          <w:szCs w:val="24"/>
        </w:rPr>
      </w:pPr>
      <w:r w:rsidRPr="006A6423">
        <w:rPr>
          <w:rFonts w:cs="Times New Roman"/>
          <w:b/>
          <w:bCs/>
          <w:color w:val="auto"/>
          <w:sz w:val="24"/>
          <w:szCs w:val="24"/>
        </w:rPr>
        <w:t>Table 6: Infringement at AI Tier 50%</w:t>
      </w:r>
    </w:p>
    <w:tbl>
      <w:tblPr>
        <w:tblStyle w:val="TableGrid"/>
        <w:tblW w:w="9360" w:type="dxa"/>
        <w:tblLayout w:type="fixed"/>
        <w:tblLook w:val="04A0" w:firstRow="1" w:lastRow="0" w:firstColumn="1" w:lastColumn="0" w:noHBand="0" w:noVBand="1"/>
      </w:tblPr>
      <w:tblGrid>
        <w:gridCol w:w="2089"/>
        <w:gridCol w:w="1815"/>
        <w:gridCol w:w="1814"/>
        <w:gridCol w:w="1814"/>
        <w:gridCol w:w="1828"/>
      </w:tblGrid>
      <w:tr w:rsidR="0063659D" w:rsidRPr="005A2545" w14:paraId="4363C42F" w14:textId="77777777" w:rsidTr="00287451">
        <w:tc>
          <w:tcPr>
            <w:tcW w:w="2088" w:type="dxa"/>
            <w:shd w:val="clear" w:color="auto" w:fill="F2F2F2"/>
            <w:vAlign w:val="center"/>
          </w:tcPr>
          <w:p w14:paraId="181EBDE3" w14:textId="77777777" w:rsidR="0063659D" w:rsidRPr="005A2545" w:rsidRDefault="0063659D" w:rsidP="00287451">
            <w:pPr>
              <w:jc w:val="center"/>
              <w:rPr>
                <w:sz w:val="20"/>
                <w:szCs w:val="20"/>
              </w:rPr>
            </w:pPr>
            <w:r w:rsidRPr="005A2545">
              <w:rPr>
                <w:b/>
                <w:sz w:val="20"/>
                <w:szCs w:val="20"/>
              </w:rPr>
              <w:t>Statistic</w:t>
            </w:r>
          </w:p>
        </w:tc>
        <w:tc>
          <w:tcPr>
            <w:tcW w:w="1814" w:type="dxa"/>
            <w:shd w:val="clear" w:color="auto" w:fill="F2F2F2"/>
            <w:vAlign w:val="center"/>
          </w:tcPr>
          <w:p w14:paraId="6E676762" w14:textId="77777777" w:rsidR="0063659D" w:rsidRPr="005A2545" w:rsidRDefault="0063659D" w:rsidP="00287451">
            <w:pPr>
              <w:jc w:val="center"/>
              <w:rPr>
                <w:sz w:val="20"/>
                <w:szCs w:val="20"/>
              </w:rPr>
            </w:pPr>
            <w:r w:rsidRPr="005A2545">
              <w:rPr>
                <w:b/>
                <w:sz w:val="20"/>
                <w:szCs w:val="20"/>
              </w:rPr>
              <w:t>Model 1</w:t>
            </w:r>
          </w:p>
        </w:tc>
        <w:tc>
          <w:tcPr>
            <w:tcW w:w="1814" w:type="dxa"/>
            <w:shd w:val="clear" w:color="auto" w:fill="F2F2F2"/>
            <w:vAlign w:val="center"/>
          </w:tcPr>
          <w:p w14:paraId="0FF6041B" w14:textId="77777777" w:rsidR="0063659D" w:rsidRPr="005A2545" w:rsidRDefault="0063659D" w:rsidP="00287451">
            <w:pPr>
              <w:jc w:val="center"/>
              <w:rPr>
                <w:sz w:val="20"/>
                <w:szCs w:val="20"/>
              </w:rPr>
            </w:pPr>
            <w:r w:rsidRPr="005A2545">
              <w:rPr>
                <w:b/>
                <w:sz w:val="20"/>
                <w:szCs w:val="20"/>
              </w:rPr>
              <w:t>Model 2</w:t>
            </w:r>
          </w:p>
        </w:tc>
        <w:tc>
          <w:tcPr>
            <w:tcW w:w="1814" w:type="dxa"/>
            <w:shd w:val="clear" w:color="auto" w:fill="F2F2F2"/>
            <w:vAlign w:val="center"/>
          </w:tcPr>
          <w:p w14:paraId="6C0829B1" w14:textId="77777777" w:rsidR="0063659D" w:rsidRPr="005A2545" w:rsidRDefault="0063659D" w:rsidP="00287451">
            <w:pPr>
              <w:jc w:val="center"/>
              <w:rPr>
                <w:sz w:val="20"/>
                <w:szCs w:val="20"/>
              </w:rPr>
            </w:pPr>
            <w:r w:rsidRPr="005A2545">
              <w:rPr>
                <w:b/>
                <w:sz w:val="20"/>
                <w:szCs w:val="20"/>
              </w:rPr>
              <w:t>Model 3</w:t>
            </w:r>
          </w:p>
        </w:tc>
        <w:tc>
          <w:tcPr>
            <w:tcW w:w="1828" w:type="dxa"/>
            <w:shd w:val="clear" w:color="auto" w:fill="F2F2F2"/>
            <w:vAlign w:val="center"/>
          </w:tcPr>
          <w:p w14:paraId="103459C0" w14:textId="77777777" w:rsidR="0063659D" w:rsidRPr="005A2545" w:rsidRDefault="0063659D" w:rsidP="00287451">
            <w:pPr>
              <w:jc w:val="center"/>
              <w:rPr>
                <w:sz w:val="20"/>
                <w:szCs w:val="20"/>
              </w:rPr>
            </w:pPr>
            <w:r w:rsidRPr="005A2545">
              <w:rPr>
                <w:b/>
                <w:sz w:val="20"/>
                <w:szCs w:val="20"/>
              </w:rPr>
              <w:t>Model 4</w:t>
            </w:r>
          </w:p>
        </w:tc>
      </w:tr>
      <w:tr w:rsidR="0063659D" w:rsidRPr="005A2545" w14:paraId="4766B736" w14:textId="77777777" w:rsidTr="00287451">
        <w:tc>
          <w:tcPr>
            <w:tcW w:w="2088" w:type="dxa"/>
            <w:vAlign w:val="center"/>
          </w:tcPr>
          <w:p w14:paraId="656A2A12" w14:textId="77777777" w:rsidR="0063659D" w:rsidRPr="005A2545" w:rsidRDefault="0063659D" w:rsidP="00287451">
            <w:pPr>
              <w:rPr>
                <w:sz w:val="20"/>
                <w:szCs w:val="20"/>
              </w:rPr>
            </w:pPr>
            <w:r w:rsidRPr="005A2545">
              <w:rPr>
                <w:b/>
                <w:sz w:val="20"/>
                <w:szCs w:val="20"/>
              </w:rPr>
              <w:t>AI coefficient</w:t>
            </w:r>
          </w:p>
        </w:tc>
        <w:tc>
          <w:tcPr>
            <w:tcW w:w="1814" w:type="dxa"/>
            <w:vAlign w:val="center"/>
          </w:tcPr>
          <w:p w14:paraId="34DCDD11" w14:textId="77777777" w:rsidR="0063659D" w:rsidRPr="005A2545" w:rsidRDefault="0063659D" w:rsidP="00287451">
            <w:pPr>
              <w:jc w:val="center"/>
              <w:rPr>
                <w:sz w:val="20"/>
                <w:szCs w:val="20"/>
              </w:rPr>
            </w:pPr>
            <w:r w:rsidRPr="005A2545">
              <w:rPr>
                <w:sz w:val="20"/>
                <w:szCs w:val="20"/>
              </w:rPr>
              <w:t>-10.69***</w:t>
            </w:r>
            <w:r w:rsidRPr="005A2545">
              <w:rPr>
                <w:sz w:val="20"/>
                <w:szCs w:val="20"/>
              </w:rPr>
              <w:br/>
              <w:t>(1.46)</w:t>
            </w:r>
          </w:p>
        </w:tc>
        <w:tc>
          <w:tcPr>
            <w:tcW w:w="1814" w:type="dxa"/>
            <w:vAlign w:val="center"/>
          </w:tcPr>
          <w:p w14:paraId="18199791" w14:textId="77777777" w:rsidR="0063659D" w:rsidRPr="005A2545" w:rsidRDefault="0063659D" w:rsidP="00287451">
            <w:pPr>
              <w:jc w:val="center"/>
              <w:rPr>
                <w:sz w:val="20"/>
                <w:szCs w:val="20"/>
              </w:rPr>
            </w:pPr>
            <w:r w:rsidRPr="005A2545">
              <w:rPr>
                <w:sz w:val="20"/>
                <w:szCs w:val="20"/>
              </w:rPr>
              <w:t>-10.33***</w:t>
            </w:r>
            <w:r w:rsidRPr="005A2545">
              <w:rPr>
                <w:sz w:val="20"/>
                <w:szCs w:val="20"/>
              </w:rPr>
              <w:br/>
              <w:t>(1.49)</w:t>
            </w:r>
          </w:p>
        </w:tc>
        <w:tc>
          <w:tcPr>
            <w:tcW w:w="1814" w:type="dxa"/>
            <w:vAlign w:val="center"/>
          </w:tcPr>
          <w:p w14:paraId="28D8469B" w14:textId="77777777" w:rsidR="0063659D" w:rsidRPr="005A2545" w:rsidRDefault="0063659D" w:rsidP="00287451">
            <w:pPr>
              <w:jc w:val="center"/>
              <w:rPr>
                <w:sz w:val="20"/>
                <w:szCs w:val="20"/>
              </w:rPr>
            </w:pPr>
            <w:r w:rsidRPr="005A2545">
              <w:rPr>
                <w:sz w:val="20"/>
                <w:szCs w:val="20"/>
              </w:rPr>
              <w:t>-9.78***</w:t>
            </w:r>
            <w:r w:rsidRPr="005A2545">
              <w:rPr>
                <w:sz w:val="20"/>
                <w:szCs w:val="20"/>
              </w:rPr>
              <w:br/>
              <w:t>(1.29)</w:t>
            </w:r>
          </w:p>
        </w:tc>
        <w:tc>
          <w:tcPr>
            <w:tcW w:w="1828" w:type="dxa"/>
            <w:vAlign w:val="center"/>
          </w:tcPr>
          <w:p w14:paraId="0C19733E" w14:textId="77777777" w:rsidR="0063659D" w:rsidRPr="005A2545" w:rsidRDefault="0063659D" w:rsidP="00287451">
            <w:pPr>
              <w:jc w:val="center"/>
              <w:rPr>
                <w:sz w:val="20"/>
                <w:szCs w:val="20"/>
              </w:rPr>
            </w:pPr>
            <w:r w:rsidRPr="005A2545">
              <w:rPr>
                <w:sz w:val="20"/>
                <w:szCs w:val="20"/>
              </w:rPr>
              <w:t>-4.60***</w:t>
            </w:r>
            <w:r w:rsidRPr="005A2545">
              <w:rPr>
                <w:sz w:val="20"/>
                <w:szCs w:val="20"/>
              </w:rPr>
              <w:br/>
              <w:t>(1.42)</w:t>
            </w:r>
          </w:p>
        </w:tc>
      </w:tr>
      <w:tr w:rsidR="0063659D" w:rsidRPr="005A2545" w14:paraId="070228D4" w14:textId="77777777" w:rsidTr="00287451">
        <w:tc>
          <w:tcPr>
            <w:tcW w:w="2088" w:type="dxa"/>
            <w:vAlign w:val="center"/>
          </w:tcPr>
          <w:p w14:paraId="4A8F7A78" w14:textId="77777777" w:rsidR="0063659D" w:rsidRPr="005A2545" w:rsidRDefault="0063659D" w:rsidP="00287451">
            <w:pPr>
              <w:rPr>
                <w:sz w:val="20"/>
                <w:szCs w:val="20"/>
              </w:rPr>
            </w:pPr>
            <w:r w:rsidRPr="005A2545">
              <w:rPr>
                <w:b/>
                <w:sz w:val="20"/>
                <w:szCs w:val="20"/>
              </w:rPr>
              <w:t>Alpha</w:t>
            </w:r>
          </w:p>
        </w:tc>
        <w:tc>
          <w:tcPr>
            <w:tcW w:w="1814" w:type="dxa"/>
            <w:vAlign w:val="center"/>
          </w:tcPr>
          <w:p w14:paraId="7D5A1DFD" w14:textId="77777777" w:rsidR="0063659D" w:rsidRPr="005A2545" w:rsidRDefault="0063659D" w:rsidP="00287451">
            <w:pPr>
              <w:jc w:val="center"/>
              <w:rPr>
                <w:sz w:val="20"/>
                <w:szCs w:val="20"/>
              </w:rPr>
            </w:pPr>
            <w:r w:rsidRPr="005A2545">
              <w:rPr>
                <w:sz w:val="20"/>
                <w:szCs w:val="20"/>
              </w:rPr>
              <w:t>0.01</w:t>
            </w:r>
          </w:p>
        </w:tc>
        <w:tc>
          <w:tcPr>
            <w:tcW w:w="1814" w:type="dxa"/>
            <w:vAlign w:val="center"/>
          </w:tcPr>
          <w:p w14:paraId="053D6F4C" w14:textId="77777777" w:rsidR="0063659D" w:rsidRPr="005A2545" w:rsidRDefault="0063659D" w:rsidP="00287451">
            <w:pPr>
              <w:jc w:val="center"/>
              <w:rPr>
                <w:sz w:val="20"/>
                <w:szCs w:val="20"/>
              </w:rPr>
            </w:pPr>
            <w:r w:rsidRPr="005A2545">
              <w:rPr>
                <w:sz w:val="20"/>
                <w:szCs w:val="20"/>
              </w:rPr>
              <w:t>0.01</w:t>
            </w:r>
          </w:p>
        </w:tc>
        <w:tc>
          <w:tcPr>
            <w:tcW w:w="1814" w:type="dxa"/>
            <w:vAlign w:val="center"/>
          </w:tcPr>
          <w:p w14:paraId="20E357CE" w14:textId="77777777" w:rsidR="0063659D" w:rsidRPr="005A2545" w:rsidRDefault="0063659D" w:rsidP="00287451">
            <w:pPr>
              <w:jc w:val="center"/>
              <w:rPr>
                <w:sz w:val="20"/>
                <w:szCs w:val="20"/>
              </w:rPr>
            </w:pPr>
            <w:r w:rsidRPr="005A2545">
              <w:rPr>
                <w:sz w:val="20"/>
                <w:szCs w:val="20"/>
              </w:rPr>
              <w:t>0.01</w:t>
            </w:r>
          </w:p>
        </w:tc>
        <w:tc>
          <w:tcPr>
            <w:tcW w:w="1828" w:type="dxa"/>
            <w:vAlign w:val="center"/>
          </w:tcPr>
          <w:p w14:paraId="4CAC3F38" w14:textId="77777777" w:rsidR="0063659D" w:rsidRPr="005A2545" w:rsidRDefault="0063659D" w:rsidP="00287451">
            <w:pPr>
              <w:jc w:val="center"/>
              <w:rPr>
                <w:sz w:val="20"/>
                <w:szCs w:val="20"/>
              </w:rPr>
            </w:pPr>
            <w:r w:rsidRPr="005A2545">
              <w:rPr>
                <w:sz w:val="20"/>
                <w:szCs w:val="20"/>
              </w:rPr>
              <w:t>0.01</w:t>
            </w:r>
          </w:p>
        </w:tc>
      </w:tr>
      <w:tr w:rsidR="0063659D" w:rsidRPr="005A2545" w14:paraId="54FA6142" w14:textId="77777777" w:rsidTr="00287451">
        <w:tc>
          <w:tcPr>
            <w:tcW w:w="2088" w:type="dxa"/>
            <w:vAlign w:val="center"/>
          </w:tcPr>
          <w:p w14:paraId="78E50C8D" w14:textId="77777777" w:rsidR="0063659D" w:rsidRPr="005A2545" w:rsidRDefault="0063659D" w:rsidP="00287451">
            <w:pPr>
              <w:rPr>
                <w:sz w:val="20"/>
                <w:szCs w:val="20"/>
              </w:rPr>
            </w:pPr>
            <w:r w:rsidRPr="005A2545">
              <w:rPr>
                <w:b/>
                <w:sz w:val="20"/>
                <w:szCs w:val="20"/>
              </w:rPr>
              <w:t>Pr(non-AI)</w:t>
            </w:r>
          </w:p>
        </w:tc>
        <w:tc>
          <w:tcPr>
            <w:tcW w:w="1814" w:type="dxa"/>
            <w:vAlign w:val="center"/>
          </w:tcPr>
          <w:p w14:paraId="061F7EA1" w14:textId="77777777" w:rsidR="0063659D" w:rsidRPr="005A2545" w:rsidRDefault="0063659D" w:rsidP="00287451">
            <w:pPr>
              <w:jc w:val="center"/>
              <w:rPr>
                <w:sz w:val="20"/>
                <w:szCs w:val="20"/>
              </w:rPr>
            </w:pPr>
            <w:r w:rsidRPr="005A2545">
              <w:rPr>
                <w:sz w:val="20"/>
                <w:szCs w:val="20"/>
              </w:rPr>
              <w:t>34.7%</w:t>
            </w:r>
          </w:p>
        </w:tc>
        <w:tc>
          <w:tcPr>
            <w:tcW w:w="1814" w:type="dxa"/>
            <w:vAlign w:val="center"/>
          </w:tcPr>
          <w:p w14:paraId="01498E48" w14:textId="77777777" w:rsidR="0063659D" w:rsidRPr="005A2545" w:rsidRDefault="0063659D" w:rsidP="00287451">
            <w:pPr>
              <w:jc w:val="center"/>
              <w:rPr>
                <w:sz w:val="20"/>
                <w:szCs w:val="20"/>
              </w:rPr>
            </w:pPr>
            <w:r w:rsidRPr="005A2545">
              <w:rPr>
                <w:sz w:val="20"/>
                <w:szCs w:val="20"/>
              </w:rPr>
              <w:t>34.6%</w:t>
            </w:r>
          </w:p>
        </w:tc>
        <w:tc>
          <w:tcPr>
            <w:tcW w:w="1814" w:type="dxa"/>
            <w:vAlign w:val="center"/>
          </w:tcPr>
          <w:p w14:paraId="7DE3FE93" w14:textId="77777777" w:rsidR="0063659D" w:rsidRPr="005A2545" w:rsidRDefault="0063659D" w:rsidP="00287451">
            <w:pPr>
              <w:jc w:val="center"/>
              <w:rPr>
                <w:sz w:val="20"/>
                <w:szCs w:val="20"/>
              </w:rPr>
            </w:pPr>
            <w:r w:rsidRPr="005A2545">
              <w:rPr>
                <w:sz w:val="20"/>
                <w:szCs w:val="20"/>
              </w:rPr>
              <w:t>34.5%</w:t>
            </w:r>
          </w:p>
        </w:tc>
        <w:tc>
          <w:tcPr>
            <w:tcW w:w="1828" w:type="dxa"/>
            <w:vAlign w:val="center"/>
          </w:tcPr>
          <w:p w14:paraId="2EAA43DE" w14:textId="77777777" w:rsidR="0063659D" w:rsidRPr="005A2545" w:rsidRDefault="0063659D" w:rsidP="00287451">
            <w:pPr>
              <w:jc w:val="center"/>
              <w:rPr>
                <w:sz w:val="20"/>
                <w:szCs w:val="20"/>
              </w:rPr>
            </w:pPr>
            <w:r w:rsidRPr="005A2545">
              <w:rPr>
                <w:sz w:val="20"/>
                <w:szCs w:val="20"/>
              </w:rPr>
              <w:t>33.5%</w:t>
            </w:r>
          </w:p>
        </w:tc>
      </w:tr>
      <w:tr w:rsidR="0063659D" w:rsidRPr="005A2545" w14:paraId="4DCC67C0" w14:textId="77777777" w:rsidTr="00287451">
        <w:tc>
          <w:tcPr>
            <w:tcW w:w="2088" w:type="dxa"/>
            <w:vAlign w:val="center"/>
          </w:tcPr>
          <w:p w14:paraId="2471F101" w14:textId="77777777" w:rsidR="0063659D" w:rsidRPr="005A2545" w:rsidRDefault="0063659D" w:rsidP="00287451">
            <w:pPr>
              <w:rPr>
                <w:sz w:val="20"/>
                <w:szCs w:val="20"/>
              </w:rPr>
            </w:pPr>
            <w:r w:rsidRPr="005A2545">
              <w:rPr>
                <w:b/>
                <w:sz w:val="20"/>
                <w:szCs w:val="20"/>
              </w:rPr>
              <w:t>Pr(AI)</w:t>
            </w:r>
          </w:p>
        </w:tc>
        <w:tc>
          <w:tcPr>
            <w:tcW w:w="1814" w:type="dxa"/>
            <w:vAlign w:val="center"/>
          </w:tcPr>
          <w:p w14:paraId="4237668A" w14:textId="77777777" w:rsidR="0063659D" w:rsidRPr="005A2545" w:rsidRDefault="0063659D" w:rsidP="00287451">
            <w:pPr>
              <w:jc w:val="center"/>
              <w:rPr>
                <w:sz w:val="20"/>
                <w:szCs w:val="20"/>
              </w:rPr>
            </w:pPr>
            <w:r w:rsidRPr="005A2545">
              <w:rPr>
                <w:sz w:val="20"/>
                <w:szCs w:val="20"/>
              </w:rPr>
              <w:t>24.0%</w:t>
            </w:r>
          </w:p>
        </w:tc>
        <w:tc>
          <w:tcPr>
            <w:tcW w:w="1814" w:type="dxa"/>
            <w:vAlign w:val="center"/>
          </w:tcPr>
          <w:p w14:paraId="6265984B" w14:textId="77777777" w:rsidR="0063659D" w:rsidRPr="005A2545" w:rsidRDefault="0063659D" w:rsidP="00287451">
            <w:pPr>
              <w:jc w:val="center"/>
              <w:rPr>
                <w:sz w:val="20"/>
                <w:szCs w:val="20"/>
              </w:rPr>
            </w:pPr>
            <w:r w:rsidRPr="005A2545">
              <w:rPr>
                <w:sz w:val="20"/>
                <w:szCs w:val="20"/>
              </w:rPr>
              <w:t>24.3%</w:t>
            </w:r>
          </w:p>
        </w:tc>
        <w:tc>
          <w:tcPr>
            <w:tcW w:w="1814" w:type="dxa"/>
            <w:vAlign w:val="center"/>
          </w:tcPr>
          <w:p w14:paraId="6E905F1E" w14:textId="77777777" w:rsidR="0063659D" w:rsidRPr="005A2545" w:rsidRDefault="0063659D" w:rsidP="00287451">
            <w:pPr>
              <w:jc w:val="center"/>
              <w:rPr>
                <w:sz w:val="20"/>
                <w:szCs w:val="20"/>
              </w:rPr>
            </w:pPr>
            <w:r w:rsidRPr="005A2545">
              <w:rPr>
                <w:sz w:val="20"/>
                <w:szCs w:val="20"/>
              </w:rPr>
              <w:t>24.7%</w:t>
            </w:r>
          </w:p>
        </w:tc>
        <w:tc>
          <w:tcPr>
            <w:tcW w:w="1828" w:type="dxa"/>
            <w:vAlign w:val="center"/>
          </w:tcPr>
          <w:p w14:paraId="339DF4FD" w14:textId="77777777" w:rsidR="0063659D" w:rsidRPr="005A2545" w:rsidRDefault="0063659D" w:rsidP="00287451">
            <w:pPr>
              <w:jc w:val="center"/>
              <w:rPr>
                <w:sz w:val="20"/>
                <w:szCs w:val="20"/>
              </w:rPr>
            </w:pPr>
            <w:r w:rsidRPr="005A2545">
              <w:rPr>
                <w:sz w:val="20"/>
                <w:szCs w:val="20"/>
              </w:rPr>
              <w:t>28.9%</w:t>
            </w:r>
          </w:p>
        </w:tc>
      </w:tr>
      <w:tr w:rsidR="0063659D" w:rsidRPr="005A2545" w14:paraId="3FD529FF" w14:textId="77777777" w:rsidTr="00287451">
        <w:tc>
          <w:tcPr>
            <w:tcW w:w="2088" w:type="dxa"/>
            <w:vAlign w:val="center"/>
          </w:tcPr>
          <w:p w14:paraId="35B5026C" w14:textId="77777777" w:rsidR="0063659D" w:rsidRPr="005A2545" w:rsidRDefault="0063659D" w:rsidP="00287451">
            <w:pPr>
              <w:rPr>
                <w:sz w:val="20"/>
                <w:szCs w:val="20"/>
              </w:rPr>
            </w:pPr>
            <w:r w:rsidRPr="005A2545">
              <w:rPr>
                <w:b/>
                <w:sz w:val="20"/>
                <w:szCs w:val="20"/>
              </w:rPr>
              <w:t>Relative change</w:t>
            </w:r>
          </w:p>
        </w:tc>
        <w:tc>
          <w:tcPr>
            <w:tcW w:w="1814" w:type="dxa"/>
            <w:vAlign w:val="center"/>
          </w:tcPr>
          <w:p w14:paraId="7C2AC29F" w14:textId="77777777" w:rsidR="0063659D" w:rsidRPr="005A2545" w:rsidRDefault="0063659D" w:rsidP="00287451">
            <w:pPr>
              <w:jc w:val="center"/>
              <w:rPr>
                <w:sz w:val="20"/>
                <w:szCs w:val="20"/>
              </w:rPr>
            </w:pPr>
            <w:r w:rsidRPr="005A2545">
              <w:rPr>
                <w:sz w:val="20"/>
                <w:szCs w:val="20"/>
              </w:rPr>
              <w:t>-30.8%</w:t>
            </w:r>
          </w:p>
        </w:tc>
        <w:tc>
          <w:tcPr>
            <w:tcW w:w="1814" w:type="dxa"/>
            <w:vAlign w:val="center"/>
          </w:tcPr>
          <w:p w14:paraId="0F79425A" w14:textId="77777777" w:rsidR="0063659D" w:rsidRPr="005A2545" w:rsidRDefault="0063659D" w:rsidP="00287451">
            <w:pPr>
              <w:jc w:val="center"/>
              <w:rPr>
                <w:sz w:val="20"/>
                <w:szCs w:val="20"/>
              </w:rPr>
            </w:pPr>
            <w:r w:rsidRPr="005A2545">
              <w:rPr>
                <w:sz w:val="20"/>
                <w:szCs w:val="20"/>
              </w:rPr>
              <w:t>-29.8%</w:t>
            </w:r>
          </w:p>
        </w:tc>
        <w:tc>
          <w:tcPr>
            <w:tcW w:w="1814" w:type="dxa"/>
            <w:vAlign w:val="center"/>
          </w:tcPr>
          <w:p w14:paraId="39F34273" w14:textId="77777777" w:rsidR="0063659D" w:rsidRPr="005A2545" w:rsidRDefault="0063659D" w:rsidP="00287451">
            <w:pPr>
              <w:jc w:val="center"/>
              <w:rPr>
                <w:sz w:val="20"/>
                <w:szCs w:val="20"/>
              </w:rPr>
            </w:pPr>
            <w:r w:rsidRPr="005A2545">
              <w:rPr>
                <w:sz w:val="20"/>
                <w:szCs w:val="20"/>
              </w:rPr>
              <w:t>-28.3%</w:t>
            </w:r>
          </w:p>
        </w:tc>
        <w:tc>
          <w:tcPr>
            <w:tcW w:w="1828" w:type="dxa"/>
            <w:vAlign w:val="center"/>
          </w:tcPr>
          <w:p w14:paraId="444901C1" w14:textId="77777777" w:rsidR="0063659D" w:rsidRPr="005A2545" w:rsidRDefault="0063659D" w:rsidP="00287451">
            <w:pPr>
              <w:jc w:val="center"/>
              <w:rPr>
                <w:sz w:val="20"/>
                <w:szCs w:val="20"/>
              </w:rPr>
            </w:pPr>
            <w:r w:rsidRPr="005A2545">
              <w:rPr>
                <w:sz w:val="20"/>
                <w:szCs w:val="20"/>
              </w:rPr>
              <w:t>-13.7%</w:t>
            </w:r>
          </w:p>
        </w:tc>
      </w:tr>
      <w:tr w:rsidR="0063659D" w:rsidRPr="005A2545" w14:paraId="61B890CB" w14:textId="77777777" w:rsidTr="00287451">
        <w:tc>
          <w:tcPr>
            <w:tcW w:w="2088" w:type="dxa"/>
            <w:vAlign w:val="center"/>
          </w:tcPr>
          <w:p w14:paraId="6FB8F027" w14:textId="77777777" w:rsidR="0063659D" w:rsidRPr="005A2545" w:rsidRDefault="0063659D" w:rsidP="00287451">
            <w:pPr>
              <w:rPr>
                <w:sz w:val="20"/>
                <w:szCs w:val="20"/>
              </w:rPr>
            </w:pPr>
            <w:r w:rsidRPr="005A2545">
              <w:rPr>
                <w:b/>
                <w:sz w:val="20"/>
                <w:szCs w:val="20"/>
              </w:rPr>
              <w:t>N</w:t>
            </w:r>
          </w:p>
        </w:tc>
        <w:tc>
          <w:tcPr>
            <w:tcW w:w="1814" w:type="dxa"/>
            <w:vAlign w:val="center"/>
          </w:tcPr>
          <w:p w14:paraId="24E2042D" w14:textId="77777777" w:rsidR="0063659D" w:rsidRPr="005A2545" w:rsidRDefault="0063659D" w:rsidP="00287451">
            <w:pPr>
              <w:jc w:val="center"/>
              <w:rPr>
                <w:sz w:val="20"/>
                <w:szCs w:val="20"/>
              </w:rPr>
            </w:pPr>
            <w:r w:rsidRPr="005A2545">
              <w:rPr>
                <w:sz w:val="20"/>
                <w:szCs w:val="20"/>
              </w:rPr>
              <w:t>6,362</w:t>
            </w:r>
          </w:p>
        </w:tc>
        <w:tc>
          <w:tcPr>
            <w:tcW w:w="1814" w:type="dxa"/>
            <w:vAlign w:val="center"/>
          </w:tcPr>
          <w:p w14:paraId="0DC6FD81" w14:textId="77777777" w:rsidR="0063659D" w:rsidRPr="005A2545" w:rsidRDefault="0063659D" w:rsidP="00287451">
            <w:pPr>
              <w:jc w:val="center"/>
              <w:rPr>
                <w:sz w:val="20"/>
                <w:szCs w:val="20"/>
              </w:rPr>
            </w:pPr>
            <w:r w:rsidRPr="005A2545">
              <w:rPr>
                <w:sz w:val="20"/>
                <w:szCs w:val="20"/>
              </w:rPr>
              <w:t>6,362</w:t>
            </w:r>
          </w:p>
        </w:tc>
        <w:tc>
          <w:tcPr>
            <w:tcW w:w="1814" w:type="dxa"/>
            <w:vAlign w:val="center"/>
          </w:tcPr>
          <w:p w14:paraId="25F7F876" w14:textId="77777777" w:rsidR="0063659D" w:rsidRPr="005A2545" w:rsidRDefault="0063659D" w:rsidP="00287451">
            <w:pPr>
              <w:jc w:val="center"/>
              <w:rPr>
                <w:sz w:val="20"/>
                <w:szCs w:val="20"/>
              </w:rPr>
            </w:pPr>
            <w:r w:rsidRPr="005A2545">
              <w:rPr>
                <w:sz w:val="20"/>
                <w:szCs w:val="20"/>
              </w:rPr>
              <w:t>6,362</w:t>
            </w:r>
          </w:p>
        </w:tc>
        <w:tc>
          <w:tcPr>
            <w:tcW w:w="1828" w:type="dxa"/>
            <w:vAlign w:val="center"/>
          </w:tcPr>
          <w:p w14:paraId="35037BFE" w14:textId="77777777" w:rsidR="0063659D" w:rsidRPr="005A2545" w:rsidRDefault="0063659D" w:rsidP="00287451">
            <w:pPr>
              <w:jc w:val="center"/>
              <w:rPr>
                <w:sz w:val="20"/>
                <w:szCs w:val="20"/>
              </w:rPr>
            </w:pPr>
            <w:r w:rsidRPr="005A2545">
              <w:rPr>
                <w:sz w:val="20"/>
                <w:szCs w:val="20"/>
              </w:rPr>
              <w:t>6,362</w:t>
            </w:r>
          </w:p>
        </w:tc>
      </w:tr>
      <w:tr w:rsidR="0063659D" w:rsidRPr="005A2545" w14:paraId="65688434" w14:textId="77777777" w:rsidTr="00287451">
        <w:tc>
          <w:tcPr>
            <w:tcW w:w="2088" w:type="dxa"/>
            <w:vAlign w:val="center"/>
          </w:tcPr>
          <w:p w14:paraId="0097AD91" w14:textId="77777777" w:rsidR="0063659D" w:rsidRPr="005A2545" w:rsidRDefault="0063659D" w:rsidP="00287451">
            <w:pPr>
              <w:rPr>
                <w:sz w:val="20"/>
                <w:szCs w:val="20"/>
              </w:rPr>
            </w:pPr>
            <w:r w:rsidRPr="005A2545">
              <w:rPr>
                <w:b/>
                <w:sz w:val="20"/>
                <w:szCs w:val="20"/>
              </w:rPr>
              <w:t>R2</w:t>
            </w:r>
          </w:p>
        </w:tc>
        <w:tc>
          <w:tcPr>
            <w:tcW w:w="1814" w:type="dxa"/>
            <w:vAlign w:val="center"/>
          </w:tcPr>
          <w:p w14:paraId="55EA43C7" w14:textId="77777777" w:rsidR="0063659D" w:rsidRPr="005A2545" w:rsidRDefault="0063659D" w:rsidP="00287451">
            <w:pPr>
              <w:jc w:val="center"/>
              <w:rPr>
                <w:sz w:val="20"/>
                <w:szCs w:val="20"/>
              </w:rPr>
            </w:pPr>
            <w:r w:rsidRPr="005A2545">
              <w:rPr>
                <w:sz w:val="20"/>
                <w:szCs w:val="20"/>
              </w:rPr>
              <w:t>0.008</w:t>
            </w:r>
          </w:p>
        </w:tc>
        <w:tc>
          <w:tcPr>
            <w:tcW w:w="1814" w:type="dxa"/>
            <w:vAlign w:val="center"/>
          </w:tcPr>
          <w:p w14:paraId="17371AAA" w14:textId="77777777" w:rsidR="0063659D" w:rsidRPr="005A2545" w:rsidRDefault="0063659D" w:rsidP="00287451">
            <w:pPr>
              <w:jc w:val="center"/>
              <w:rPr>
                <w:sz w:val="20"/>
                <w:szCs w:val="20"/>
              </w:rPr>
            </w:pPr>
            <w:r w:rsidRPr="005A2545">
              <w:rPr>
                <w:sz w:val="20"/>
                <w:szCs w:val="20"/>
              </w:rPr>
              <w:t>0.041</w:t>
            </w:r>
          </w:p>
        </w:tc>
        <w:tc>
          <w:tcPr>
            <w:tcW w:w="1814" w:type="dxa"/>
            <w:vAlign w:val="center"/>
          </w:tcPr>
          <w:p w14:paraId="3806A3E1" w14:textId="77777777" w:rsidR="0063659D" w:rsidRPr="005A2545" w:rsidRDefault="0063659D" w:rsidP="00287451">
            <w:pPr>
              <w:jc w:val="center"/>
              <w:rPr>
                <w:sz w:val="20"/>
                <w:szCs w:val="20"/>
              </w:rPr>
            </w:pPr>
            <w:r w:rsidRPr="005A2545">
              <w:rPr>
                <w:sz w:val="20"/>
                <w:szCs w:val="20"/>
              </w:rPr>
              <w:t>0.236</w:t>
            </w:r>
          </w:p>
        </w:tc>
        <w:tc>
          <w:tcPr>
            <w:tcW w:w="1828" w:type="dxa"/>
            <w:vAlign w:val="center"/>
          </w:tcPr>
          <w:p w14:paraId="71C9CA73" w14:textId="77777777" w:rsidR="0063659D" w:rsidRPr="005A2545" w:rsidRDefault="0063659D" w:rsidP="00287451">
            <w:pPr>
              <w:jc w:val="center"/>
              <w:rPr>
                <w:sz w:val="20"/>
                <w:szCs w:val="20"/>
              </w:rPr>
            </w:pPr>
            <w:r w:rsidRPr="005A2545">
              <w:rPr>
                <w:sz w:val="20"/>
                <w:szCs w:val="20"/>
              </w:rPr>
              <w:t>0.288</w:t>
            </w:r>
          </w:p>
        </w:tc>
      </w:tr>
    </w:tbl>
    <w:p w14:paraId="75A4A46A" w14:textId="26367531" w:rsidR="0063659D" w:rsidRPr="005A2545" w:rsidRDefault="0063659D" w:rsidP="0063659D">
      <w:pPr>
        <w:pStyle w:val="Caption"/>
        <w:rPr>
          <w:rFonts w:ascii="Times New Roman" w:hAnsi="Times New Roman" w:cs="Times New Roman"/>
          <w:sz w:val="20"/>
          <w:szCs w:val="20"/>
        </w:rPr>
      </w:pPr>
      <w:r w:rsidRPr="005A2545">
        <w:rPr>
          <w:rFonts w:ascii="Times New Roman" w:hAnsi="Times New Roman" w:cs="Times New Roman"/>
          <w:color w:val="505050"/>
          <w:sz w:val="20"/>
          <w:szCs w:val="20"/>
        </w:rPr>
        <w:t xml:space="preserve">Cells report coefficient in percentage points, with patent-clustered standard error in parentheses. </w:t>
      </w:r>
    </w:p>
    <w:p w14:paraId="06400DA5" w14:textId="77777777" w:rsidR="0063659D" w:rsidRPr="005A2545" w:rsidRDefault="0063659D" w:rsidP="0063659D">
      <w:pPr>
        <w:rPr>
          <w:sz w:val="20"/>
          <w:szCs w:val="20"/>
        </w:rPr>
      </w:pPr>
      <w:r w:rsidRPr="005A2545">
        <w:rPr>
          <w:sz w:val="20"/>
          <w:szCs w:val="20"/>
        </w:rPr>
        <w:br w:type="page"/>
      </w:r>
    </w:p>
    <w:p w14:paraId="382B2E41" w14:textId="77777777" w:rsidR="0063659D" w:rsidRDefault="0063659D" w:rsidP="00CE5FC4">
      <w:pPr>
        <w:spacing w:line="480" w:lineRule="auto"/>
        <w:ind w:firstLine="720"/>
        <w:rPr>
          <w:color w:val="000000"/>
        </w:rPr>
      </w:pPr>
    </w:p>
    <w:p w14:paraId="0C438DED" w14:textId="3729ED5E" w:rsidR="008074B4" w:rsidRDefault="007F4ABC" w:rsidP="00584115">
      <w:pPr>
        <w:spacing w:line="480" w:lineRule="auto"/>
        <w:ind w:firstLine="720"/>
      </w:pPr>
      <w:r>
        <w:t xml:space="preserve">Table </w:t>
      </w:r>
      <w:r w:rsidR="0063659D">
        <w:t>7</w:t>
      </w:r>
      <w:r>
        <w:t xml:space="preserve"> shows the results defining an AI invention at increasingly higher levels of confidence. In all specifications, the results remain the same: an invention classified as an AI invention by the USPTO Database is less likely to be found infringed to a statistically significant degree, even in models with all controls. </w:t>
      </w:r>
      <w:r w:rsidR="000B1DDB">
        <w:t xml:space="preserve">Figure </w:t>
      </w:r>
      <w:r w:rsidR="001142BC">
        <w:t xml:space="preserve">9 </w:t>
      </w:r>
      <w:r w:rsidR="000B1DDB">
        <w:t xml:space="preserve">makes clear the differences. </w:t>
      </w:r>
    </w:p>
    <w:p w14:paraId="1284BA42" w14:textId="6EEBC951" w:rsidR="0063659D" w:rsidRPr="006A6423" w:rsidRDefault="0063659D" w:rsidP="006A6423">
      <w:pPr>
        <w:pStyle w:val="Heading3"/>
        <w:jc w:val="center"/>
        <w:rPr>
          <w:rFonts w:cs="Times New Roman"/>
          <w:b/>
          <w:bCs/>
          <w:color w:val="auto"/>
          <w:sz w:val="24"/>
          <w:szCs w:val="24"/>
        </w:rPr>
      </w:pPr>
      <w:r w:rsidRPr="006A6423">
        <w:rPr>
          <w:rFonts w:cs="Times New Roman"/>
          <w:b/>
          <w:bCs/>
          <w:color w:val="auto"/>
          <w:sz w:val="24"/>
          <w:szCs w:val="24"/>
        </w:rPr>
        <w:t>Table 7: Infringement Across AI Tiers</w:t>
      </w:r>
    </w:p>
    <w:tbl>
      <w:tblPr>
        <w:tblStyle w:val="TableGrid"/>
        <w:tblW w:w="9360" w:type="dxa"/>
        <w:tblLayout w:type="fixed"/>
        <w:tblLook w:val="04A0" w:firstRow="1" w:lastRow="0" w:firstColumn="1" w:lastColumn="0" w:noHBand="0" w:noVBand="1"/>
      </w:tblPr>
      <w:tblGrid>
        <w:gridCol w:w="2232"/>
        <w:gridCol w:w="2376"/>
        <w:gridCol w:w="2376"/>
        <w:gridCol w:w="2376"/>
      </w:tblGrid>
      <w:tr w:rsidR="0063659D" w:rsidRPr="005A2545" w14:paraId="09E20B3D" w14:textId="77777777" w:rsidTr="00287451">
        <w:tc>
          <w:tcPr>
            <w:tcW w:w="2232" w:type="dxa"/>
            <w:shd w:val="clear" w:color="auto" w:fill="F2F2F2"/>
            <w:vAlign w:val="center"/>
          </w:tcPr>
          <w:p w14:paraId="08EA2868" w14:textId="77777777" w:rsidR="0063659D" w:rsidRPr="005A2545" w:rsidRDefault="0063659D" w:rsidP="00287451">
            <w:pPr>
              <w:jc w:val="center"/>
              <w:rPr>
                <w:sz w:val="20"/>
                <w:szCs w:val="20"/>
              </w:rPr>
            </w:pPr>
            <w:r w:rsidRPr="005A2545">
              <w:rPr>
                <w:b/>
                <w:sz w:val="20"/>
                <w:szCs w:val="20"/>
              </w:rPr>
              <w:t>Statistic</w:t>
            </w:r>
          </w:p>
        </w:tc>
        <w:tc>
          <w:tcPr>
            <w:tcW w:w="2376" w:type="dxa"/>
            <w:shd w:val="clear" w:color="auto" w:fill="F2F2F2"/>
            <w:vAlign w:val="center"/>
          </w:tcPr>
          <w:p w14:paraId="1A1CDAA0" w14:textId="77777777" w:rsidR="0063659D" w:rsidRPr="005A2545" w:rsidRDefault="0063659D" w:rsidP="00287451">
            <w:pPr>
              <w:jc w:val="center"/>
              <w:rPr>
                <w:sz w:val="20"/>
                <w:szCs w:val="20"/>
              </w:rPr>
            </w:pPr>
            <w:r w:rsidRPr="005A2545">
              <w:rPr>
                <w:b/>
                <w:sz w:val="20"/>
                <w:szCs w:val="20"/>
              </w:rPr>
              <w:t>AI Tier 50%</w:t>
            </w:r>
          </w:p>
        </w:tc>
        <w:tc>
          <w:tcPr>
            <w:tcW w:w="2376" w:type="dxa"/>
            <w:shd w:val="clear" w:color="auto" w:fill="F2F2F2"/>
            <w:vAlign w:val="center"/>
          </w:tcPr>
          <w:p w14:paraId="5FFBF27B" w14:textId="77777777" w:rsidR="0063659D" w:rsidRPr="005A2545" w:rsidRDefault="0063659D" w:rsidP="00287451">
            <w:pPr>
              <w:jc w:val="center"/>
              <w:rPr>
                <w:sz w:val="20"/>
                <w:szCs w:val="20"/>
              </w:rPr>
            </w:pPr>
            <w:r w:rsidRPr="005A2545">
              <w:rPr>
                <w:b/>
                <w:sz w:val="20"/>
                <w:szCs w:val="20"/>
              </w:rPr>
              <w:t>AI Tier 86%</w:t>
            </w:r>
          </w:p>
        </w:tc>
        <w:tc>
          <w:tcPr>
            <w:tcW w:w="2376" w:type="dxa"/>
            <w:shd w:val="clear" w:color="auto" w:fill="F2F2F2"/>
            <w:vAlign w:val="center"/>
          </w:tcPr>
          <w:p w14:paraId="5F924807" w14:textId="77777777" w:rsidR="0063659D" w:rsidRPr="005A2545" w:rsidRDefault="0063659D" w:rsidP="00287451">
            <w:pPr>
              <w:jc w:val="center"/>
              <w:rPr>
                <w:sz w:val="20"/>
                <w:szCs w:val="20"/>
              </w:rPr>
            </w:pPr>
            <w:r w:rsidRPr="005A2545">
              <w:rPr>
                <w:b/>
                <w:sz w:val="20"/>
                <w:szCs w:val="20"/>
              </w:rPr>
              <w:t>AI Tier 93%</w:t>
            </w:r>
          </w:p>
        </w:tc>
      </w:tr>
      <w:tr w:rsidR="0063659D" w:rsidRPr="005A2545" w14:paraId="4E0843A9" w14:textId="77777777" w:rsidTr="00287451">
        <w:tc>
          <w:tcPr>
            <w:tcW w:w="2232" w:type="dxa"/>
            <w:vAlign w:val="center"/>
          </w:tcPr>
          <w:p w14:paraId="3FD5DCB5" w14:textId="77777777" w:rsidR="0063659D" w:rsidRPr="005A2545" w:rsidRDefault="0063659D" w:rsidP="00287451">
            <w:pPr>
              <w:rPr>
                <w:sz w:val="20"/>
                <w:szCs w:val="20"/>
              </w:rPr>
            </w:pPr>
            <w:r w:rsidRPr="005A2545">
              <w:rPr>
                <w:b/>
                <w:sz w:val="20"/>
                <w:szCs w:val="20"/>
              </w:rPr>
              <w:t>AI coefficient</w:t>
            </w:r>
          </w:p>
        </w:tc>
        <w:tc>
          <w:tcPr>
            <w:tcW w:w="2376" w:type="dxa"/>
            <w:vAlign w:val="center"/>
          </w:tcPr>
          <w:p w14:paraId="0A80D26A" w14:textId="77777777" w:rsidR="0063659D" w:rsidRPr="005A2545" w:rsidRDefault="0063659D" w:rsidP="00287451">
            <w:pPr>
              <w:jc w:val="center"/>
              <w:rPr>
                <w:sz w:val="20"/>
                <w:szCs w:val="20"/>
              </w:rPr>
            </w:pPr>
            <w:r w:rsidRPr="005A2545">
              <w:rPr>
                <w:sz w:val="20"/>
                <w:szCs w:val="20"/>
              </w:rPr>
              <w:t>-4.60***</w:t>
            </w:r>
            <w:r w:rsidRPr="005A2545">
              <w:rPr>
                <w:sz w:val="20"/>
                <w:szCs w:val="20"/>
              </w:rPr>
              <w:br/>
              <w:t>(1.42)</w:t>
            </w:r>
          </w:p>
        </w:tc>
        <w:tc>
          <w:tcPr>
            <w:tcW w:w="2376" w:type="dxa"/>
            <w:vAlign w:val="center"/>
          </w:tcPr>
          <w:p w14:paraId="0B14EB00" w14:textId="77777777" w:rsidR="0063659D" w:rsidRPr="005A2545" w:rsidRDefault="0063659D" w:rsidP="00287451">
            <w:pPr>
              <w:jc w:val="center"/>
              <w:rPr>
                <w:sz w:val="20"/>
                <w:szCs w:val="20"/>
              </w:rPr>
            </w:pPr>
            <w:r w:rsidRPr="005A2545">
              <w:rPr>
                <w:sz w:val="20"/>
                <w:szCs w:val="20"/>
              </w:rPr>
              <w:t>-4.61***</w:t>
            </w:r>
            <w:r w:rsidRPr="005A2545">
              <w:rPr>
                <w:sz w:val="20"/>
                <w:szCs w:val="20"/>
              </w:rPr>
              <w:br/>
              <w:t>(1.54)</w:t>
            </w:r>
          </w:p>
        </w:tc>
        <w:tc>
          <w:tcPr>
            <w:tcW w:w="2376" w:type="dxa"/>
            <w:vAlign w:val="center"/>
          </w:tcPr>
          <w:p w14:paraId="3C882535" w14:textId="77777777" w:rsidR="0063659D" w:rsidRPr="005A2545" w:rsidRDefault="0063659D" w:rsidP="00287451">
            <w:pPr>
              <w:jc w:val="center"/>
              <w:rPr>
                <w:sz w:val="20"/>
                <w:szCs w:val="20"/>
              </w:rPr>
            </w:pPr>
            <w:r w:rsidRPr="005A2545">
              <w:rPr>
                <w:sz w:val="20"/>
                <w:szCs w:val="20"/>
              </w:rPr>
              <w:t>-4.99***</w:t>
            </w:r>
            <w:r w:rsidRPr="005A2545">
              <w:rPr>
                <w:sz w:val="20"/>
                <w:szCs w:val="20"/>
              </w:rPr>
              <w:br/>
              <w:t>(1.60)</w:t>
            </w:r>
          </w:p>
        </w:tc>
      </w:tr>
      <w:tr w:rsidR="0063659D" w:rsidRPr="005A2545" w14:paraId="27C87CA5" w14:textId="77777777" w:rsidTr="00287451">
        <w:tc>
          <w:tcPr>
            <w:tcW w:w="2232" w:type="dxa"/>
            <w:vAlign w:val="center"/>
          </w:tcPr>
          <w:p w14:paraId="2E188955" w14:textId="77777777" w:rsidR="0063659D" w:rsidRPr="005A2545" w:rsidRDefault="0063659D" w:rsidP="00287451">
            <w:pPr>
              <w:rPr>
                <w:sz w:val="20"/>
                <w:szCs w:val="20"/>
              </w:rPr>
            </w:pPr>
            <w:r w:rsidRPr="005A2545">
              <w:rPr>
                <w:b/>
                <w:sz w:val="20"/>
                <w:szCs w:val="20"/>
              </w:rPr>
              <w:t>Alpha</w:t>
            </w:r>
          </w:p>
        </w:tc>
        <w:tc>
          <w:tcPr>
            <w:tcW w:w="2376" w:type="dxa"/>
            <w:vAlign w:val="center"/>
          </w:tcPr>
          <w:p w14:paraId="7E593AAC" w14:textId="77777777" w:rsidR="0063659D" w:rsidRPr="005A2545" w:rsidRDefault="0063659D" w:rsidP="00287451">
            <w:pPr>
              <w:jc w:val="center"/>
              <w:rPr>
                <w:sz w:val="20"/>
                <w:szCs w:val="20"/>
              </w:rPr>
            </w:pPr>
            <w:r w:rsidRPr="005A2545">
              <w:rPr>
                <w:sz w:val="20"/>
                <w:szCs w:val="20"/>
              </w:rPr>
              <w:t>0.01</w:t>
            </w:r>
          </w:p>
        </w:tc>
        <w:tc>
          <w:tcPr>
            <w:tcW w:w="2376" w:type="dxa"/>
            <w:vAlign w:val="center"/>
          </w:tcPr>
          <w:p w14:paraId="402CCC8C" w14:textId="77777777" w:rsidR="0063659D" w:rsidRPr="005A2545" w:rsidRDefault="0063659D" w:rsidP="00287451">
            <w:pPr>
              <w:jc w:val="center"/>
              <w:rPr>
                <w:sz w:val="20"/>
                <w:szCs w:val="20"/>
              </w:rPr>
            </w:pPr>
            <w:r w:rsidRPr="005A2545">
              <w:rPr>
                <w:sz w:val="20"/>
                <w:szCs w:val="20"/>
              </w:rPr>
              <w:t>0.01</w:t>
            </w:r>
          </w:p>
        </w:tc>
        <w:tc>
          <w:tcPr>
            <w:tcW w:w="2376" w:type="dxa"/>
            <w:vAlign w:val="center"/>
          </w:tcPr>
          <w:p w14:paraId="11AFFEA3" w14:textId="77777777" w:rsidR="0063659D" w:rsidRPr="005A2545" w:rsidRDefault="0063659D" w:rsidP="00287451">
            <w:pPr>
              <w:jc w:val="center"/>
              <w:rPr>
                <w:sz w:val="20"/>
                <w:szCs w:val="20"/>
              </w:rPr>
            </w:pPr>
            <w:r w:rsidRPr="005A2545">
              <w:rPr>
                <w:sz w:val="20"/>
                <w:szCs w:val="20"/>
              </w:rPr>
              <w:t>0.01</w:t>
            </w:r>
          </w:p>
        </w:tc>
      </w:tr>
      <w:tr w:rsidR="0063659D" w:rsidRPr="005A2545" w14:paraId="77A59674" w14:textId="77777777" w:rsidTr="00287451">
        <w:tc>
          <w:tcPr>
            <w:tcW w:w="2232" w:type="dxa"/>
            <w:vAlign w:val="center"/>
          </w:tcPr>
          <w:p w14:paraId="5162A014" w14:textId="77777777" w:rsidR="0063659D" w:rsidRPr="005A2545" w:rsidRDefault="0063659D" w:rsidP="00287451">
            <w:pPr>
              <w:rPr>
                <w:sz w:val="20"/>
                <w:szCs w:val="20"/>
              </w:rPr>
            </w:pPr>
            <w:r w:rsidRPr="005A2545">
              <w:rPr>
                <w:b/>
                <w:sz w:val="20"/>
                <w:szCs w:val="20"/>
              </w:rPr>
              <w:t>Pr(non-AI)</w:t>
            </w:r>
          </w:p>
        </w:tc>
        <w:tc>
          <w:tcPr>
            <w:tcW w:w="2376" w:type="dxa"/>
            <w:vAlign w:val="center"/>
          </w:tcPr>
          <w:p w14:paraId="4FA40CCF" w14:textId="77777777" w:rsidR="0063659D" w:rsidRPr="005A2545" w:rsidRDefault="0063659D" w:rsidP="00287451">
            <w:pPr>
              <w:jc w:val="center"/>
              <w:rPr>
                <w:sz w:val="20"/>
                <w:szCs w:val="20"/>
              </w:rPr>
            </w:pPr>
            <w:r w:rsidRPr="005A2545">
              <w:rPr>
                <w:sz w:val="20"/>
                <w:szCs w:val="20"/>
              </w:rPr>
              <w:t>33.5%</w:t>
            </w:r>
          </w:p>
        </w:tc>
        <w:tc>
          <w:tcPr>
            <w:tcW w:w="2376" w:type="dxa"/>
            <w:vAlign w:val="center"/>
          </w:tcPr>
          <w:p w14:paraId="638C5077" w14:textId="77777777" w:rsidR="0063659D" w:rsidRPr="005A2545" w:rsidRDefault="0063659D" w:rsidP="00287451">
            <w:pPr>
              <w:jc w:val="center"/>
              <w:rPr>
                <w:sz w:val="20"/>
                <w:szCs w:val="20"/>
              </w:rPr>
            </w:pPr>
            <w:r w:rsidRPr="005A2545">
              <w:rPr>
                <w:sz w:val="20"/>
                <w:szCs w:val="20"/>
              </w:rPr>
              <w:t>33.3%</w:t>
            </w:r>
          </w:p>
        </w:tc>
        <w:tc>
          <w:tcPr>
            <w:tcW w:w="2376" w:type="dxa"/>
            <w:vAlign w:val="center"/>
          </w:tcPr>
          <w:p w14:paraId="18F7DB52" w14:textId="77777777" w:rsidR="0063659D" w:rsidRPr="005A2545" w:rsidRDefault="0063659D" w:rsidP="00287451">
            <w:pPr>
              <w:jc w:val="center"/>
              <w:rPr>
                <w:sz w:val="20"/>
                <w:szCs w:val="20"/>
              </w:rPr>
            </w:pPr>
            <w:r w:rsidRPr="005A2545">
              <w:rPr>
                <w:sz w:val="20"/>
                <w:szCs w:val="20"/>
              </w:rPr>
              <w:t>33.3%</w:t>
            </w:r>
          </w:p>
        </w:tc>
      </w:tr>
      <w:tr w:rsidR="0063659D" w:rsidRPr="005A2545" w14:paraId="452C4B3C" w14:textId="77777777" w:rsidTr="00287451">
        <w:tc>
          <w:tcPr>
            <w:tcW w:w="2232" w:type="dxa"/>
            <w:vAlign w:val="center"/>
          </w:tcPr>
          <w:p w14:paraId="2689CCCA" w14:textId="77777777" w:rsidR="0063659D" w:rsidRPr="005A2545" w:rsidRDefault="0063659D" w:rsidP="00287451">
            <w:pPr>
              <w:rPr>
                <w:sz w:val="20"/>
                <w:szCs w:val="20"/>
              </w:rPr>
            </w:pPr>
            <w:r w:rsidRPr="005A2545">
              <w:rPr>
                <w:b/>
                <w:sz w:val="20"/>
                <w:szCs w:val="20"/>
              </w:rPr>
              <w:t>Pr(AI)</w:t>
            </w:r>
          </w:p>
        </w:tc>
        <w:tc>
          <w:tcPr>
            <w:tcW w:w="2376" w:type="dxa"/>
            <w:vAlign w:val="center"/>
          </w:tcPr>
          <w:p w14:paraId="0F822366" w14:textId="77777777" w:rsidR="0063659D" w:rsidRPr="005A2545" w:rsidRDefault="0063659D" w:rsidP="00287451">
            <w:pPr>
              <w:jc w:val="center"/>
              <w:rPr>
                <w:sz w:val="20"/>
                <w:szCs w:val="20"/>
              </w:rPr>
            </w:pPr>
            <w:r w:rsidRPr="005A2545">
              <w:rPr>
                <w:sz w:val="20"/>
                <w:szCs w:val="20"/>
              </w:rPr>
              <w:t>28.9%</w:t>
            </w:r>
          </w:p>
        </w:tc>
        <w:tc>
          <w:tcPr>
            <w:tcW w:w="2376" w:type="dxa"/>
            <w:vAlign w:val="center"/>
          </w:tcPr>
          <w:p w14:paraId="0E94B482" w14:textId="77777777" w:rsidR="0063659D" w:rsidRPr="005A2545" w:rsidRDefault="0063659D" w:rsidP="00287451">
            <w:pPr>
              <w:jc w:val="center"/>
              <w:rPr>
                <w:sz w:val="20"/>
                <w:szCs w:val="20"/>
              </w:rPr>
            </w:pPr>
            <w:r w:rsidRPr="005A2545">
              <w:rPr>
                <w:sz w:val="20"/>
                <w:szCs w:val="20"/>
              </w:rPr>
              <w:t>28.7%</w:t>
            </w:r>
          </w:p>
        </w:tc>
        <w:tc>
          <w:tcPr>
            <w:tcW w:w="2376" w:type="dxa"/>
            <w:vAlign w:val="center"/>
          </w:tcPr>
          <w:p w14:paraId="79DD9865" w14:textId="77777777" w:rsidR="0063659D" w:rsidRPr="005A2545" w:rsidRDefault="0063659D" w:rsidP="00287451">
            <w:pPr>
              <w:jc w:val="center"/>
              <w:rPr>
                <w:sz w:val="20"/>
                <w:szCs w:val="20"/>
              </w:rPr>
            </w:pPr>
            <w:r w:rsidRPr="005A2545">
              <w:rPr>
                <w:sz w:val="20"/>
                <w:szCs w:val="20"/>
              </w:rPr>
              <w:t>28.3%</w:t>
            </w:r>
          </w:p>
        </w:tc>
      </w:tr>
      <w:tr w:rsidR="0063659D" w:rsidRPr="005A2545" w14:paraId="4B55A790" w14:textId="77777777" w:rsidTr="00287451">
        <w:tc>
          <w:tcPr>
            <w:tcW w:w="2232" w:type="dxa"/>
            <w:vAlign w:val="center"/>
          </w:tcPr>
          <w:p w14:paraId="4F4F0FE4" w14:textId="77777777" w:rsidR="0063659D" w:rsidRPr="005A2545" w:rsidRDefault="0063659D" w:rsidP="00287451">
            <w:pPr>
              <w:rPr>
                <w:sz w:val="20"/>
                <w:szCs w:val="20"/>
              </w:rPr>
            </w:pPr>
            <w:r w:rsidRPr="005A2545">
              <w:rPr>
                <w:b/>
                <w:sz w:val="20"/>
                <w:szCs w:val="20"/>
              </w:rPr>
              <w:t>Relative change</w:t>
            </w:r>
          </w:p>
        </w:tc>
        <w:tc>
          <w:tcPr>
            <w:tcW w:w="2376" w:type="dxa"/>
            <w:vAlign w:val="center"/>
          </w:tcPr>
          <w:p w14:paraId="27218887" w14:textId="77777777" w:rsidR="0063659D" w:rsidRPr="005A2545" w:rsidRDefault="0063659D" w:rsidP="00287451">
            <w:pPr>
              <w:jc w:val="center"/>
              <w:rPr>
                <w:sz w:val="20"/>
                <w:szCs w:val="20"/>
              </w:rPr>
            </w:pPr>
            <w:r w:rsidRPr="005A2545">
              <w:rPr>
                <w:sz w:val="20"/>
                <w:szCs w:val="20"/>
              </w:rPr>
              <w:t>-13.7%</w:t>
            </w:r>
          </w:p>
        </w:tc>
        <w:tc>
          <w:tcPr>
            <w:tcW w:w="2376" w:type="dxa"/>
            <w:vAlign w:val="center"/>
          </w:tcPr>
          <w:p w14:paraId="4C7F6FB2" w14:textId="77777777" w:rsidR="0063659D" w:rsidRPr="005A2545" w:rsidRDefault="0063659D" w:rsidP="00287451">
            <w:pPr>
              <w:jc w:val="center"/>
              <w:rPr>
                <w:sz w:val="20"/>
                <w:szCs w:val="20"/>
              </w:rPr>
            </w:pPr>
            <w:r w:rsidRPr="005A2545">
              <w:rPr>
                <w:sz w:val="20"/>
                <w:szCs w:val="20"/>
              </w:rPr>
              <w:t>-13.8%</w:t>
            </w:r>
          </w:p>
        </w:tc>
        <w:tc>
          <w:tcPr>
            <w:tcW w:w="2376" w:type="dxa"/>
            <w:vAlign w:val="center"/>
          </w:tcPr>
          <w:p w14:paraId="4FECD289" w14:textId="77777777" w:rsidR="0063659D" w:rsidRPr="005A2545" w:rsidRDefault="0063659D" w:rsidP="00287451">
            <w:pPr>
              <w:jc w:val="center"/>
              <w:rPr>
                <w:sz w:val="20"/>
                <w:szCs w:val="20"/>
              </w:rPr>
            </w:pPr>
            <w:r w:rsidRPr="005A2545">
              <w:rPr>
                <w:sz w:val="20"/>
                <w:szCs w:val="20"/>
              </w:rPr>
              <w:t>-15.0%</w:t>
            </w:r>
          </w:p>
        </w:tc>
      </w:tr>
      <w:tr w:rsidR="0063659D" w:rsidRPr="005A2545" w14:paraId="0028477C" w14:textId="77777777" w:rsidTr="00287451">
        <w:tc>
          <w:tcPr>
            <w:tcW w:w="2232" w:type="dxa"/>
            <w:vAlign w:val="center"/>
          </w:tcPr>
          <w:p w14:paraId="300A1854" w14:textId="77777777" w:rsidR="0063659D" w:rsidRPr="005A2545" w:rsidRDefault="0063659D" w:rsidP="00287451">
            <w:pPr>
              <w:rPr>
                <w:sz w:val="20"/>
                <w:szCs w:val="20"/>
              </w:rPr>
            </w:pPr>
            <w:r w:rsidRPr="005A2545">
              <w:rPr>
                <w:b/>
                <w:sz w:val="20"/>
                <w:szCs w:val="20"/>
              </w:rPr>
              <w:t>N</w:t>
            </w:r>
          </w:p>
        </w:tc>
        <w:tc>
          <w:tcPr>
            <w:tcW w:w="2376" w:type="dxa"/>
            <w:vAlign w:val="center"/>
          </w:tcPr>
          <w:p w14:paraId="0E542044" w14:textId="77777777" w:rsidR="0063659D" w:rsidRPr="005A2545" w:rsidRDefault="0063659D" w:rsidP="00287451">
            <w:pPr>
              <w:jc w:val="center"/>
              <w:rPr>
                <w:sz w:val="20"/>
                <w:szCs w:val="20"/>
              </w:rPr>
            </w:pPr>
            <w:r w:rsidRPr="005A2545">
              <w:rPr>
                <w:sz w:val="20"/>
                <w:szCs w:val="20"/>
              </w:rPr>
              <w:t>6,362</w:t>
            </w:r>
          </w:p>
        </w:tc>
        <w:tc>
          <w:tcPr>
            <w:tcW w:w="2376" w:type="dxa"/>
            <w:vAlign w:val="center"/>
          </w:tcPr>
          <w:p w14:paraId="4C668AB2" w14:textId="77777777" w:rsidR="0063659D" w:rsidRPr="005A2545" w:rsidRDefault="0063659D" w:rsidP="00287451">
            <w:pPr>
              <w:jc w:val="center"/>
              <w:rPr>
                <w:sz w:val="20"/>
                <w:szCs w:val="20"/>
              </w:rPr>
            </w:pPr>
            <w:r w:rsidRPr="005A2545">
              <w:rPr>
                <w:sz w:val="20"/>
                <w:szCs w:val="20"/>
              </w:rPr>
              <w:t>6,362</w:t>
            </w:r>
          </w:p>
        </w:tc>
        <w:tc>
          <w:tcPr>
            <w:tcW w:w="2376" w:type="dxa"/>
            <w:vAlign w:val="center"/>
          </w:tcPr>
          <w:p w14:paraId="14E3BF22" w14:textId="77777777" w:rsidR="0063659D" w:rsidRPr="005A2545" w:rsidRDefault="0063659D" w:rsidP="00287451">
            <w:pPr>
              <w:jc w:val="center"/>
              <w:rPr>
                <w:sz w:val="20"/>
                <w:szCs w:val="20"/>
              </w:rPr>
            </w:pPr>
            <w:r w:rsidRPr="005A2545">
              <w:rPr>
                <w:sz w:val="20"/>
                <w:szCs w:val="20"/>
              </w:rPr>
              <w:t>6,362</w:t>
            </w:r>
          </w:p>
        </w:tc>
      </w:tr>
      <w:tr w:rsidR="0063659D" w:rsidRPr="005A2545" w14:paraId="6D49465E" w14:textId="77777777" w:rsidTr="00287451">
        <w:tc>
          <w:tcPr>
            <w:tcW w:w="2232" w:type="dxa"/>
            <w:vAlign w:val="center"/>
          </w:tcPr>
          <w:p w14:paraId="244B0224" w14:textId="77777777" w:rsidR="0063659D" w:rsidRPr="005A2545" w:rsidRDefault="0063659D" w:rsidP="00287451">
            <w:pPr>
              <w:rPr>
                <w:sz w:val="20"/>
                <w:szCs w:val="20"/>
              </w:rPr>
            </w:pPr>
            <w:r w:rsidRPr="005A2545">
              <w:rPr>
                <w:b/>
                <w:sz w:val="20"/>
                <w:szCs w:val="20"/>
              </w:rPr>
              <w:t>R2</w:t>
            </w:r>
          </w:p>
        </w:tc>
        <w:tc>
          <w:tcPr>
            <w:tcW w:w="2376" w:type="dxa"/>
            <w:vAlign w:val="center"/>
          </w:tcPr>
          <w:p w14:paraId="6C9DEB5B" w14:textId="77777777" w:rsidR="0063659D" w:rsidRPr="005A2545" w:rsidRDefault="0063659D" w:rsidP="00287451">
            <w:pPr>
              <w:jc w:val="center"/>
              <w:rPr>
                <w:sz w:val="20"/>
                <w:szCs w:val="20"/>
              </w:rPr>
            </w:pPr>
            <w:r w:rsidRPr="005A2545">
              <w:rPr>
                <w:sz w:val="20"/>
                <w:szCs w:val="20"/>
              </w:rPr>
              <w:t>0.288</w:t>
            </w:r>
          </w:p>
        </w:tc>
        <w:tc>
          <w:tcPr>
            <w:tcW w:w="2376" w:type="dxa"/>
            <w:vAlign w:val="center"/>
          </w:tcPr>
          <w:p w14:paraId="015AE6D7" w14:textId="77777777" w:rsidR="0063659D" w:rsidRPr="005A2545" w:rsidRDefault="0063659D" w:rsidP="00287451">
            <w:pPr>
              <w:jc w:val="center"/>
              <w:rPr>
                <w:sz w:val="20"/>
                <w:szCs w:val="20"/>
              </w:rPr>
            </w:pPr>
            <w:r w:rsidRPr="005A2545">
              <w:rPr>
                <w:sz w:val="20"/>
                <w:szCs w:val="20"/>
              </w:rPr>
              <w:t>0.288</w:t>
            </w:r>
          </w:p>
        </w:tc>
        <w:tc>
          <w:tcPr>
            <w:tcW w:w="2376" w:type="dxa"/>
            <w:vAlign w:val="center"/>
          </w:tcPr>
          <w:p w14:paraId="1756856C" w14:textId="77777777" w:rsidR="0063659D" w:rsidRPr="005A2545" w:rsidRDefault="0063659D" w:rsidP="00287451">
            <w:pPr>
              <w:jc w:val="center"/>
              <w:rPr>
                <w:sz w:val="20"/>
                <w:szCs w:val="20"/>
              </w:rPr>
            </w:pPr>
            <w:r w:rsidRPr="005A2545">
              <w:rPr>
                <w:sz w:val="20"/>
                <w:szCs w:val="20"/>
              </w:rPr>
              <w:t>0.288</w:t>
            </w:r>
          </w:p>
        </w:tc>
      </w:tr>
    </w:tbl>
    <w:p w14:paraId="2F1D6A17" w14:textId="6DDC8B57" w:rsidR="0063659D" w:rsidRDefault="0063659D" w:rsidP="0063659D">
      <w:pPr>
        <w:pStyle w:val="Caption"/>
        <w:rPr>
          <w:rFonts w:ascii="Times New Roman" w:hAnsi="Times New Roman" w:cs="Times New Roman"/>
          <w:color w:val="505050"/>
          <w:sz w:val="20"/>
          <w:szCs w:val="20"/>
        </w:rPr>
      </w:pPr>
      <w:r w:rsidRPr="005A2545">
        <w:rPr>
          <w:rFonts w:ascii="Times New Roman" w:hAnsi="Times New Roman" w:cs="Times New Roman"/>
          <w:color w:val="505050"/>
          <w:sz w:val="20"/>
          <w:szCs w:val="20"/>
        </w:rPr>
        <w:t xml:space="preserve">Cells report coefficient in percentage points, with patent-clustered standard error in parentheses. </w:t>
      </w:r>
    </w:p>
    <w:p w14:paraId="4F464772" w14:textId="77777777" w:rsidR="000B1DDB" w:rsidRDefault="000B1DDB" w:rsidP="000B1DDB"/>
    <w:p w14:paraId="7E45D596" w14:textId="66D18D21" w:rsidR="000B1DDB" w:rsidRPr="00E333AB" w:rsidRDefault="000B1DDB" w:rsidP="00E333AB">
      <w:pPr>
        <w:jc w:val="center"/>
        <w:rPr>
          <w:b/>
          <w:bCs/>
        </w:rPr>
      </w:pPr>
      <w:r w:rsidRPr="00E333AB">
        <w:rPr>
          <w:b/>
          <w:bCs/>
        </w:rPr>
        <w:t xml:space="preserve">Figure </w:t>
      </w:r>
      <w:r w:rsidR="001142BC">
        <w:rPr>
          <w:b/>
          <w:bCs/>
        </w:rPr>
        <w:t>9</w:t>
      </w:r>
      <w:r w:rsidRPr="00E333AB">
        <w:rPr>
          <w:b/>
          <w:bCs/>
        </w:rPr>
        <w:t>: Coefficient Plot on Infringement Across AI Tiers</w:t>
      </w:r>
    </w:p>
    <w:p w14:paraId="7A2FB020" w14:textId="5EA07F36" w:rsidR="0063659D" w:rsidRPr="008074B4" w:rsidRDefault="000B1DDB" w:rsidP="00584115">
      <w:pPr>
        <w:spacing w:line="480" w:lineRule="auto"/>
        <w:ind w:firstLine="720"/>
      </w:pPr>
      <w:r w:rsidRPr="005A2545">
        <w:rPr>
          <w:noProof/>
          <w:sz w:val="20"/>
          <w:szCs w:val="20"/>
        </w:rPr>
        <w:drawing>
          <wp:inline distT="0" distB="0" distL="0" distR="0" wp14:anchorId="4E3D12CF" wp14:editId="7ECCAC14">
            <wp:extent cx="5943600" cy="1107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ringement_ai50_ai93.png"/>
                    <pic:cNvPicPr/>
                  </pic:nvPicPr>
                  <pic:blipFill>
                    <a:blip r:embed="rId14"/>
                    <a:stretch>
                      <a:fillRect/>
                    </a:stretch>
                  </pic:blipFill>
                  <pic:spPr>
                    <a:xfrm>
                      <a:off x="0" y="0"/>
                      <a:ext cx="5943600" cy="1107440"/>
                    </a:xfrm>
                    <a:prstGeom prst="rect">
                      <a:avLst/>
                    </a:prstGeom>
                  </pic:spPr>
                </pic:pic>
              </a:graphicData>
            </a:graphic>
          </wp:inline>
        </w:drawing>
      </w:r>
    </w:p>
    <w:p w14:paraId="5B9CA171" w14:textId="77777777" w:rsidR="00B725F0" w:rsidRPr="008B7DCE" w:rsidRDefault="00B725F0" w:rsidP="00D57A20">
      <w:pPr>
        <w:spacing w:before="200" w:after="100" w:line="480" w:lineRule="auto"/>
      </w:pPr>
      <w:r w:rsidRPr="008074B4">
        <w:rPr>
          <w:b/>
          <w:bCs/>
          <w:i/>
          <w:iCs/>
        </w:rPr>
        <w:t xml:space="preserve">C.  </w:t>
      </w:r>
      <w:r w:rsidRPr="008B7DCE">
        <w:rPr>
          <w:b/>
          <w:bCs/>
        </w:rPr>
        <w:t>Is It Really AI, or Just Software?</w:t>
      </w:r>
    </w:p>
    <w:p w14:paraId="58FCE158" w14:textId="6C6E8032" w:rsidR="00D15498" w:rsidRDefault="00B725F0" w:rsidP="00D57A20">
      <w:pPr>
        <w:spacing w:line="480" w:lineRule="auto"/>
        <w:ind w:firstLine="720"/>
        <w:jc w:val="both"/>
      </w:pPr>
      <w:r w:rsidRPr="008074B4">
        <w:t>The central identification concern is whether the AI effect merely reflects the well-documented fragility of software patents. Because most AI patents are a subset of software, a naive AI indicator could conflate two mechanisms: the general post-</w:t>
      </w:r>
      <w:r w:rsidRPr="008074B4">
        <w:rPr>
          <w:i/>
          <w:iCs/>
        </w:rPr>
        <w:t>Alice</w:t>
      </w:r>
      <w:r w:rsidRPr="008074B4">
        <w:t xml:space="preserve"> fragility of software and any added risk specific to AI. To separate them, </w:t>
      </w:r>
      <w:r w:rsidR="0007410B">
        <w:t xml:space="preserve">in a first robustness check, </w:t>
      </w:r>
      <w:r w:rsidRPr="008074B4">
        <w:t xml:space="preserve">I partition patents into three mutually exclusive groups, namely AI patents, software patents not classified as AI, and non-software patents, using the software CPC classes standard in the literature (G06F, G06Q, and </w:t>
      </w:r>
      <w:r w:rsidRPr="008074B4">
        <w:lastRenderedPageBreak/>
        <w:t>related data-processing classes</w:t>
      </w:r>
      <w:r w:rsidRPr="00E333AB">
        <w:t>).</w:t>
      </w:r>
      <w:r w:rsidR="003D7025" w:rsidRPr="00E333AB">
        <w:rPr>
          <w:rStyle w:val="FootnoteReference"/>
        </w:rPr>
        <w:footnoteReference w:id="80"/>
      </w:r>
      <w:r w:rsidR="003D7025" w:rsidRPr="00E333AB">
        <w:t xml:space="preserve"> </w:t>
      </w:r>
      <w:r w:rsidRPr="00E333AB">
        <w:t xml:space="preserve"> </w:t>
      </w:r>
      <w:r w:rsidR="00CE1ABC" w:rsidRPr="00E333AB">
        <w:t>I use</w:t>
      </w:r>
      <w:r w:rsidR="00CE1ABC">
        <w:t xml:space="preserve"> CPC classifications as the principal software measure because CPC primary subsections provide a more conservative technological classification that a WIPO-based definition.</w:t>
      </w:r>
      <w:r w:rsidR="00CE1ABC">
        <w:rPr>
          <w:rStyle w:val="FootnoteReference"/>
        </w:rPr>
        <w:footnoteReference w:id="81"/>
      </w:r>
      <w:r w:rsidR="00CE1ABC">
        <w:t xml:space="preserve">  </w:t>
      </w:r>
      <w:r w:rsidRPr="008074B4">
        <w:t xml:space="preserve">I then re-estimate the baseline models on the software-only sample with both an AI-patent indicator and a non-AI-software indicator, </w:t>
      </w:r>
      <w:r w:rsidR="00D15498">
        <w:t xml:space="preserve">with </w:t>
      </w:r>
      <w:r w:rsidRPr="008074B4">
        <w:t xml:space="preserve">non-software patents omitted. If the AI coefficient survives within software, the disparity </w:t>
      </w:r>
      <w:r w:rsidR="00D15498">
        <w:t xml:space="preserve">evidenced in the prior section </w:t>
      </w:r>
      <w:r w:rsidRPr="008074B4">
        <w:t>is not merely software fragility.</w:t>
      </w:r>
      <w:r w:rsidR="00D15498">
        <w:t xml:space="preserve"> This is so because r</w:t>
      </w:r>
      <w:r w:rsidRPr="008074B4">
        <w:t>estricting the comparison to software-relevant CPC classes creates a within-technology contrast between AI software and ordinary software, so the AI indicator no longer captures the difference between software and everything else. It captures only the difference within software. If post-</w:t>
      </w:r>
      <w:r w:rsidRPr="008074B4">
        <w:rPr>
          <w:i/>
          <w:iCs/>
        </w:rPr>
        <w:t>Alice</w:t>
      </w:r>
      <w:r w:rsidRPr="008074B4">
        <w:t xml:space="preserve"> software fragility were the whole story, then once a separate software indicator is in the model, the AI coefficient should fall toward zero, because there would be nothing left for it to explain. A surviving AI coefficient means the opposite: that courts are responding to something about AI claims that ordinary software claims do not share. </w:t>
      </w:r>
    </w:p>
    <w:p w14:paraId="13FA85CD" w14:textId="1C24B8E5" w:rsidR="00B725F0" w:rsidRPr="00A21710" w:rsidRDefault="00B725F0" w:rsidP="00B81FF6">
      <w:pPr>
        <w:pStyle w:val="FootnoteText"/>
        <w:spacing w:line="480" w:lineRule="auto"/>
        <w:rPr>
          <w:sz w:val="24"/>
          <w:szCs w:val="24"/>
        </w:rPr>
      </w:pPr>
      <w:r w:rsidRPr="00A21710">
        <w:rPr>
          <w:sz w:val="24"/>
          <w:szCs w:val="24"/>
        </w:rPr>
        <w:t xml:space="preserve">I run the comparison under </w:t>
      </w:r>
      <w:r w:rsidR="00584115">
        <w:rPr>
          <w:sz w:val="24"/>
          <w:szCs w:val="24"/>
        </w:rPr>
        <w:t xml:space="preserve">different </w:t>
      </w:r>
      <w:r w:rsidRPr="00A21710">
        <w:rPr>
          <w:sz w:val="24"/>
          <w:szCs w:val="24"/>
        </w:rPr>
        <w:t>software definition</w:t>
      </w:r>
      <w:r w:rsidR="00584115">
        <w:rPr>
          <w:sz w:val="24"/>
          <w:szCs w:val="24"/>
        </w:rPr>
        <w:t>s of software</w:t>
      </w:r>
      <w:r w:rsidRPr="00A21710">
        <w:rPr>
          <w:sz w:val="24"/>
          <w:szCs w:val="24"/>
        </w:rPr>
        <w:t xml:space="preserve"> and at </w:t>
      </w:r>
      <w:r w:rsidR="00584115">
        <w:rPr>
          <w:sz w:val="24"/>
          <w:szCs w:val="24"/>
        </w:rPr>
        <w:t>different</w:t>
      </w:r>
      <w:r w:rsidRPr="00A21710">
        <w:rPr>
          <w:sz w:val="24"/>
          <w:szCs w:val="24"/>
        </w:rPr>
        <w:t xml:space="preserve"> </w:t>
      </w:r>
      <w:r w:rsidR="00B81FF6">
        <w:rPr>
          <w:sz w:val="24"/>
          <w:szCs w:val="24"/>
        </w:rPr>
        <w:t xml:space="preserve">USPTO </w:t>
      </w:r>
      <w:r w:rsidRPr="00A21710">
        <w:rPr>
          <w:sz w:val="24"/>
          <w:szCs w:val="24"/>
        </w:rPr>
        <w:t xml:space="preserve">AI </w:t>
      </w:r>
      <w:r w:rsidR="00B81FF6">
        <w:rPr>
          <w:sz w:val="24"/>
          <w:szCs w:val="24"/>
        </w:rPr>
        <w:t xml:space="preserve">confidence </w:t>
      </w:r>
      <w:r w:rsidRPr="00A21710">
        <w:rPr>
          <w:sz w:val="24"/>
          <w:szCs w:val="24"/>
        </w:rPr>
        <w:t>thresholds, so that the result cannot rest on a single way of drawing the software boundary or the AI boundary.</w:t>
      </w:r>
      <w:r w:rsidR="00392D8E">
        <w:rPr>
          <w:sz w:val="24"/>
          <w:szCs w:val="24"/>
        </w:rPr>
        <w:t xml:space="preserve"> I construct separate measures for software and digital communications from both CPC and WIPO.</w:t>
      </w:r>
      <w:r w:rsidR="00DC38C6" w:rsidRPr="00A21710">
        <w:rPr>
          <w:rStyle w:val="FootnoteReference"/>
          <w:sz w:val="24"/>
          <w:szCs w:val="24"/>
        </w:rPr>
        <w:footnoteReference w:id="82"/>
      </w:r>
      <w:r w:rsidR="00D15498" w:rsidRPr="00A21710">
        <w:rPr>
          <w:sz w:val="24"/>
          <w:szCs w:val="24"/>
        </w:rPr>
        <w:t xml:space="preserve"> </w:t>
      </w:r>
      <w:r w:rsidR="00A21710" w:rsidRPr="00A21710">
        <w:rPr>
          <w:sz w:val="24"/>
          <w:szCs w:val="24"/>
        </w:rPr>
        <w:t>I</w:t>
      </w:r>
      <w:r w:rsidR="00392D8E">
        <w:rPr>
          <w:sz w:val="24"/>
          <w:szCs w:val="24"/>
        </w:rPr>
        <w:t xml:space="preserve">n alternative specifications, I used both broad and </w:t>
      </w:r>
      <w:r w:rsidR="00392D8E">
        <w:rPr>
          <w:sz w:val="24"/>
          <w:szCs w:val="24"/>
        </w:rPr>
        <w:lastRenderedPageBreak/>
        <w:t xml:space="preserve">narrow definitions of what constitutes software. For simplicity, in the tables and charts below </w:t>
      </w:r>
      <w:r w:rsidR="00584115">
        <w:rPr>
          <w:sz w:val="24"/>
          <w:szCs w:val="24"/>
        </w:rPr>
        <w:t>I report the results using the broad software indicator</w:t>
      </w:r>
      <w:r w:rsidR="00392D8E">
        <w:rPr>
          <w:sz w:val="24"/>
          <w:szCs w:val="24"/>
        </w:rPr>
        <w:t xml:space="preserve"> for CPC and WIPO</w:t>
      </w:r>
      <w:r w:rsidR="00584115">
        <w:rPr>
          <w:sz w:val="24"/>
          <w:szCs w:val="24"/>
        </w:rPr>
        <w:t xml:space="preserve"> though the results are similar for the narrow indicator.</w:t>
      </w:r>
    </w:p>
    <w:p w14:paraId="5D4AFA55" w14:textId="3190B4B9" w:rsidR="007019B5" w:rsidRDefault="007019B5" w:rsidP="00D57A20">
      <w:pPr>
        <w:spacing w:line="480" w:lineRule="auto"/>
        <w:ind w:firstLine="720"/>
      </w:pPr>
      <w:r w:rsidRPr="008074B4">
        <w:rPr>
          <w:color w:val="000000"/>
        </w:rPr>
        <w:t xml:space="preserve">Table </w:t>
      </w:r>
      <w:r w:rsidR="00B34956">
        <w:rPr>
          <w:color w:val="000000"/>
        </w:rPr>
        <w:t xml:space="preserve">8 </w:t>
      </w:r>
      <w:r w:rsidRPr="008074B4">
        <w:rPr>
          <w:color w:val="000000"/>
        </w:rPr>
        <w:t>show</w:t>
      </w:r>
      <w:r w:rsidR="00D15498">
        <w:rPr>
          <w:color w:val="000000"/>
        </w:rPr>
        <w:t>s</w:t>
      </w:r>
      <w:r w:rsidRPr="008074B4">
        <w:rPr>
          <w:color w:val="000000"/>
        </w:rPr>
        <w:t xml:space="preserve"> that the results are robust to different definitions of software.</w:t>
      </w:r>
      <w:r w:rsidR="001E6C84">
        <w:rPr>
          <w:color w:val="000000"/>
        </w:rPr>
        <w:t xml:space="preserve"> In particular, the invalidity results are statistically significant for</w:t>
      </w:r>
      <w:r w:rsidR="00BB15C3">
        <w:rPr>
          <w:color w:val="000000"/>
        </w:rPr>
        <w:t xml:space="preserve"> the</w:t>
      </w:r>
      <w:r w:rsidR="001E6C84">
        <w:rPr>
          <w:color w:val="000000"/>
        </w:rPr>
        <w:t xml:space="preserve"> AI patent</w:t>
      </w:r>
      <w:r w:rsidR="00BB15C3">
        <w:rPr>
          <w:color w:val="000000"/>
        </w:rPr>
        <w:t xml:space="preserve"> indicator</w:t>
      </w:r>
      <w:r w:rsidR="001E6C84">
        <w:rPr>
          <w:color w:val="000000"/>
        </w:rPr>
        <w:t>.  Under the broad software definition</w:t>
      </w:r>
      <w:r w:rsidR="00392D8E">
        <w:rPr>
          <w:color w:val="000000"/>
        </w:rPr>
        <w:t xml:space="preserve"> at the 50% </w:t>
      </w:r>
      <w:r w:rsidR="00E93EC8">
        <w:rPr>
          <w:color w:val="000000"/>
        </w:rPr>
        <w:t xml:space="preserve">AI </w:t>
      </w:r>
      <w:r w:rsidR="00392D8E">
        <w:rPr>
          <w:color w:val="000000"/>
        </w:rPr>
        <w:t>confidence tier</w:t>
      </w:r>
      <w:r w:rsidR="001E6C84">
        <w:rPr>
          <w:color w:val="000000"/>
        </w:rPr>
        <w:t>, the adjusted probability of invalidity rises from 67</w:t>
      </w:r>
      <w:r w:rsidR="00392D8E">
        <w:rPr>
          <w:color w:val="000000"/>
        </w:rPr>
        <w:t>.1</w:t>
      </w:r>
      <w:r w:rsidR="001E6C84">
        <w:rPr>
          <w:color w:val="000000"/>
        </w:rPr>
        <w:t>% for non-AI software patents to 72</w:t>
      </w:r>
      <w:r w:rsidR="00392D8E">
        <w:rPr>
          <w:color w:val="000000"/>
        </w:rPr>
        <w:t>.4</w:t>
      </w:r>
      <w:r w:rsidR="001E6C84">
        <w:rPr>
          <w:color w:val="000000"/>
        </w:rPr>
        <w:t xml:space="preserve">% for AI software patents. </w:t>
      </w:r>
      <w:r w:rsidRPr="008074B4">
        <w:rPr>
          <w:color w:val="000000"/>
        </w:rPr>
        <w:t>In short,</w:t>
      </w:r>
      <w:r w:rsidR="001E6C84">
        <w:rPr>
          <w:color w:val="000000"/>
        </w:rPr>
        <w:t xml:space="preserve"> while</w:t>
      </w:r>
      <w:r w:rsidRPr="008074B4">
        <w:rPr>
          <w:color w:val="000000"/>
        </w:rPr>
        <w:t xml:space="preserve"> the invalidity effect weakens once the comparison is limited to software patents</w:t>
      </w:r>
      <w:r w:rsidR="001E6C84">
        <w:rPr>
          <w:color w:val="000000"/>
        </w:rPr>
        <w:t xml:space="preserve">, the gap is still there and statistically significant at 99% confidence levels. </w:t>
      </w:r>
      <w:r w:rsidR="00223D41">
        <w:rPr>
          <w:color w:val="000000"/>
        </w:rPr>
        <w:t xml:space="preserve">Table 9 shows the results broken down by statutory section. </w:t>
      </w:r>
      <w:r w:rsidR="001E6C84">
        <w:t>The section 101 subject matter findings are even more revealing: for broad software patents that are invalidated, the adjusted probability of a section 101 invalidity ground rises from 5</w:t>
      </w:r>
      <w:r w:rsidR="00392D8E">
        <w:t>7.9</w:t>
      </w:r>
      <w:r w:rsidR="001E6C84">
        <w:t>%</w:t>
      </w:r>
      <w:r w:rsidR="00392D8E">
        <w:t xml:space="preserve"> for a non-AI patent</w:t>
      </w:r>
      <w:r w:rsidR="001E6C84">
        <w:t xml:space="preserve"> to 6</w:t>
      </w:r>
      <w:r w:rsidR="00392D8E">
        <w:t>4.8</w:t>
      </w:r>
      <w:r w:rsidR="001E6C84">
        <w:t>%</w:t>
      </w:r>
      <w:r w:rsidR="00392D8E">
        <w:t xml:space="preserve"> for an AI patent. </w:t>
      </w:r>
      <w:r w:rsidR="00E93EC8">
        <w:t>The obviousness result here, however, is much weaker substantively and is only statistically significant at 90% confidence.</w:t>
      </w:r>
      <w:r w:rsidR="00E93EC8">
        <w:rPr>
          <w:rStyle w:val="FootnoteReference"/>
        </w:rPr>
        <w:footnoteReference w:id="83"/>
      </w:r>
      <w:r w:rsidR="00E93EC8">
        <w:t xml:space="preserve"> </w:t>
      </w:r>
      <w:r w:rsidR="00392D8E">
        <w:t xml:space="preserve">The adjusted probability of a section 103 ground decreases from 7.6% for a non-AI patent to 5.3% for an AI patent. </w:t>
      </w:r>
      <w:r w:rsidR="004E5930">
        <w:t>I</w:t>
      </w:r>
      <w:r w:rsidR="001E6C84">
        <w:t>n all, the results that AI inventions are treated differently than non-AI inventions in terms of invalidity</w:t>
      </w:r>
      <w:r w:rsidR="002304A8">
        <w:t>, particular</w:t>
      </w:r>
      <w:r w:rsidR="00A36D7E">
        <w:t>l</w:t>
      </w:r>
      <w:r w:rsidR="002304A8">
        <w:t>y for section 101,</w:t>
      </w:r>
      <w:r w:rsidR="001E6C84">
        <w:t xml:space="preserve"> survives even when the sample is limited to software only cases. </w:t>
      </w:r>
    </w:p>
    <w:p w14:paraId="17CB7C6D" w14:textId="77777777" w:rsidR="00223D41" w:rsidRDefault="00223D41" w:rsidP="00223D41">
      <w:pPr>
        <w:pStyle w:val="Heading2"/>
        <w:rPr>
          <w:rFonts w:ascii="Times New Roman" w:hAnsi="Times New Roman" w:cs="Times New Roman"/>
          <w:sz w:val="20"/>
          <w:szCs w:val="20"/>
        </w:rPr>
      </w:pPr>
    </w:p>
    <w:p w14:paraId="44B7C1EE" w14:textId="77777777" w:rsidR="00E93EC8" w:rsidRPr="00E93EC8" w:rsidRDefault="00E93EC8" w:rsidP="00E93EC8"/>
    <w:p w14:paraId="74711093" w14:textId="22FCC76E" w:rsidR="00223D41" w:rsidRPr="00E93EC8" w:rsidRDefault="00223D41" w:rsidP="00E93EC8">
      <w:pPr>
        <w:pStyle w:val="Heading3"/>
        <w:jc w:val="center"/>
        <w:rPr>
          <w:rFonts w:cs="Times New Roman"/>
          <w:b/>
          <w:bCs/>
          <w:color w:val="auto"/>
          <w:sz w:val="24"/>
          <w:szCs w:val="24"/>
        </w:rPr>
      </w:pPr>
      <w:r w:rsidRPr="00E93EC8">
        <w:rPr>
          <w:rFonts w:cs="Times New Roman"/>
          <w:b/>
          <w:bCs/>
          <w:color w:val="auto"/>
          <w:sz w:val="24"/>
          <w:szCs w:val="24"/>
        </w:rPr>
        <w:lastRenderedPageBreak/>
        <w:t>Table 8: Invalidity in Software Samples</w:t>
      </w:r>
    </w:p>
    <w:tbl>
      <w:tblPr>
        <w:tblStyle w:val="TableGrid"/>
        <w:tblW w:w="9360" w:type="dxa"/>
        <w:tblLayout w:type="fixed"/>
        <w:tblLook w:val="04A0" w:firstRow="1" w:lastRow="0" w:firstColumn="1" w:lastColumn="0" w:noHBand="0" w:noVBand="1"/>
      </w:tblPr>
      <w:tblGrid>
        <w:gridCol w:w="1700"/>
        <w:gridCol w:w="1278"/>
        <w:gridCol w:w="1277"/>
        <w:gridCol w:w="1277"/>
        <w:gridCol w:w="1277"/>
        <w:gridCol w:w="1277"/>
        <w:gridCol w:w="1274"/>
      </w:tblGrid>
      <w:tr w:rsidR="00223D41" w:rsidRPr="005A2545" w14:paraId="011281B6" w14:textId="77777777" w:rsidTr="00287451">
        <w:tc>
          <w:tcPr>
            <w:tcW w:w="1699" w:type="dxa"/>
            <w:shd w:val="clear" w:color="auto" w:fill="F2F2F2"/>
            <w:vAlign w:val="center"/>
          </w:tcPr>
          <w:p w14:paraId="3095D356" w14:textId="77777777" w:rsidR="00223D41" w:rsidRPr="005A2545" w:rsidRDefault="00223D41" w:rsidP="00287451">
            <w:pPr>
              <w:jc w:val="center"/>
              <w:rPr>
                <w:sz w:val="20"/>
                <w:szCs w:val="20"/>
              </w:rPr>
            </w:pPr>
            <w:r w:rsidRPr="005A2545">
              <w:rPr>
                <w:b/>
                <w:sz w:val="20"/>
                <w:szCs w:val="20"/>
              </w:rPr>
              <w:t>Statistic</w:t>
            </w:r>
          </w:p>
        </w:tc>
        <w:tc>
          <w:tcPr>
            <w:tcW w:w="1277" w:type="dxa"/>
            <w:shd w:val="clear" w:color="auto" w:fill="F2F2F2"/>
            <w:vAlign w:val="center"/>
          </w:tcPr>
          <w:p w14:paraId="7ED94E59" w14:textId="77777777" w:rsidR="00223D41" w:rsidRPr="005A2545" w:rsidRDefault="00223D41" w:rsidP="00287451">
            <w:pPr>
              <w:jc w:val="center"/>
              <w:rPr>
                <w:sz w:val="20"/>
                <w:szCs w:val="20"/>
              </w:rPr>
            </w:pPr>
            <w:r w:rsidRPr="005A2545">
              <w:rPr>
                <w:b/>
                <w:sz w:val="20"/>
                <w:szCs w:val="20"/>
              </w:rPr>
              <w:t>CPC 50%</w:t>
            </w:r>
          </w:p>
        </w:tc>
        <w:tc>
          <w:tcPr>
            <w:tcW w:w="1277" w:type="dxa"/>
            <w:shd w:val="clear" w:color="auto" w:fill="F2F2F2"/>
            <w:vAlign w:val="center"/>
          </w:tcPr>
          <w:p w14:paraId="719FB0CD" w14:textId="77777777" w:rsidR="00223D41" w:rsidRPr="005A2545" w:rsidRDefault="00223D41" w:rsidP="00287451">
            <w:pPr>
              <w:jc w:val="center"/>
              <w:rPr>
                <w:sz w:val="20"/>
                <w:szCs w:val="20"/>
              </w:rPr>
            </w:pPr>
            <w:r w:rsidRPr="005A2545">
              <w:rPr>
                <w:b/>
                <w:sz w:val="20"/>
                <w:szCs w:val="20"/>
              </w:rPr>
              <w:t>CPC 86%</w:t>
            </w:r>
          </w:p>
        </w:tc>
        <w:tc>
          <w:tcPr>
            <w:tcW w:w="1277" w:type="dxa"/>
            <w:shd w:val="clear" w:color="auto" w:fill="F2F2F2"/>
            <w:vAlign w:val="center"/>
          </w:tcPr>
          <w:p w14:paraId="164EAE13" w14:textId="77777777" w:rsidR="00223D41" w:rsidRPr="005A2545" w:rsidRDefault="00223D41" w:rsidP="00287451">
            <w:pPr>
              <w:jc w:val="center"/>
              <w:rPr>
                <w:sz w:val="20"/>
                <w:szCs w:val="20"/>
              </w:rPr>
            </w:pPr>
            <w:r w:rsidRPr="005A2545">
              <w:rPr>
                <w:b/>
                <w:sz w:val="20"/>
                <w:szCs w:val="20"/>
              </w:rPr>
              <w:t>CPC 93%</w:t>
            </w:r>
          </w:p>
        </w:tc>
        <w:tc>
          <w:tcPr>
            <w:tcW w:w="1277" w:type="dxa"/>
            <w:shd w:val="clear" w:color="auto" w:fill="F2F2F2"/>
            <w:vAlign w:val="center"/>
          </w:tcPr>
          <w:p w14:paraId="6378BD48" w14:textId="77777777" w:rsidR="00223D41" w:rsidRPr="005A2545" w:rsidRDefault="00223D41" w:rsidP="00287451">
            <w:pPr>
              <w:jc w:val="center"/>
              <w:rPr>
                <w:sz w:val="20"/>
                <w:szCs w:val="20"/>
              </w:rPr>
            </w:pPr>
            <w:r w:rsidRPr="005A2545">
              <w:rPr>
                <w:b/>
                <w:sz w:val="20"/>
                <w:szCs w:val="20"/>
              </w:rPr>
              <w:t>WIPO 50%</w:t>
            </w:r>
          </w:p>
        </w:tc>
        <w:tc>
          <w:tcPr>
            <w:tcW w:w="1277" w:type="dxa"/>
            <w:shd w:val="clear" w:color="auto" w:fill="F2F2F2"/>
            <w:vAlign w:val="center"/>
          </w:tcPr>
          <w:p w14:paraId="2A025DB5" w14:textId="77777777" w:rsidR="00223D41" w:rsidRPr="005A2545" w:rsidRDefault="00223D41" w:rsidP="00287451">
            <w:pPr>
              <w:jc w:val="center"/>
              <w:rPr>
                <w:sz w:val="20"/>
                <w:szCs w:val="20"/>
              </w:rPr>
            </w:pPr>
            <w:r w:rsidRPr="005A2545">
              <w:rPr>
                <w:b/>
                <w:sz w:val="20"/>
                <w:szCs w:val="20"/>
              </w:rPr>
              <w:t>WIPO 86%</w:t>
            </w:r>
          </w:p>
        </w:tc>
        <w:tc>
          <w:tcPr>
            <w:tcW w:w="1274" w:type="dxa"/>
            <w:shd w:val="clear" w:color="auto" w:fill="F2F2F2"/>
            <w:vAlign w:val="center"/>
          </w:tcPr>
          <w:p w14:paraId="37D1A778" w14:textId="77777777" w:rsidR="00223D41" w:rsidRPr="005A2545" w:rsidRDefault="00223D41" w:rsidP="00287451">
            <w:pPr>
              <w:jc w:val="center"/>
              <w:rPr>
                <w:sz w:val="20"/>
                <w:szCs w:val="20"/>
              </w:rPr>
            </w:pPr>
            <w:r w:rsidRPr="005A2545">
              <w:rPr>
                <w:b/>
                <w:sz w:val="20"/>
                <w:szCs w:val="20"/>
              </w:rPr>
              <w:t>WIPO 93%</w:t>
            </w:r>
          </w:p>
        </w:tc>
      </w:tr>
      <w:tr w:rsidR="00223D41" w:rsidRPr="005A2545" w14:paraId="31EB717C" w14:textId="77777777" w:rsidTr="00287451">
        <w:tc>
          <w:tcPr>
            <w:tcW w:w="1699" w:type="dxa"/>
            <w:vAlign w:val="center"/>
          </w:tcPr>
          <w:p w14:paraId="3E06D1CC" w14:textId="77777777" w:rsidR="00223D41" w:rsidRPr="005A2545" w:rsidRDefault="00223D41" w:rsidP="00287451">
            <w:pPr>
              <w:rPr>
                <w:sz w:val="20"/>
                <w:szCs w:val="20"/>
              </w:rPr>
            </w:pPr>
            <w:r w:rsidRPr="005A2545">
              <w:rPr>
                <w:b/>
                <w:sz w:val="20"/>
                <w:szCs w:val="20"/>
              </w:rPr>
              <w:t>AI coefficient</w:t>
            </w:r>
          </w:p>
        </w:tc>
        <w:tc>
          <w:tcPr>
            <w:tcW w:w="1277" w:type="dxa"/>
            <w:vAlign w:val="center"/>
          </w:tcPr>
          <w:p w14:paraId="26AB5F2C" w14:textId="77777777" w:rsidR="00223D41" w:rsidRPr="005A2545" w:rsidRDefault="00223D41" w:rsidP="00287451">
            <w:pPr>
              <w:jc w:val="center"/>
              <w:rPr>
                <w:sz w:val="20"/>
                <w:szCs w:val="20"/>
              </w:rPr>
            </w:pPr>
            <w:r w:rsidRPr="005A2545">
              <w:rPr>
                <w:sz w:val="20"/>
                <w:szCs w:val="20"/>
              </w:rPr>
              <w:t>+5.28***</w:t>
            </w:r>
            <w:r w:rsidRPr="005A2545">
              <w:rPr>
                <w:sz w:val="20"/>
                <w:szCs w:val="20"/>
              </w:rPr>
              <w:br/>
              <w:t>(1.64)</w:t>
            </w:r>
          </w:p>
        </w:tc>
        <w:tc>
          <w:tcPr>
            <w:tcW w:w="1277" w:type="dxa"/>
            <w:vAlign w:val="center"/>
          </w:tcPr>
          <w:p w14:paraId="176ED4AF" w14:textId="77777777" w:rsidR="00223D41" w:rsidRPr="005A2545" w:rsidRDefault="00223D41" w:rsidP="00287451">
            <w:pPr>
              <w:jc w:val="center"/>
              <w:rPr>
                <w:sz w:val="20"/>
                <w:szCs w:val="20"/>
              </w:rPr>
            </w:pPr>
            <w:r w:rsidRPr="005A2545">
              <w:rPr>
                <w:sz w:val="20"/>
                <w:szCs w:val="20"/>
              </w:rPr>
              <w:t>+4.51***</w:t>
            </w:r>
            <w:r w:rsidRPr="005A2545">
              <w:rPr>
                <w:sz w:val="20"/>
                <w:szCs w:val="20"/>
              </w:rPr>
              <w:br/>
              <w:t>(1.56)</w:t>
            </w:r>
          </w:p>
        </w:tc>
        <w:tc>
          <w:tcPr>
            <w:tcW w:w="1277" w:type="dxa"/>
            <w:vAlign w:val="center"/>
          </w:tcPr>
          <w:p w14:paraId="11E1EBCF" w14:textId="77777777" w:rsidR="00223D41" w:rsidRPr="005A2545" w:rsidRDefault="00223D41" w:rsidP="00287451">
            <w:pPr>
              <w:jc w:val="center"/>
              <w:rPr>
                <w:sz w:val="20"/>
                <w:szCs w:val="20"/>
              </w:rPr>
            </w:pPr>
            <w:r w:rsidRPr="005A2545">
              <w:rPr>
                <w:sz w:val="20"/>
                <w:szCs w:val="20"/>
              </w:rPr>
              <w:t>+4.65***</w:t>
            </w:r>
            <w:r w:rsidRPr="005A2545">
              <w:rPr>
                <w:sz w:val="20"/>
                <w:szCs w:val="20"/>
              </w:rPr>
              <w:br/>
              <w:t>(1.51)</w:t>
            </w:r>
          </w:p>
        </w:tc>
        <w:tc>
          <w:tcPr>
            <w:tcW w:w="1277" w:type="dxa"/>
            <w:vAlign w:val="center"/>
          </w:tcPr>
          <w:p w14:paraId="23201A73" w14:textId="77777777" w:rsidR="00223D41" w:rsidRPr="005A2545" w:rsidRDefault="00223D41" w:rsidP="00287451">
            <w:pPr>
              <w:jc w:val="center"/>
              <w:rPr>
                <w:sz w:val="20"/>
                <w:szCs w:val="20"/>
              </w:rPr>
            </w:pPr>
            <w:r w:rsidRPr="005A2545">
              <w:rPr>
                <w:sz w:val="20"/>
                <w:szCs w:val="20"/>
              </w:rPr>
              <w:t>+5.72***</w:t>
            </w:r>
            <w:r w:rsidRPr="005A2545">
              <w:rPr>
                <w:sz w:val="20"/>
                <w:szCs w:val="20"/>
              </w:rPr>
              <w:br/>
              <w:t>(1.42)</w:t>
            </w:r>
          </w:p>
        </w:tc>
        <w:tc>
          <w:tcPr>
            <w:tcW w:w="1277" w:type="dxa"/>
            <w:vAlign w:val="center"/>
          </w:tcPr>
          <w:p w14:paraId="21A374BD" w14:textId="77777777" w:rsidR="00223D41" w:rsidRPr="005A2545" w:rsidRDefault="00223D41" w:rsidP="00287451">
            <w:pPr>
              <w:jc w:val="center"/>
              <w:rPr>
                <w:sz w:val="20"/>
                <w:szCs w:val="20"/>
              </w:rPr>
            </w:pPr>
            <w:r w:rsidRPr="005A2545">
              <w:rPr>
                <w:sz w:val="20"/>
                <w:szCs w:val="20"/>
              </w:rPr>
              <w:t>+5.28***</w:t>
            </w:r>
            <w:r w:rsidRPr="005A2545">
              <w:rPr>
                <w:sz w:val="20"/>
                <w:szCs w:val="20"/>
              </w:rPr>
              <w:br/>
              <w:t>(1.37)</w:t>
            </w:r>
          </w:p>
        </w:tc>
        <w:tc>
          <w:tcPr>
            <w:tcW w:w="1274" w:type="dxa"/>
            <w:vAlign w:val="center"/>
          </w:tcPr>
          <w:p w14:paraId="16C22AAA" w14:textId="77777777" w:rsidR="00223D41" w:rsidRPr="005A2545" w:rsidRDefault="00223D41" w:rsidP="00287451">
            <w:pPr>
              <w:jc w:val="center"/>
              <w:rPr>
                <w:sz w:val="20"/>
                <w:szCs w:val="20"/>
              </w:rPr>
            </w:pPr>
            <w:r w:rsidRPr="005A2545">
              <w:rPr>
                <w:sz w:val="20"/>
                <w:szCs w:val="20"/>
              </w:rPr>
              <w:t>+4.89***</w:t>
            </w:r>
            <w:r w:rsidRPr="005A2545">
              <w:rPr>
                <w:sz w:val="20"/>
                <w:szCs w:val="20"/>
              </w:rPr>
              <w:br/>
              <w:t>(1.36)</w:t>
            </w:r>
          </w:p>
        </w:tc>
      </w:tr>
      <w:tr w:rsidR="00223D41" w:rsidRPr="005A2545" w14:paraId="43B54718" w14:textId="77777777" w:rsidTr="00287451">
        <w:tc>
          <w:tcPr>
            <w:tcW w:w="1699" w:type="dxa"/>
            <w:vAlign w:val="center"/>
          </w:tcPr>
          <w:p w14:paraId="306D5E97" w14:textId="77777777" w:rsidR="00223D41" w:rsidRPr="005A2545" w:rsidRDefault="00223D41" w:rsidP="00287451">
            <w:pPr>
              <w:rPr>
                <w:sz w:val="20"/>
                <w:szCs w:val="20"/>
              </w:rPr>
            </w:pPr>
            <w:r w:rsidRPr="005A2545">
              <w:rPr>
                <w:b/>
                <w:sz w:val="20"/>
                <w:szCs w:val="20"/>
              </w:rPr>
              <w:t>Alpha</w:t>
            </w:r>
          </w:p>
        </w:tc>
        <w:tc>
          <w:tcPr>
            <w:tcW w:w="1277" w:type="dxa"/>
            <w:vAlign w:val="center"/>
          </w:tcPr>
          <w:p w14:paraId="6ED297B3" w14:textId="77777777" w:rsidR="00223D41" w:rsidRPr="005A2545" w:rsidRDefault="00223D41" w:rsidP="00287451">
            <w:pPr>
              <w:jc w:val="center"/>
              <w:rPr>
                <w:sz w:val="20"/>
                <w:szCs w:val="20"/>
              </w:rPr>
            </w:pPr>
            <w:r w:rsidRPr="005A2545">
              <w:rPr>
                <w:sz w:val="20"/>
                <w:szCs w:val="20"/>
              </w:rPr>
              <w:t>0.01</w:t>
            </w:r>
          </w:p>
        </w:tc>
        <w:tc>
          <w:tcPr>
            <w:tcW w:w="1277" w:type="dxa"/>
            <w:vAlign w:val="center"/>
          </w:tcPr>
          <w:p w14:paraId="2012ADDB" w14:textId="77777777" w:rsidR="00223D41" w:rsidRPr="005A2545" w:rsidRDefault="00223D41" w:rsidP="00287451">
            <w:pPr>
              <w:jc w:val="center"/>
              <w:rPr>
                <w:sz w:val="20"/>
                <w:szCs w:val="20"/>
              </w:rPr>
            </w:pPr>
            <w:r w:rsidRPr="005A2545">
              <w:rPr>
                <w:sz w:val="20"/>
                <w:szCs w:val="20"/>
              </w:rPr>
              <w:t>0.01</w:t>
            </w:r>
          </w:p>
        </w:tc>
        <w:tc>
          <w:tcPr>
            <w:tcW w:w="1277" w:type="dxa"/>
            <w:vAlign w:val="center"/>
          </w:tcPr>
          <w:p w14:paraId="07A47FC1" w14:textId="77777777" w:rsidR="00223D41" w:rsidRPr="005A2545" w:rsidRDefault="00223D41" w:rsidP="00287451">
            <w:pPr>
              <w:jc w:val="center"/>
              <w:rPr>
                <w:sz w:val="20"/>
                <w:szCs w:val="20"/>
              </w:rPr>
            </w:pPr>
            <w:r w:rsidRPr="005A2545">
              <w:rPr>
                <w:sz w:val="20"/>
                <w:szCs w:val="20"/>
              </w:rPr>
              <w:t>0.01</w:t>
            </w:r>
          </w:p>
        </w:tc>
        <w:tc>
          <w:tcPr>
            <w:tcW w:w="1277" w:type="dxa"/>
            <w:vAlign w:val="center"/>
          </w:tcPr>
          <w:p w14:paraId="4CC5D6BF" w14:textId="77777777" w:rsidR="00223D41" w:rsidRPr="005A2545" w:rsidRDefault="00223D41" w:rsidP="00287451">
            <w:pPr>
              <w:jc w:val="center"/>
              <w:rPr>
                <w:sz w:val="20"/>
                <w:szCs w:val="20"/>
              </w:rPr>
            </w:pPr>
            <w:r w:rsidRPr="005A2545">
              <w:rPr>
                <w:sz w:val="20"/>
                <w:szCs w:val="20"/>
              </w:rPr>
              <w:t>0.01</w:t>
            </w:r>
          </w:p>
        </w:tc>
        <w:tc>
          <w:tcPr>
            <w:tcW w:w="1277" w:type="dxa"/>
            <w:vAlign w:val="center"/>
          </w:tcPr>
          <w:p w14:paraId="5CCC29BD" w14:textId="77777777" w:rsidR="00223D41" w:rsidRPr="005A2545" w:rsidRDefault="00223D41" w:rsidP="00287451">
            <w:pPr>
              <w:jc w:val="center"/>
              <w:rPr>
                <w:sz w:val="20"/>
                <w:szCs w:val="20"/>
              </w:rPr>
            </w:pPr>
            <w:r w:rsidRPr="005A2545">
              <w:rPr>
                <w:sz w:val="20"/>
                <w:szCs w:val="20"/>
              </w:rPr>
              <w:t>0.01</w:t>
            </w:r>
          </w:p>
        </w:tc>
        <w:tc>
          <w:tcPr>
            <w:tcW w:w="1274" w:type="dxa"/>
            <w:vAlign w:val="center"/>
          </w:tcPr>
          <w:p w14:paraId="1F6A1506" w14:textId="77777777" w:rsidR="00223D41" w:rsidRPr="005A2545" w:rsidRDefault="00223D41" w:rsidP="00287451">
            <w:pPr>
              <w:jc w:val="center"/>
              <w:rPr>
                <w:sz w:val="20"/>
                <w:szCs w:val="20"/>
              </w:rPr>
            </w:pPr>
            <w:r w:rsidRPr="005A2545">
              <w:rPr>
                <w:sz w:val="20"/>
                <w:szCs w:val="20"/>
              </w:rPr>
              <w:t>0.01</w:t>
            </w:r>
          </w:p>
        </w:tc>
      </w:tr>
      <w:tr w:rsidR="00223D41" w:rsidRPr="005A2545" w14:paraId="75276A84" w14:textId="77777777" w:rsidTr="00287451">
        <w:tc>
          <w:tcPr>
            <w:tcW w:w="1699" w:type="dxa"/>
            <w:vAlign w:val="center"/>
          </w:tcPr>
          <w:p w14:paraId="1C753B3D" w14:textId="77777777" w:rsidR="00223D41" w:rsidRPr="005A2545" w:rsidRDefault="00223D41" w:rsidP="00287451">
            <w:pPr>
              <w:rPr>
                <w:sz w:val="20"/>
                <w:szCs w:val="20"/>
              </w:rPr>
            </w:pPr>
            <w:r w:rsidRPr="005A2545">
              <w:rPr>
                <w:b/>
                <w:sz w:val="20"/>
                <w:szCs w:val="20"/>
              </w:rPr>
              <w:t>Pr(non-AI)</w:t>
            </w:r>
          </w:p>
        </w:tc>
        <w:tc>
          <w:tcPr>
            <w:tcW w:w="1277" w:type="dxa"/>
            <w:vAlign w:val="center"/>
          </w:tcPr>
          <w:p w14:paraId="586E4CA1" w14:textId="77777777" w:rsidR="00223D41" w:rsidRPr="005A2545" w:rsidRDefault="00223D41" w:rsidP="00287451">
            <w:pPr>
              <w:jc w:val="center"/>
              <w:rPr>
                <w:sz w:val="20"/>
                <w:szCs w:val="20"/>
              </w:rPr>
            </w:pPr>
            <w:r w:rsidRPr="005A2545">
              <w:rPr>
                <w:sz w:val="20"/>
                <w:szCs w:val="20"/>
              </w:rPr>
              <w:t>67.1%</w:t>
            </w:r>
          </w:p>
        </w:tc>
        <w:tc>
          <w:tcPr>
            <w:tcW w:w="1277" w:type="dxa"/>
            <w:vAlign w:val="center"/>
          </w:tcPr>
          <w:p w14:paraId="1A7EA28B" w14:textId="77777777" w:rsidR="00223D41" w:rsidRPr="005A2545" w:rsidRDefault="00223D41" w:rsidP="00287451">
            <w:pPr>
              <w:jc w:val="center"/>
              <w:rPr>
                <w:sz w:val="20"/>
                <w:szCs w:val="20"/>
              </w:rPr>
            </w:pPr>
            <w:r w:rsidRPr="005A2545">
              <w:rPr>
                <w:sz w:val="20"/>
                <w:szCs w:val="20"/>
              </w:rPr>
              <w:t>68.1%</w:t>
            </w:r>
          </w:p>
        </w:tc>
        <w:tc>
          <w:tcPr>
            <w:tcW w:w="1277" w:type="dxa"/>
            <w:vAlign w:val="center"/>
          </w:tcPr>
          <w:p w14:paraId="072E711C" w14:textId="77777777" w:rsidR="00223D41" w:rsidRPr="005A2545" w:rsidRDefault="00223D41" w:rsidP="00287451">
            <w:pPr>
              <w:jc w:val="center"/>
              <w:rPr>
                <w:sz w:val="20"/>
                <w:szCs w:val="20"/>
              </w:rPr>
            </w:pPr>
            <w:r w:rsidRPr="005A2545">
              <w:rPr>
                <w:sz w:val="20"/>
                <w:szCs w:val="20"/>
              </w:rPr>
              <w:t>68.3%</w:t>
            </w:r>
          </w:p>
        </w:tc>
        <w:tc>
          <w:tcPr>
            <w:tcW w:w="1277" w:type="dxa"/>
            <w:vAlign w:val="center"/>
          </w:tcPr>
          <w:p w14:paraId="1BB60502" w14:textId="77777777" w:rsidR="00223D41" w:rsidRPr="005A2545" w:rsidRDefault="00223D41" w:rsidP="00287451">
            <w:pPr>
              <w:jc w:val="center"/>
              <w:rPr>
                <w:sz w:val="20"/>
                <w:szCs w:val="20"/>
              </w:rPr>
            </w:pPr>
            <w:r w:rsidRPr="005A2545">
              <w:rPr>
                <w:sz w:val="20"/>
                <w:szCs w:val="20"/>
              </w:rPr>
              <w:t>64.5%</w:t>
            </w:r>
          </w:p>
        </w:tc>
        <w:tc>
          <w:tcPr>
            <w:tcW w:w="1277" w:type="dxa"/>
            <w:vAlign w:val="center"/>
          </w:tcPr>
          <w:p w14:paraId="30EADC4B" w14:textId="77777777" w:rsidR="00223D41" w:rsidRPr="005A2545" w:rsidRDefault="00223D41" w:rsidP="00287451">
            <w:pPr>
              <w:jc w:val="center"/>
              <w:rPr>
                <w:sz w:val="20"/>
                <w:szCs w:val="20"/>
              </w:rPr>
            </w:pPr>
            <w:r w:rsidRPr="005A2545">
              <w:rPr>
                <w:sz w:val="20"/>
                <w:szCs w:val="20"/>
              </w:rPr>
              <w:t>65.4%</w:t>
            </w:r>
          </w:p>
        </w:tc>
        <w:tc>
          <w:tcPr>
            <w:tcW w:w="1274" w:type="dxa"/>
            <w:vAlign w:val="center"/>
          </w:tcPr>
          <w:p w14:paraId="3D11F66C" w14:textId="77777777" w:rsidR="00223D41" w:rsidRPr="005A2545" w:rsidRDefault="00223D41" w:rsidP="00287451">
            <w:pPr>
              <w:jc w:val="center"/>
              <w:rPr>
                <w:sz w:val="20"/>
                <w:szCs w:val="20"/>
              </w:rPr>
            </w:pPr>
            <w:r w:rsidRPr="005A2545">
              <w:rPr>
                <w:sz w:val="20"/>
                <w:szCs w:val="20"/>
              </w:rPr>
              <w:t>65.7%</w:t>
            </w:r>
          </w:p>
        </w:tc>
      </w:tr>
      <w:tr w:rsidR="00223D41" w:rsidRPr="005A2545" w14:paraId="5E16EA12" w14:textId="77777777" w:rsidTr="00287451">
        <w:tc>
          <w:tcPr>
            <w:tcW w:w="1699" w:type="dxa"/>
            <w:vAlign w:val="center"/>
          </w:tcPr>
          <w:p w14:paraId="042E4FA1" w14:textId="77777777" w:rsidR="00223D41" w:rsidRPr="005A2545" w:rsidRDefault="00223D41" w:rsidP="00287451">
            <w:pPr>
              <w:rPr>
                <w:sz w:val="20"/>
                <w:szCs w:val="20"/>
              </w:rPr>
            </w:pPr>
            <w:r w:rsidRPr="005A2545">
              <w:rPr>
                <w:b/>
                <w:sz w:val="20"/>
                <w:szCs w:val="20"/>
              </w:rPr>
              <w:t>Pr(AI)</w:t>
            </w:r>
          </w:p>
        </w:tc>
        <w:tc>
          <w:tcPr>
            <w:tcW w:w="1277" w:type="dxa"/>
            <w:vAlign w:val="center"/>
          </w:tcPr>
          <w:p w14:paraId="7FB188C2" w14:textId="77777777" w:rsidR="00223D41" w:rsidRPr="005A2545" w:rsidRDefault="00223D41" w:rsidP="00287451">
            <w:pPr>
              <w:jc w:val="center"/>
              <w:rPr>
                <w:sz w:val="20"/>
                <w:szCs w:val="20"/>
              </w:rPr>
            </w:pPr>
            <w:r w:rsidRPr="005A2545">
              <w:rPr>
                <w:sz w:val="20"/>
                <w:szCs w:val="20"/>
              </w:rPr>
              <w:t>72.4%</w:t>
            </w:r>
          </w:p>
        </w:tc>
        <w:tc>
          <w:tcPr>
            <w:tcW w:w="1277" w:type="dxa"/>
            <w:vAlign w:val="center"/>
          </w:tcPr>
          <w:p w14:paraId="58D8804C" w14:textId="77777777" w:rsidR="00223D41" w:rsidRPr="005A2545" w:rsidRDefault="00223D41" w:rsidP="00287451">
            <w:pPr>
              <w:jc w:val="center"/>
              <w:rPr>
                <w:sz w:val="20"/>
                <w:szCs w:val="20"/>
              </w:rPr>
            </w:pPr>
            <w:r w:rsidRPr="005A2545">
              <w:rPr>
                <w:sz w:val="20"/>
                <w:szCs w:val="20"/>
              </w:rPr>
              <w:t>72.6%</w:t>
            </w:r>
          </w:p>
        </w:tc>
        <w:tc>
          <w:tcPr>
            <w:tcW w:w="1277" w:type="dxa"/>
            <w:vAlign w:val="center"/>
          </w:tcPr>
          <w:p w14:paraId="04BECD30" w14:textId="77777777" w:rsidR="00223D41" w:rsidRPr="005A2545" w:rsidRDefault="00223D41" w:rsidP="00287451">
            <w:pPr>
              <w:jc w:val="center"/>
              <w:rPr>
                <w:sz w:val="20"/>
                <w:szCs w:val="20"/>
              </w:rPr>
            </w:pPr>
            <w:r w:rsidRPr="005A2545">
              <w:rPr>
                <w:sz w:val="20"/>
                <w:szCs w:val="20"/>
              </w:rPr>
              <w:t>72.9%</w:t>
            </w:r>
          </w:p>
        </w:tc>
        <w:tc>
          <w:tcPr>
            <w:tcW w:w="1277" w:type="dxa"/>
            <w:vAlign w:val="center"/>
          </w:tcPr>
          <w:p w14:paraId="26D25B4B" w14:textId="77777777" w:rsidR="00223D41" w:rsidRPr="005A2545" w:rsidRDefault="00223D41" w:rsidP="00287451">
            <w:pPr>
              <w:jc w:val="center"/>
              <w:rPr>
                <w:sz w:val="20"/>
                <w:szCs w:val="20"/>
              </w:rPr>
            </w:pPr>
            <w:r w:rsidRPr="005A2545">
              <w:rPr>
                <w:sz w:val="20"/>
                <w:szCs w:val="20"/>
              </w:rPr>
              <w:t>70.3%</w:t>
            </w:r>
          </w:p>
        </w:tc>
        <w:tc>
          <w:tcPr>
            <w:tcW w:w="1277" w:type="dxa"/>
            <w:vAlign w:val="center"/>
          </w:tcPr>
          <w:p w14:paraId="6F051034" w14:textId="77777777" w:rsidR="00223D41" w:rsidRPr="005A2545" w:rsidRDefault="00223D41" w:rsidP="00287451">
            <w:pPr>
              <w:jc w:val="center"/>
              <w:rPr>
                <w:sz w:val="20"/>
                <w:szCs w:val="20"/>
              </w:rPr>
            </w:pPr>
            <w:r w:rsidRPr="005A2545">
              <w:rPr>
                <w:sz w:val="20"/>
                <w:szCs w:val="20"/>
              </w:rPr>
              <w:t>70.6%</w:t>
            </w:r>
          </w:p>
        </w:tc>
        <w:tc>
          <w:tcPr>
            <w:tcW w:w="1274" w:type="dxa"/>
            <w:vAlign w:val="center"/>
          </w:tcPr>
          <w:p w14:paraId="304B916E" w14:textId="77777777" w:rsidR="00223D41" w:rsidRPr="005A2545" w:rsidRDefault="00223D41" w:rsidP="00287451">
            <w:pPr>
              <w:jc w:val="center"/>
              <w:rPr>
                <w:sz w:val="20"/>
                <w:szCs w:val="20"/>
              </w:rPr>
            </w:pPr>
            <w:r w:rsidRPr="005A2545">
              <w:rPr>
                <w:sz w:val="20"/>
                <w:szCs w:val="20"/>
              </w:rPr>
              <w:t>70.6%</w:t>
            </w:r>
          </w:p>
        </w:tc>
      </w:tr>
      <w:tr w:rsidR="00223D41" w:rsidRPr="005A2545" w14:paraId="696825EF" w14:textId="77777777" w:rsidTr="00287451">
        <w:tc>
          <w:tcPr>
            <w:tcW w:w="1699" w:type="dxa"/>
            <w:vAlign w:val="center"/>
          </w:tcPr>
          <w:p w14:paraId="301EAED3" w14:textId="77777777" w:rsidR="00223D41" w:rsidRPr="005A2545" w:rsidRDefault="00223D41" w:rsidP="00287451">
            <w:pPr>
              <w:rPr>
                <w:sz w:val="20"/>
                <w:szCs w:val="20"/>
              </w:rPr>
            </w:pPr>
            <w:r w:rsidRPr="005A2545">
              <w:rPr>
                <w:b/>
                <w:sz w:val="20"/>
                <w:szCs w:val="20"/>
              </w:rPr>
              <w:t>Relative change</w:t>
            </w:r>
          </w:p>
        </w:tc>
        <w:tc>
          <w:tcPr>
            <w:tcW w:w="1277" w:type="dxa"/>
            <w:vAlign w:val="center"/>
          </w:tcPr>
          <w:p w14:paraId="242598EA" w14:textId="77777777" w:rsidR="00223D41" w:rsidRPr="005A2545" w:rsidRDefault="00223D41" w:rsidP="00287451">
            <w:pPr>
              <w:jc w:val="center"/>
              <w:rPr>
                <w:sz w:val="20"/>
                <w:szCs w:val="20"/>
              </w:rPr>
            </w:pPr>
            <w:r w:rsidRPr="005A2545">
              <w:rPr>
                <w:sz w:val="20"/>
                <w:szCs w:val="20"/>
              </w:rPr>
              <w:t>+7.9%</w:t>
            </w:r>
          </w:p>
        </w:tc>
        <w:tc>
          <w:tcPr>
            <w:tcW w:w="1277" w:type="dxa"/>
            <w:vAlign w:val="center"/>
          </w:tcPr>
          <w:p w14:paraId="51680EB1" w14:textId="77777777" w:rsidR="00223D41" w:rsidRPr="005A2545" w:rsidRDefault="00223D41" w:rsidP="00287451">
            <w:pPr>
              <w:jc w:val="center"/>
              <w:rPr>
                <w:sz w:val="20"/>
                <w:szCs w:val="20"/>
              </w:rPr>
            </w:pPr>
            <w:r w:rsidRPr="005A2545">
              <w:rPr>
                <w:sz w:val="20"/>
                <w:szCs w:val="20"/>
              </w:rPr>
              <w:t>+6.6%</w:t>
            </w:r>
          </w:p>
        </w:tc>
        <w:tc>
          <w:tcPr>
            <w:tcW w:w="1277" w:type="dxa"/>
            <w:vAlign w:val="center"/>
          </w:tcPr>
          <w:p w14:paraId="2008734B" w14:textId="77777777" w:rsidR="00223D41" w:rsidRPr="005A2545" w:rsidRDefault="00223D41" w:rsidP="00287451">
            <w:pPr>
              <w:jc w:val="center"/>
              <w:rPr>
                <w:sz w:val="20"/>
                <w:szCs w:val="20"/>
              </w:rPr>
            </w:pPr>
            <w:r w:rsidRPr="005A2545">
              <w:rPr>
                <w:sz w:val="20"/>
                <w:szCs w:val="20"/>
              </w:rPr>
              <w:t>+6.8%</w:t>
            </w:r>
          </w:p>
        </w:tc>
        <w:tc>
          <w:tcPr>
            <w:tcW w:w="1277" w:type="dxa"/>
            <w:vAlign w:val="center"/>
          </w:tcPr>
          <w:p w14:paraId="7F3BD9A9" w14:textId="77777777" w:rsidR="00223D41" w:rsidRPr="005A2545" w:rsidRDefault="00223D41" w:rsidP="00287451">
            <w:pPr>
              <w:jc w:val="center"/>
              <w:rPr>
                <w:sz w:val="20"/>
                <w:szCs w:val="20"/>
              </w:rPr>
            </w:pPr>
            <w:r w:rsidRPr="005A2545">
              <w:rPr>
                <w:sz w:val="20"/>
                <w:szCs w:val="20"/>
              </w:rPr>
              <w:t>+8.9%</w:t>
            </w:r>
          </w:p>
        </w:tc>
        <w:tc>
          <w:tcPr>
            <w:tcW w:w="1277" w:type="dxa"/>
            <w:vAlign w:val="center"/>
          </w:tcPr>
          <w:p w14:paraId="361A2B4C" w14:textId="77777777" w:rsidR="00223D41" w:rsidRPr="005A2545" w:rsidRDefault="00223D41" w:rsidP="00287451">
            <w:pPr>
              <w:jc w:val="center"/>
              <w:rPr>
                <w:sz w:val="20"/>
                <w:szCs w:val="20"/>
              </w:rPr>
            </w:pPr>
            <w:r w:rsidRPr="005A2545">
              <w:rPr>
                <w:sz w:val="20"/>
                <w:szCs w:val="20"/>
              </w:rPr>
              <w:t>+8.1%</w:t>
            </w:r>
          </w:p>
        </w:tc>
        <w:tc>
          <w:tcPr>
            <w:tcW w:w="1274" w:type="dxa"/>
            <w:vAlign w:val="center"/>
          </w:tcPr>
          <w:p w14:paraId="24FBC2AD" w14:textId="77777777" w:rsidR="00223D41" w:rsidRPr="005A2545" w:rsidRDefault="00223D41" w:rsidP="00287451">
            <w:pPr>
              <w:jc w:val="center"/>
              <w:rPr>
                <w:sz w:val="20"/>
                <w:szCs w:val="20"/>
              </w:rPr>
            </w:pPr>
            <w:r w:rsidRPr="005A2545">
              <w:rPr>
                <w:sz w:val="20"/>
                <w:szCs w:val="20"/>
              </w:rPr>
              <w:t>+7.4%</w:t>
            </w:r>
          </w:p>
        </w:tc>
      </w:tr>
      <w:tr w:rsidR="00223D41" w:rsidRPr="005A2545" w14:paraId="097454A9" w14:textId="77777777" w:rsidTr="00287451">
        <w:tc>
          <w:tcPr>
            <w:tcW w:w="1699" w:type="dxa"/>
            <w:vAlign w:val="center"/>
          </w:tcPr>
          <w:p w14:paraId="5B843FC7" w14:textId="77777777" w:rsidR="00223D41" w:rsidRPr="005A2545" w:rsidRDefault="00223D41" w:rsidP="00287451">
            <w:pPr>
              <w:rPr>
                <w:sz w:val="20"/>
                <w:szCs w:val="20"/>
              </w:rPr>
            </w:pPr>
            <w:r w:rsidRPr="005A2545">
              <w:rPr>
                <w:b/>
                <w:sz w:val="20"/>
                <w:szCs w:val="20"/>
              </w:rPr>
              <w:t>N</w:t>
            </w:r>
          </w:p>
        </w:tc>
        <w:tc>
          <w:tcPr>
            <w:tcW w:w="1277" w:type="dxa"/>
            <w:vAlign w:val="center"/>
          </w:tcPr>
          <w:p w14:paraId="7B8F9C17" w14:textId="77777777" w:rsidR="00223D41" w:rsidRPr="005A2545" w:rsidRDefault="00223D41" w:rsidP="00287451">
            <w:pPr>
              <w:jc w:val="center"/>
              <w:rPr>
                <w:sz w:val="20"/>
                <w:szCs w:val="20"/>
              </w:rPr>
            </w:pPr>
            <w:r w:rsidRPr="005A2545">
              <w:rPr>
                <w:sz w:val="20"/>
                <w:szCs w:val="20"/>
              </w:rPr>
              <w:t>1,893</w:t>
            </w:r>
          </w:p>
        </w:tc>
        <w:tc>
          <w:tcPr>
            <w:tcW w:w="1277" w:type="dxa"/>
            <w:vAlign w:val="center"/>
          </w:tcPr>
          <w:p w14:paraId="4F6426A6" w14:textId="77777777" w:rsidR="00223D41" w:rsidRPr="005A2545" w:rsidRDefault="00223D41" w:rsidP="00287451">
            <w:pPr>
              <w:jc w:val="center"/>
              <w:rPr>
                <w:sz w:val="20"/>
                <w:szCs w:val="20"/>
              </w:rPr>
            </w:pPr>
            <w:r w:rsidRPr="005A2545">
              <w:rPr>
                <w:sz w:val="20"/>
                <w:szCs w:val="20"/>
              </w:rPr>
              <w:t>1,893</w:t>
            </w:r>
          </w:p>
        </w:tc>
        <w:tc>
          <w:tcPr>
            <w:tcW w:w="1277" w:type="dxa"/>
            <w:vAlign w:val="center"/>
          </w:tcPr>
          <w:p w14:paraId="502B97BA" w14:textId="77777777" w:rsidR="00223D41" w:rsidRPr="005A2545" w:rsidRDefault="00223D41" w:rsidP="00287451">
            <w:pPr>
              <w:jc w:val="center"/>
              <w:rPr>
                <w:sz w:val="20"/>
                <w:szCs w:val="20"/>
              </w:rPr>
            </w:pPr>
            <w:r w:rsidRPr="005A2545">
              <w:rPr>
                <w:sz w:val="20"/>
                <w:szCs w:val="20"/>
              </w:rPr>
              <w:t>1,893</w:t>
            </w:r>
          </w:p>
        </w:tc>
        <w:tc>
          <w:tcPr>
            <w:tcW w:w="1277" w:type="dxa"/>
            <w:vAlign w:val="center"/>
          </w:tcPr>
          <w:p w14:paraId="3368AA37" w14:textId="77777777" w:rsidR="00223D41" w:rsidRPr="005A2545" w:rsidRDefault="00223D41" w:rsidP="00287451">
            <w:pPr>
              <w:jc w:val="center"/>
              <w:rPr>
                <w:sz w:val="20"/>
                <w:szCs w:val="20"/>
              </w:rPr>
            </w:pPr>
            <w:r w:rsidRPr="005A2545">
              <w:rPr>
                <w:sz w:val="20"/>
                <w:szCs w:val="20"/>
              </w:rPr>
              <w:t>2,801</w:t>
            </w:r>
          </w:p>
        </w:tc>
        <w:tc>
          <w:tcPr>
            <w:tcW w:w="1277" w:type="dxa"/>
            <w:vAlign w:val="center"/>
          </w:tcPr>
          <w:p w14:paraId="5156CC2F" w14:textId="77777777" w:rsidR="00223D41" w:rsidRPr="005A2545" w:rsidRDefault="00223D41" w:rsidP="00287451">
            <w:pPr>
              <w:jc w:val="center"/>
              <w:rPr>
                <w:sz w:val="20"/>
                <w:szCs w:val="20"/>
              </w:rPr>
            </w:pPr>
            <w:r w:rsidRPr="005A2545">
              <w:rPr>
                <w:sz w:val="20"/>
                <w:szCs w:val="20"/>
              </w:rPr>
              <w:t>2,801</w:t>
            </w:r>
          </w:p>
        </w:tc>
        <w:tc>
          <w:tcPr>
            <w:tcW w:w="1274" w:type="dxa"/>
            <w:vAlign w:val="center"/>
          </w:tcPr>
          <w:p w14:paraId="09E3F680" w14:textId="77777777" w:rsidR="00223D41" w:rsidRPr="005A2545" w:rsidRDefault="00223D41" w:rsidP="00287451">
            <w:pPr>
              <w:jc w:val="center"/>
              <w:rPr>
                <w:sz w:val="20"/>
                <w:szCs w:val="20"/>
              </w:rPr>
            </w:pPr>
            <w:r w:rsidRPr="005A2545">
              <w:rPr>
                <w:sz w:val="20"/>
                <w:szCs w:val="20"/>
              </w:rPr>
              <w:t>2,801</w:t>
            </w:r>
          </w:p>
        </w:tc>
      </w:tr>
      <w:tr w:rsidR="00223D41" w:rsidRPr="005A2545" w14:paraId="3E33BC5A" w14:textId="77777777" w:rsidTr="00287451">
        <w:tc>
          <w:tcPr>
            <w:tcW w:w="1699" w:type="dxa"/>
            <w:vAlign w:val="center"/>
          </w:tcPr>
          <w:p w14:paraId="4EE087CC" w14:textId="77777777" w:rsidR="00223D41" w:rsidRPr="005A2545" w:rsidRDefault="00223D41" w:rsidP="00287451">
            <w:pPr>
              <w:rPr>
                <w:sz w:val="20"/>
                <w:szCs w:val="20"/>
              </w:rPr>
            </w:pPr>
            <w:r w:rsidRPr="005A2545">
              <w:rPr>
                <w:b/>
                <w:sz w:val="20"/>
                <w:szCs w:val="20"/>
              </w:rPr>
              <w:t>R2</w:t>
            </w:r>
          </w:p>
        </w:tc>
        <w:tc>
          <w:tcPr>
            <w:tcW w:w="1277" w:type="dxa"/>
            <w:vAlign w:val="center"/>
          </w:tcPr>
          <w:p w14:paraId="16C683FD" w14:textId="77777777" w:rsidR="00223D41" w:rsidRPr="005A2545" w:rsidRDefault="00223D41" w:rsidP="00287451">
            <w:pPr>
              <w:jc w:val="center"/>
              <w:rPr>
                <w:sz w:val="20"/>
                <w:szCs w:val="20"/>
              </w:rPr>
            </w:pPr>
            <w:r w:rsidRPr="005A2545">
              <w:rPr>
                <w:sz w:val="20"/>
                <w:szCs w:val="20"/>
              </w:rPr>
              <w:t>0.560</w:t>
            </w:r>
          </w:p>
        </w:tc>
        <w:tc>
          <w:tcPr>
            <w:tcW w:w="1277" w:type="dxa"/>
            <w:vAlign w:val="center"/>
          </w:tcPr>
          <w:p w14:paraId="58C24372" w14:textId="77777777" w:rsidR="00223D41" w:rsidRPr="005A2545" w:rsidRDefault="00223D41" w:rsidP="00287451">
            <w:pPr>
              <w:jc w:val="center"/>
              <w:rPr>
                <w:sz w:val="20"/>
                <w:szCs w:val="20"/>
              </w:rPr>
            </w:pPr>
            <w:r w:rsidRPr="005A2545">
              <w:rPr>
                <w:sz w:val="20"/>
                <w:szCs w:val="20"/>
              </w:rPr>
              <w:t>0.559</w:t>
            </w:r>
          </w:p>
        </w:tc>
        <w:tc>
          <w:tcPr>
            <w:tcW w:w="1277" w:type="dxa"/>
            <w:vAlign w:val="center"/>
          </w:tcPr>
          <w:p w14:paraId="2FA251A5" w14:textId="77777777" w:rsidR="00223D41" w:rsidRPr="005A2545" w:rsidRDefault="00223D41" w:rsidP="00287451">
            <w:pPr>
              <w:jc w:val="center"/>
              <w:rPr>
                <w:sz w:val="20"/>
                <w:szCs w:val="20"/>
              </w:rPr>
            </w:pPr>
            <w:r w:rsidRPr="005A2545">
              <w:rPr>
                <w:sz w:val="20"/>
                <w:szCs w:val="20"/>
              </w:rPr>
              <w:t>0.559</w:t>
            </w:r>
          </w:p>
        </w:tc>
        <w:tc>
          <w:tcPr>
            <w:tcW w:w="1277" w:type="dxa"/>
            <w:vAlign w:val="center"/>
          </w:tcPr>
          <w:p w14:paraId="0122E9A2" w14:textId="77777777" w:rsidR="00223D41" w:rsidRPr="005A2545" w:rsidRDefault="00223D41" w:rsidP="00287451">
            <w:pPr>
              <w:jc w:val="center"/>
              <w:rPr>
                <w:sz w:val="20"/>
                <w:szCs w:val="20"/>
              </w:rPr>
            </w:pPr>
            <w:r w:rsidRPr="005A2545">
              <w:rPr>
                <w:sz w:val="20"/>
                <w:szCs w:val="20"/>
              </w:rPr>
              <w:t>0.517</w:t>
            </w:r>
          </w:p>
        </w:tc>
        <w:tc>
          <w:tcPr>
            <w:tcW w:w="1277" w:type="dxa"/>
            <w:vAlign w:val="center"/>
          </w:tcPr>
          <w:p w14:paraId="3369924A" w14:textId="77777777" w:rsidR="00223D41" w:rsidRPr="005A2545" w:rsidRDefault="00223D41" w:rsidP="00287451">
            <w:pPr>
              <w:jc w:val="center"/>
              <w:rPr>
                <w:sz w:val="20"/>
                <w:szCs w:val="20"/>
              </w:rPr>
            </w:pPr>
            <w:r w:rsidRPr="005A2545">
              <w:rPr>
                <w:sz w:val="20"/>
                <w:szCs w:val="20"/>
              </w:rPr>
              <w:t>0.516</w:t>
            </w:r>
          </w:p>
        </w:tc>
        <w:tc>
          <w:tcPr>
            <w:tcW w:w="1274" w:type="dxa"/>
            <w:vAlign w:val="center"/>
          </w:tcPr>
          <w:p w14:paraId="741E01B0" w14:textId="77777777" w:rsidR="00223D41" w:rsidRPr="005A2545" w:rsidRDefault="00223D41" w:rsidP="00287451">
            <w:pPr>
              <w:jc w:val="center"/>
              <w:rPr>
                <w:sz w:val="20"/>
                <w:szCs w:val="20"/>
              </w:rPr>
            </w:pPr>
            <w:r w:rsidRPr="005A2545">
              <w:rPr>
                <w:sz w:val="20"/>
                <w:szCs w:val="20"/>
              </w:rPr>
              <w:t>0.516</w:t>
            </w:r>
          </w:p>
        </w:tc>
      </w:tr>
    </w:tbl>
    <w:p w14:paraId="6D92E3C9" w14:textId="47D5E37C" w:rsidR="00223D41" w:rsidRDefault="00223D41" w:rsidP="00E333AB">
      <w:pPr>
        <w:pStyle w:val="Caption"/>
        <w:rPr>
          <w:rFonts w:ascii="Times New Roman" w:hAnsi="Times New Roman" w:cs="Times New Roman"/>
          <w:color w:val="505050"/>
          <w:sz w:val="20"/>
          <w:szCs w:val="20"/>
        </w:rPr>
      </w:pPr>
      <w:r w:rsidRPr="005A2545">
        <w:rPr>
          <w:rFonts w:ascii="Times New Roman" w:hAnsi="Times New Roman" w:cs="Times New Roman"/>
          <w:color w:val="505050"/>
          <w:sz w:val="20"/>
          <w:szCs w:val="20"/>
        </w:rPr>
        <w:t>Columns combine CPC broad and WIPO broad definitions. N is reported as a row for each column-specific estimation sample.</w:t>
      </w:r>
    </w:p>
    <w:p w14:paraId="4E45B22F" w14:textId="77777777" w:rsidR="00E333AB" w:rsidRPr="00E333AB" w:rsidRDefault="00E333AB" w:rsidP="00E333AB"/>
    <w:p w14:paraId="1D23CB63" w14:textId="12CA8EC2" w:rsidR="00223D41" w:rsidRPr="00E93EC8" w:rsidRDefault="00223D41" w:rsidP="00E93EC8">
      <w:pPr>
        <w:pStyle w:val="Heading3"/>
        <w:jc w:val="center"/>
        <w:rPr>
          <w:rFonts w:cs="Times New Roman"/>
          <w:b/>
          <w:bCs/>
          <w:color w:val="auto"/>
          <w:sz w:val="24"/>
          <w:szCs w:val="24"/>
        </w:rPr>
      </w:pPr>
      <w:r w:rsidRPr="00E93EC8">
        <w:rPr>
          <w:rFonts w:cs="Times New Roman"/>
          <w:b/>
          <w:bCs/>
          <w:color w:val="auto"/>
          <w:sz w:val="24"/>
          <w:szCs w:val="24"/>
        </w:rPr>
        <w:t>Table 9: CPC/WIPO Statutory Chart in Software Samples at AI Tier 50%</w:t>
      </w:r>
    </w:p>
    <w:tbl>
      <w:tblPr>
        <w:tblStyle w:val="TableGrid"/>
        <w:tblW w:w="9360" w:type="dxa"/>
        <w:tblLayout w:type="fixed"/>
        <w:tblLook w:val="04A0" w:firstRow="1" w:lastRow="0" w:firstColumn="1" w:lastColumn="0" w:noHBand="0" w:noVBand="1"/>
      </w:tblPr>
      <w:tblGrid>
        <w:gridCol w:w="1944"/>
        <w:gridCol w:w="1224"/>
        <w:gridCol w:w="1224"/>
        <w:gridCol w:w="1224"/>
        <w:gridCol w:w="1224"/>
        <w:gridCol w:w="1260"/>
        <w:gridCol w:w="1260"/>
      </w:tblGrid>
      <w:tr w:rsidR="00223D41" w:rsidRPr="005A2545" w14:paraId="515E9A42" w14:textId="77777777" w:rsidTr="00287451">
        <w:tc>
          <w:tcPr>
            <w:tcW w:w="1944" w:type="dxa"/>
            <w:shd w:val="clear" w:color="auto" w:fill="F2F2F2"/>
            <w:vAlign w:val="center"/>
          </w:tcPr>
          <w:p w14:paraId="013E4D64" w14:textId="77777777" w:rsidR="00223D41" w:rsidRPr="005A2545" w:rsidRDefault="00223D41" w:rsidP="00287451">
            <w:pPr>
              <w:jc w:val="center"/>
              <w:rPr>
                <w:sz w:val="20"/>
                <w:szCs w:val="20"/>
              </w:rPr>
            </w:pPr>
            <w:r w:rsidRPr="005A2545">
              <w:rPr>
                <w:b/>
                <w:sz w:val="20"/>
                <w:szCs w:val="20"/>
              </w:rPr>
              <w:t>Reference / Statistic</w:t>
            </w:r>
          </w:p>
        </w:tc>
        <w:tc>
          <w:tcPr>
            <w:tcW w:w="1224" w:type="dxa"/>
            <w:shd w:val="clear" w:color="auto" w:fill="F2F2F2"/>
            <w:vAlign w:val="center"/>
          </w:tcPr>
          <w:p w14:paraId="4E2BA030" w14:textId="77777777" w:rsidR="00223D41" w:rsidRPr="005A2545" w:rsidRDefault="00223D41" w:rsidP="00287451">
            <w:pPr>
              <w:jc w:val="center"/>
              <w:rPr>
                <w:sz w:val="20"/>
                <w:szCs w:val="20"/>
              </w:rPr>
            </w:pPr>
            <w:r w:rsidRPr="005A2545">
              <w:rPr>
                <w:b/>
                <w:sz w:val="20"/>
                <w:szCs w:val="20"/>
              </w:rPr>
              <w:t>S101</w:t>
            </w:r>
            <w:r w:rsidRPr="005A2545">
              <w:rPr>
                <w:sz w:val="20"/>
                <w:szCs w:val="20"/>
              </w:rPr>
              <w:br/>
            </w:r>
            <w:r w:rsidRPr="005A2545">
              <w:rPr>
                <w:b/>
                <w:sz w:val="20"/>
                <w:szCs w:val="20"/>
              </w:rPr>
              <w:t>Subject Matter</w:t>
            </w:r>
          </w:p>
        </w:tc>
        <w:tc>
          <w:tcPr>
            <w:tcW w:w="1224" w:type="dxa"/>
            <w:shd w:val="clear" w:color="auto" w:fill="F2F2F2"/>
            <w:vAlign w:val="center"/>
          </w:tcPr>
          <w:p w14:paraId="7AAD2761" w14:textId="77777777" w:rsidR="00223D41" w:rsidRPr="005A2545" w:rsidRDefault="00223D41" w:rsidP="00287451">
            <w:pPr>
              <w:jc w:val="center"/>
              <w:rPr>
                <w:sz w:val="20"/>
                <w:szCs w:val="20"/>
              </w:rPr>
            </w:pPr>
            <w:r w:rsidRPr="005A2545">
              <w:rPr>
                <w:b/>
                <w:sz w:val="20"/>
                <w:szCs w:val="20"/>
              </w:rPr>
              <w:t>S102</w:t>
            </w:r>
            <w:r w:rsidRPr="005A2545">
              <w:rPr>
                <w:sz w:val="20"/>
                <w:szCs w:val="20"/>
              </w:rPr>
              <w:br/>
            </w:r>
            <w:r w:rsidRPr="005A2545">
              <w:rPr>
                <w:b/>
                <w:sz w:val="20"/>
                <w:szCs w:val="20"/>
              </w:rPr>
              <w:t>Anticipation</w:t>
            </w:r>
          </w:p>
        </w:tc>
        <w:tc>
          <w:tcPr>
            <w:tcW w:w="1224" w:type="dxa"/>
            <w:shd w:val="clear" w:color="auto" w:fill="F2F2F2"/>
            <w:vAlign w:val="center"/>
          </w:tcPr>
          <w:p w14:paraId="5FCCA6A7" w14:textId="77777777" w:rsidR="00223D41" w:rsidRPr="005A2545" w:rsidRDefault="00223D41" w:rsidP="00287451">
            <w:pPr>
              <w:jc w:val="center"/>
              <w:rPr>
                <w:sz w:val="20"/>
                <w:szCs w:val="20"/>
              </w:rPr>
            </w:pPr>
            <w:r w:rsidRPr="005A2545">
              <w:rPr>
                <w:b/>
                <w:sz w:val="20"/>
                <w:szCs w:val="20"/>
              </w:rPr>
              <w:t>S103</w:t>
            </w:r>
            <w:r w:rsidRPr="005A2545">
              <w:rPr>
                <w:sz w:val="20"/>
                <w:szCs w:val="20"/>
              </w:rPr>
              <w:br/>
            </w:r>
            <w:r w:rsidRPr="005A2545">
              <w:rPr>
                <w:b/>
                <w:sz w:val="20"/>
                <w:szCs w:val="20"/>
              </w:rPr>
              <w:t>Obviousness</w:t>
            </w:r>
          </w:p>
        </w:tc>
        <w:tc>
          <w:tcPr>
            <w:tcW w:w="1224" w:type="dxa"/>
            <w:shd w:val="clear" w:color="auto" w:fill="F2F2F2"/>
            <w:vAlign w:val="center"/>
          </w:tcPr>
          <w:p w14:paraId="49223C98" w14:textId="77777777" w:rsidR="00223D41" w:rsidRPr="005A2545" w:rsidRDefault="00223D41" w:rsidP="00287451">
            <w:pPr>
              <w:jc w:val="center"/>
              <w:rPr>
                <w:sz w:val="20"/>
                <w:szCs w:val="20"/>
              </w:rPr>
            </w:pPr>
            <w:r w:rsidRPr="005A2545">
              <w:rPr>
                <w:b/>
                <w:sz w:val="20"/>
                <w:szCs w:val="20"/>
              </w:rPr>
              <w:t>S112</w:t>
            </w:r>
            <w:r w:rsidRPr="005A2545">
              <w:rPr>
                <w:sz w:val="20"/>
                <w:szCs w:val="20"/>
              </w:rPr>
              <w:br/>
            </w:r>
            <w:r w:rsidRPr="005A2545">
              <w:rPr>
                <w:b/>
                <w:sz w:val="20"/>
                <w:szCs w:val="20"/>
              </w:rPr>
              <w:t>Written Desc.</w:t>
            </w:r>
          </w:p>
        </w:tc>
        <w:tc>
          <w:tcPr>
            <w:tcW w:w="1260" w:type="dxa"/>
            <w:shd w:val="clear" w:color="auto" w:fill="F2F2F2"/>
            <w:vAlign w:val="center"/>
          </w:tcPr>
          <w:p w14:paraId="417B6A96" w14:textId="77777777" w:rsidR="00223D41" w:rsidRPr="005A2545" w:rsidRDefault="00223D41" w:rsidP="00287451">
            <w:pPr>
              <w:jc w:val="center"/>
              <w:rPr>
                <w:sz w:val="20"/>
                <w:szCs w:val="20"/>
              </w:rPr>
            </w:pPr>
            <w:r w:rsidRPr="005A2545">
              <w:rPr>
                <w:b/>
                <w:sz w:val="20"/>
                <w:szCs w:val="20"/>
              </w:rPr>
              <w:t>S112</w:t>
            </w:r>
            <w:r w:rsidRPr="005A2545">
              <w:rPr>
                <w:sz w:val="20"/>
                <w:szCs w:val="20"/>
              </w:rPr>
              <w:br/>
            </w:r>
            <w:r w:rsidRPr="005A2545">
              <w:rPr>
                <w:b/>
                <w:sz w:val="20"/>
                <w:szCs w:val="20"/>
              </w:rPr>
              <w:t>Enablement</w:t>
            </w:r>
          </w:p>
        </w:tc>
        <w:tc>
          <w:tcPr>
            <w:tcW w:w="1260" w:type="dxa"/>
            <w:shd w:val="clear" w:color="auto" w:fill="F2F2F2"/>
            <w:vAlign w:val="center"/>
          </w:tcPr>
          <w:p w14:paraId="36B4CE64" w14:textId="77777777" w:rsidR="00223D41" w:rsidRPr="005A2545" w:rsidRDefault="00223D41" w:rsidP="00287451">
            <w:pPr>
              <w:jc w:val="center"/>
              <w:rPr>
                <w:sz w:val="20"/>
                <w:szCs w:val="20"/>
              </w:rPr>
            </w:pPr>
            <w:r w:rsidRPr="005A2545">
              <w:rPr>
                <w:b/>
                <w:sz w:val="20"/>
                <w:szCs w:val="20"/>
              </w:rPr>
              <w:t>S112</w:t>
            </w:r>
            <w:r w:rsidRPr="005A2545">
              <w:rPr>
                <w:sz w:val="20"/>
                <w:szCs w:val="20"/>
              </w:rPr>
              <w:br/>
            </w:r>
            <w:r w:rsidRPr="005A2545">
              <w:rPr>
                <w:b/>
                <w:sz w:val="20"/>
                <w:szCs w:val="20"/>
              </w:rPr>
              <w:t>Definiteness</w:t>
            </w:r>
          </w:p>
        </w:tc>
      </w:tr>
      <w:tr w:rsidR="00223D41" w:rsidRPr="005A2545" w14:paraId="53B2A128" w14:textId="77777777" w:rsidTr="00287451">
        <w:tc>
          <w:tcPr>
            <w:tcW w:w="1944" w:type="dxa"/>
            <w:vAlign w:val="center"/>
          </w:tcPr>
          <w:p w14:paraId="3550BE34" w14:textId="77777777" w:rsidR="00223D41" w:rsidRPr="005A2545" w:rsidRDefault="00223D41" w:rsidP="00287451">
            <w:pPr>
              <w:rPr>
                <w:sz w:val="20"/>
                <w:szCs w:val="20"/>
              </w:rPr>
            </w:pPr>
            <w:r w:rsidRPr="005A2545">
              <w:rPr>
                <w:b/>
                <w:sz w:val="20"/>
                <w:szCs w:val="20"/>
              </w:rPr>
              <w:t>CPC - AI coefficient</w:t>
            </w:r>
          </w:p>
        </w:tc>
        <w:tc>
          <w:tcPr>
            <w:tcW w:w="1224" w:type="dxa"/>
            <w:vAlign w:val="center"/>
          </w:tcPr>
          <w:p w14:paraId="759D9DC4" w14:textId="77777777" w:rsidR="00223D41" w:rsidRPr="005A2545" w:rsidRDefault="00223D41" w:rsidP="00287451">
            <w:pPr>
              <w:jc w:val="center"/>
              <w:rPr>
                <w:sz w:val="20"/>
                <w:szCs w:val="20"/>
              </w:rPr>
            </w:pPr>
            <w:r w:rsidRPr="005A2545">
              <w:rPr>
                <w:sz w:val="20"/>
                <w:szCs w:val="20"/>
              </w:rPr>
              <w:t>+6.88***</w:t>
            </w:r>
            <w:r w:rsidRPr="005A2545">
              <w:rPr>
                <w:sz w:val="20"/>
                <w:szCs w:val="20"/>
              </w:rPr>
              <w:br/>
              <w:t>(1.99)</w:t>
            </w:r>
          </w:p>
        </w:tc>
        <w:tc>
          <w:tcPr>
            <w:tcW w:w="1224" w:type="dxa"/>
            <w:vAlign w:val="center"/>
          </w:tcPr>
          <w:p w14:paraId="3ABA4FFB" w14:textId="77777777" w:rsidR="00223D41" w:rsidRPr="005A2545" w:rsidRDefault="00223D41" w:rsidP="00287451">
            <w:pPr>
              <w:jc w:val="center"/>
              <w:rPr>
                <w:sz w:val="20"/>
                <w:szCs w:val="20"/>
              </w:rPr>
            </w:pPr>
            <w:r w:rsidRPr="005A2545">
              <w:rPr>
                <w:sz w:val="20"/>
                <w:szCs w:val="20"/>
              </w:rPr>
              <w:t>+0.79</w:t>
            </w:r>
            <w:r w:rsidRPr="005A2545">
              <w:rPr>
                <w:sz w:val="20"/>
                <w:szCs w:val="20"/>
              </w:rPr>
              <w:br/>
              <w:t>(1.47)</w:t>
            </w:r>
          </w:p>
        </w:tc>
        <w:tc>
          <w:tcPr>
            <w:tcW w:w="1224" w:type="dxa"/>
            <w:vAlign w:val="center"/>
          </w:tcPr>
          <w:p w14:paraId="189B19B1" w14:textId="77777777" w:rsidR="00223D41" w:rsidRPr="005A2545" w:rsidRDefault="00223D41" w:rsidP="00287451">
            <w:pPr>
              <w:jc w:val="center"/>
              <w:rPr>
                <w:sz w:val="20"/>
                <w:szCs w:val="20"/>
              </w:rPr>
            </w:pPr>
            <w:r w:rsidRPr="005A2545">
              <w:rPr>
                <w:sz w:val="20"/>
                <w:szCs w:val="20"/>
              </w:rPr>
              <w:t>-2.35*</w:t>
            </w:r>
            <w:r w:rsidRPr="005A2545">
              <w:rPr>
                <w:sz w:val="20"/>
                <w:szCs w:val="20"/>
              </w:rPr>
              <w:br/>
              <w:t>(1.20)</w:t>
            </w:r>
          </w:p>
        </w:tc>
        <w:tc>
          <w:tcPr>
            <w:tcW w:w="1224" w:type="dxa"/>
            <w:vAlign w:val="center"/>
          </w:tcPr>
          <w:p w14:paraId="1135560C" w14:textId="77777777" w:rsidR="00223D41" w:rsidRPr="005A2545" w:rsidRDefault="00223D41" w:rsidP="00287451">
            <w:pPr>
              <w:jc w:val="center"/>
              <w:rPr>
                <w:sz w:val="20"/>
                <w:szCs w:val="20"/>
              </w:rPr>
            </w:pPr>
            <w:r w:rsidRPr="005A2545">
              <w:rPr>
                <w:sz w:val="20"/>
                <w:szCs w:val="20"/>
              </w:rPr>
              <w:t>-1.98*</w:t>
            </w:r>
            <w:r w:rsidRPr="005A2545">
              <w:rPr>
                <w:sz w:val="20"/>
                <w:szCs w:val="20"/>
              </w:rPr>
              <w:br/>
              <w:t>(1.06)</w:t>
            </w:r>
          </w:p>
        </w:tc>
        <w:tc>
          <w:tcPr>
            <w:tcW w:w="1260" w:type="dxa"/>
            <w:vAlign w:val="center"/>
          </w:tcPr>
          <w:p w14:paraId="4632CD6C" w14:textId="77777777" w:rsidR="00223D41" w:rsidRPr="005A2545" w:rsidRDefault="00223D41" w:rsidP="00287451">
            <w:pPr>
              <w:jc w:val="center"/>
              <w:rPr>
                <w:sz w:val="20"/>
                <w:szCs w:val="20"/>
              </w:rPr>
            </w:pPr>
            <w:r w:rsidRPr="005A2545">
              <w:rPr>
                <w:sz w:val="20"/>
                <w:szCs w:val="20"/>
              </w:rPr>
              <w:t>+0.55</w:t>
            </w:r>
            <w:r w:rsidRPr="005A2545">
              <w:rPr>
                <w:sz w:val="20"/>
                <w:szCs w:val="20"/>
              </w:rPr>
              <w:br/>
              <w:t>(0.66)</w:t>
            </w:r>
          </w:p>
        </w:tc>
        <w:tc>
          <w:tcPr>
            <w:tcW w:w="1260" w:type="dxa"/>
            <w:vAlign w:val="center"/>
          </w:tcPr>
          <w:p w14:paraId="25FF7184" w14:textId="77777777" w:rsidR="00223D41" w:rsidRPr="005A2545" w:rsidRDefault="00223D41" w:rsidP="00287451">
            <w:pPr>
              <w:jc w:val="center"/>
              <w:rPr>
                <w:sz w:val="20"/>
                <w:szCs w:val="20"/>
              </w:rPr>
            </w:pPr>
            <w:r w:rsidRPr="005A2545">
              <w:rPr>
                <w:sz w:val="20"/>
                <w:szCs w:val="20"/>
              </w:rPr>
              <w:t>-1.45</w:t>
            </w:r>
            <w:r w:rsidRPr="005A2545">
              <w:rPr>
                <w:sz w:val="20"/>
                <w:szCs w:val="20"/>
              </w:rPr>
              <w:br/>
              <w:t>(2.15)</w:t>
            </w:r>
          </w:p>
        </w:tc>
      </w:tr>
      <w:tr w:rsidR="00223D41" w:rsidRPr="005A2545" w14:paraId="5C707AC2" w14:textId="77777777" w:rsidTr="00287451">
        <w:tc>
          <w:tcPr>
            <w:tcW w:w="1944" w:type="dxa"/>
            <w:vAlign w:val="center"/>
          </w:tcPr>
          <w:p w14:paraId="06DD4AF6" w14:textId="77777777" w:rsidR="00223D41" w:rsidRPr="005A2545" w:rsidRDefault="00223D41" w:rsidP="00287451">
            <w:pPr>
              <w:rPr>
                <w:sz w:val="20"/>
                <w:szCs w:val="20"/>
              </w:rPr>
            </w:pPr>
            <w:r w:rsidRPr="005A2545">
              <w:rPr>
                <w:b/>
                <w:sz w:val="20"/>
                <w:szCs w:val="20"/>
              </w:rPr>
              <w:t>CPC - Alpha</w:t>
            </w:r>
          </w:p>
        </w:tc>
        <w:tc>
          <w:tcPr>
            <w:tcW w:w="1224" w:type="dxa"/>
            <w:vAlign w:val="center"/>
          </w:tcPr>
          <w:p w14:paraId="72916128" w14:textId="77777777" w:rsidR="00223D41" w:rsidRPr="005A2545" w:rsidRDefault="00223D41" w:rsidP="00287451">
            <w:pPr>
              <w:jc w:val="center"/>
              <w:rPr>
                <w:sz w:val="20"/>
                <w:szCs w:val="20"/>
              </w:rPr>
            </w:pPr>
            <w:r w:rsidRPr="005A2545">
              <w:rPr>
                <w:sz w:val="20"/>
                <w:szCs w:val="20"/>
              </w:rPr>
              <w:t>0.01</w:t>
            </w:r>
          </w:p>
        </w:tc>
        <w:tc>
          <w:tcPr>
            <w:tcW w:w="1224" w:type="dxa"/>
            <w:vAlign w:val="center"/>
          </w:tcPr>
          <w:p w14:paraId="4E4938A9" w14:textId="77777777" w:rsidR="00223D41" w:rsidRPr="005A2545" w:rsidRDefault="00223D41" w:rsidP="00287451">
            <w:pPr>
              <w:jc w:val="center"/>
              <w:rPr>
                <w:sz w:val="20"/>
                <w:szCs w:val="20"/>
              </w:rPr>
            </w:pPr>
            <w:r w:rsidRPr="005A2545">
              <w:rPr>
                <w:sz w:val="20"/>
                <w:szCs w:val="20"/>
              </w:rPr>
              <w:t>n.s.</w:t>
            </w:r>
          </w:p>
        </w:tc>
        <w:tc>
          <w:tcPr>
            <w:tcW w:w="1224" w:type="dxa"/>
            <w:vAlign w:val="center"/>
          </w:tcPr>
          <w:p w14:paraId="6A0F9245" w14:textId="77777777" w:rsidR="00223D41" w:rsidRPr="005A2545" w:rsidRDefault="00223D41" w:rsidP="00287451">
            <w:pPr>
              <w:jc w:val="center"/>
              <w:rPr>
                <w:sz w:val="20"/>
                <w:szCs w:val="20"/>
              </w:rPr>
            </w:pPr>
            <w:r w:rsidRPr="005A2545">
              <w:rPr>
                <w:sz w:val="20"/>
                <w:szCs w:val="20"/>
              </w:rPr>
              <w:t>0.10</w:t>
            </w:r>
          </w:p>
        </w:tc>
        <w:tc>
          <w:tcPr>
            <w:tcW w:w="1224" w:type="dxa"/>
            <w:vAlign w:val="center"/>
          </w:tcPr>
          <w:p w14:paraId="726B49F7" w14:textId="77777777" w:rsidR="00223D41" w:rsidRPr="005A2545" w:rsidRDefault="00223D41" w:rsidP="00287451">
            <w:pPr>
              <w:jc w:val="center"/>
              <w:rPr>
                <w:sz w:val="20"/>
                <w:szCs w:val="20"/>
              </w:rPr>
            </w:pPr>
            <w:r w:rsidRPr="005A2545">
              <w:rPr>
                <w:sz w:val="20"/>
                <w:szCs w:val="20"/>
              </w:rPr>
              <w:t>0.10</w:t>
            </w:r>
          </w:p>
        </w:tc>
        <w:tc>
          <w:tcPr>
            <w:tcW w:w="1260" w:type="dxa"/>
            <w:vAlign w:val="center"/>
          </w:tcPr>
          <w:p w14:paraId="19016DF6" w14:textId="77777777" w:rsidR="00223D41" w:rsidRPr="005A2545" w:rsidRDefault="00223D41" w:rsidP="00287451">
            <w:pPr>
              <w:jc w:val="center"/>
              <w:rPr>
                <w:sz w:val="20"/>
                <w:szCs w:val="20"/>
              </w:rPr>
            </w:pPr>
            <w:r w:rsidRPr="005A2545">
              <w:rPr>
                <w:sz w:val="20"/>
                <w:szCs w:val="20"/>
              </w:rPr>
              <w:t>n.s.</w:t>
            </w:r>
          </w:p>
        </w:tc>
        <w:tc>
          <w:tcPr>
            <w:tcW w:w="1260" w:type="dxa"/>
            <w:vAlign w:val="center"/>
          </w:tcPr>
          <w:p w14:paraId="66E43920" w14:textId="77777777" w:rsidR="00223D41" w:rsidRPr="005A2545" w:rsidRDefault="00223D41" w:rsidP="00287451">
            <w:pPr>
              <w:jc w:val="center"/>
              <w:rPr>
                <w:sz w:val="20"/>
                <w:szCs w:val="20"/>
              </w:rPr>
            </w:pPr>
            <w:r w:rsidRPr="005A2545">
              <w:rPr>
                <w:sz w:val="20"/>
                <w:szCs w:val="20"/>
              </w:rPr>
              <w:t>n.s.</w:t>
            </w:r>
          </w:p>
        </w:tc>
      </w:tr>
      <w:tr w:rsidR="00223D41" w:rsidRPr="005A2545" w14:paraId="3DCDF421" w14:textId="77777777" w:rsidTr="00287451">
        <w:tc>
          <w:tcPr>
            <w:tcW w:w="1944" w:type="dxa"/>
            <w:vAlign w:val="center"/>
          </w:tcPr>
          <w:p w14:paraId="62224129" w14:textId="77777777" w:rsidR="00223D41" w:rsidRPr="005A2545" w:rsidRDefault="00223D41" w:rsidP="00287451">
            <w:pPr>
              <w:rPr>
                <w:sz w:val="20"/>
                <w:szCs w:val="20"/>
              </w:rPr>
            </w:pPr>
            <w:r w:rsidRPr="005A2545">
              <w:rPr>
                <w:b/>
                <w:sz w:val="20"/>
                <w:szCs w:val="20"/>
              </w:rPr>
              <w:t>CPC - Pr(non-AI)</w:t>
            </w:r>
          </w:p>
        </w:tc>
        <w:tc>
          <w:tcPr>
            <w:tcW w:w="1224" w:type="dxa"/>
            <w:vAlign w:val="center"/>
          </w:tcPr>
          <w:p w14:paraId="572AB62F" w14:textId="77777777" w:rsidR="00223D41" w:rsidRPr="005A2545" w:rsidRDefault="00223D41" w:rsidP="00287451">
            <w:pPr>
              <w:jc w:val="center"/>
              <w:rPr>
                <w:sz w:val="20"/>
                <w:szCs w:val="20"/>
              </w:rPr>
            </w:pPr>
            <w:r w:rsidRPr="005A2545">
              <w:rPr>
                <w:sz w:val="20"/>
                <w:szCs w:val="20"/>
              </w:rPr>
              <w:t>57.9%</w:t>
            </w:r>
          </w:p>
        </w:tc>
        <w:tc>
          <w:tcPr>
            <w:tcW w:w="1224" w:type="dxa"/>
            <w:vAlign w:val="center"/>
          </w:tcPr>
          <w:p w14:paraId="1C9BFF52" w14:textId="77777777" w:rsidR="00223D41" w:rsidRPr="005A2545" w:rsidRDefault="00223D41" w:rsidP="00287451">
            <w:pPr>
              <w:jc w:val="center"/>
              <w:rPr>
                <w:sz w:val="20"/>
                <w:szCs w:val="20"/>
              </w:rPr>
            </w:pPr>
            <w:r w:rsidRPr="005A2545">
              <w:rPr>
                <w:sz w:val="20"/>
                <w:szCs w:val="20"/>
              </w:rPr>
              <w:t>9.7%</w:t>
            </w:r>
          </w:p>
        </w:tc>
        <w:tc>
          <w:tcPr>
            <w:tcW w:w="1224" w:type="dxa"/>
            <w:vAlign w:val="center"/>
          </w:tcPr>
          <w:p w14:paraId="279EA2E4" w14:textId="77777777" w:rsidR="00223D41" w:rsidRPr="005A2545" w:rsidRDefault="00223D41" w:rsidP="00287451">
            <w:pPr>
              <w:jc w:val="center"/>
              <w:rPr>
                <w:sz w:val="20"/>
                <w:szCs w:val="20"/>
              </w:rPr>
            </w:pPr>
            <w:r w:rsidRPr="005A2545">
              <w:rPr>
                <w:sz w:val="20"/>
                <w:szCs w:val="20"/>
              </w:rPr>
              <w:t>7.6%</w:t>
            </w:r>
          </w:p>
        </w:tc>
        <w:tc>
          <w:tcPr>
            <w:tcW w:w="1224" w:type="dxa"/>
            <w:vAlign w:val="center"/>
          </w:tcPr>
          <w:p w14:paraId="0BDBBDDA" w14:textId="77777777" w:rsidR="00223D41" w:rsidRPr="005A2545" w:rsidRDefault="00223D41" w:rsidP="00287451">
            <w:pPr>
              <w:jc w:val="center"/>
              <w:rPr>
                <w:sz w:val="20"/>
                <w:szCs w:val="20"/>
              </w:rPr>
            </w:pPr>
            <w:r w:rsidRPr="005A2545">
              <w:rPr>
                <w:sz w:val="20"/>
                <w:szCs w:val="20"/>
              </w:rPr>
              <w:t>3.9%</w:t>
            </w:r>
          </w:p>
        </w:tc>
        <w:tc>
          <w:tcPr>
            <w:tcW w:w="1260" w:type="dxa"/>
            <w:vAlign w:val="center"/>
          </w:tcPr>
          <w:p w14:paraId="080F1071" w14:textId="77777777" w:rsidR="00223D41" w:rsidRPr="005A2545" w:rsidRDefault="00223D41" w:rsidP="00287451">
            <w:pPr>
              <w:jc w:val="center"/>
              <w:rPr>
                <w:sz w:val="20"/>
                <w:szCs w:val="20"/>
              </w:rPr>
            </w:pPr>
            <w:r w:rsidRPr="005A2545">
              <w:rPr>
                <w:sz w:val="20"/>
                <w:szCs w:val="20"/>
              </w:rPr>
              <w:t>1.2%</w:t>
            </w:r>
          </w:p>
        </w:tc>
        <w:tc>
          <w:tcPr>
            <w:tcW w:w="1260" w:type="dxa"/>
            <w:vAlign w:val="center"/>
          </w:tcPr>
          <w:p w14:paraId="44F67406" w14:textId="77777777" w:rsidR="00223D41" w:rsidRPr="005A2545" w:rsidRDefault="00223D41" w:rsidP="00287451">
            <w:pPr>
              <w:jc w:val="center"/>
              <w:rPr>
                <w:sz w:val="20"/>
                <w:szCs w:val="20"/>
              </w:rPr>
            </w:pPr>
            <w:r w:rsidRPr="005A2545">
              <w:rPr>
                <w:sz w:val="20"/>
                <w:szCs w:val="20"/>
              </w:rPr>
              <w:t>24.3%</w:t>
            </w:r>
          </w:p>
        </w:tc>
      </w:tr>
      <w:tr w:rsidR="00223D41" w:rsidRPr="005A2545" w14:paraId="49F3CBFE" w14:textId="77777777" w:rsidTr="00287451">
        <w:tc>
          <w:tcPr>
            <w:tcW w:w="1944" w:type="dxa"/>
            <w:vAlign w:val="center"/>
          </w:tcPr>
          <w:p w14:paraId="211B69AF" w14:textId="77777777" w:rsidR="00223D41" w:rsidRPr="005A2545" w:rsidRDefault="00223D41" w:rsidP="00287451">
            <w:pPr>
              <w:rPr>
                <w:sz w:val="20"/>
                <w:szCs w:val="20"/>
              </w:rPr>
            </w:pPr>
            <w:r w:rsidRPr="005A2545">
              <w:rPr>
                <w:b/>
                <w:sz w:val="20"/>
                <w:szCs w:val="20"/>
              </w:rPr>
              <w:t>CPC - Pr(AI)</w:t>
            </w:r>
          </w:p>
        </w:tc>
        <w:tc>
          <w:tcPr>
            <w:tcW w:w="1224" w:type="dxa"/>
            <w:vAlign w:val="center"/>
          </w:tcPr>
          <w:p w14:paraId="33B2344B" w14:textId="77777777" w:rsidR="00223D41" w:rsidRPr="005A2545" w:rsidRDefault="00223D41" w:rsidP="00287451">
            <w:pPr>
              <w:jc w:val="center"/>
              <w:rPr>
                <w:sz w:val="20"/>
                <w:szCs w:val="20"/>
              </w:rPr>
            </w:pPr>
            <w:r w:rsidRPr="005A2545">
              <w:rPr>
                <w:sz w:val="20"/>
                <w:szCs w:val="20"/>
              </w:rPr>
              <w:t>64.8%</w:t>
            </w:r>
          </w:p>
        </w:tc>
        <w:tc>
          <w:tcPr>
            <w:tcW w:w="1224" w:type="dxa"/>
            <w:vAlign w:val="center"/>
          </w:tcPr>
          <w:p w14:paraId="568CF34B" w14:textId="77777777" w:rsidR="00223D41" w:rsidRPr="005A2545" w:rsidRDefault="00223D41" w:rsidP="00287451">
            <w:pPr>
              <w:jc w:val="center"/>
              <w:rPr>
                <w:sz w:val="20"/>
                <w:szCs w:val="20"/>
              </w:rPr>
            </w:pPr>
            <w:r w:rsidRPr="005A2545">
              <w:rPr>
                <w:sz w:val="20"/>
                <w:szCs w:val="20"/>
              </w:rPr>
              <w:t>10.5%</w:t>
            </w:r>
          </w:p>
        </w:tc>
        <w:tc>
          <w:tcPr>
            <w:tcW w:w="1224" w:type="dxa"/>
            <w:vAlign w:val="center"/>
          </w:tcPr>
          <w:p w14:paraId="785E5A1C" w14:textId="77777777" w:rsidR="00223D41" w:rsidRPr="005A2545" w:rsidRDefault="00223D41" w:rsidP="00287451">
            <w:pPr>
              <w:jc w:val="center"/>
              <w:rPr>
                <w:sz w:val="20"/>
                <w:szCs w:val="20"/>
              </w:rPr>
            </w:pPr>
            <w:r w:rsidRPr="005A2545">
              <w:rPr>
                <w:sz w:val="20"/>
                <w:szCs w:val="20"/>
              </w:rPr>
              <w:t>5.3%</w:t>
            </w:r>
          </w:p>
        </w:tc>
        <w:tc>
          <w:tcPr>
            <w:tcW w:w="1224" w:type="dxa"/>
            <w:vAlign w:val="center"/>
          </w:tcPr>
          <w:p w14:paraId="56B3EA84" w14:textId="77777777" w:rsidR="00223D41" w:rsidRPr="005A2545" w:rsidRDefault="00223D41" w:rsidP="00287451">
            <w:pPr>
              <w:jc w:val="center"/>
              <w:rPr>
                <w:sz w:val="20"/>
                <w:szCs w:val="20"/>
              </w:rPr>
            </w:pPr>
            <w:r w:rsidRPr="005A2545">
              <w:rPr>
                <w:sz w:val="20"/>
                <w:szCs w:val="20"/>
              </w:rPr>
              <w:t>1.9%</w:t>
            </w:r>
          </w:p>
        </w:tc>
        <w:tc>
          <w:tcPr>
            <w:tcW w:w="1260" w:type="dxa"/>
            <w:vAlign w:val="center"/>
          </w:tcPr>
          <w:p w14:paraId="4F38BE04" w14:textId="77777777" w:rsidR="00223D41" w:rsidRPr="005A2545" w:rsidRDefault="00223D41" w:rsidP="00287451">
            <w:pPr>
              <w:jc w:val="center"/>
              <w:rPr>
                <w:sz w:val="20"/>
                <w:szCs w:val="20"/>
              </w:rPr>
            </w:pPr>
            <w:r w:rsidRPr="005A2545">
              <w:rPr>
                <w:sz w:val="20"/>
                <w:szCs w:val="20"/>
              </w:rPr>
              <w:t>1.7%</w:t>
            </w:r>
          </w:p>
        </w:tc>
        <w:tc>
          <w:tcPr>
            <w:tcW w:w="1260" w:type="dxa"/>
            <w:vAlign w:val="center"/>
          </w:tcPr>
          <w:p w14:paraId="4EDE8727" w14:textId="77777777" w:rsidR="00223D41" w:rsidRPr="005A2545" w:rsidRDefault="00223D41" w:rsidP="00287451">
            <w:pPr>
              <w:jc w:val="center"/>
              <w:rPr>
                <w:sz w:val="20"/>
                <w:szCs w:val="20"/>
              </w:rPr>
            </w:pPr>
            <w:r w:rsidRPr="005A2545">
              <w:rPr>
                <w:sz w:val="20"/>
                <w:szCs w:val="20"/>
              </w:rPr>
              <w:t>22.8%</w:t>
            </w:r>
          </w:p>
        </w:tc>
      </w:tr>
      <w:tr w:rsidR="00223D41" w:rsidRPr="005A2545" w14:paraId="1413DA40" w14:textId="77777777" w:rsidTr="00287451">
        <w:tc>
          <w:tcPr>
            <w:tcW w:w="1944" w:type="dxa"/>
            <w:vAlign w:val="center"/>
          </w:tcPr>
          <w:p w14:paraId="28E5AD89" w14:textId="7C394462" w:rsidR="00223D41" w:rsidRPr="005A2545" w:rsidRDefault="00223D41" w:rsidP="00287451">
            <w:pPr>
              <w:rPr>
                <w:sz w:val="20"/>
                <w:szCs w:val="20"/>
              </w:rPr>
            </w:pPr>
            <w:r w:rsidRPr="005A2545">
              <w:rPr>
                <w:b/>
                <w:sz w:val="20"/>
                <w:szCs w:val="20"/>
              </w:rPr>
              <w:t xml:space="preserve">CPC </w:t>
            </w:r>
            <w:r w:rsidR="008B7DCE">
              <w:rPr>
                <w:b/>
                <w:sz w:val="20"/>
                <w:szCs w:val="20"/>
              </w:rPr>
              <w:t>–</w:t>
            </w:r>
            <w:r w:rsidRPr="005A2545">
              <w:rPr>
                <w:b/>
                <w:sz w:val="20"/>
                <w:szCs w:val="20"/>
              </w:rPr>
              <w:t xml:space="preserve"> N</w:t>
            </w:r>
          </w:p>
        </w:tc>
        <w:tc>
          <w:tcPr>
            <w:tcW w:w="1224" w:type="dxa"/>
            <w:vAlign w:val="center"/>
          </w:tcPr>
          <w:p w14:paraId="0E3F2795" w14:textId="77777777" w:rsidR="00223D41" w:rsidRPr="005A2545" w:rsidRDefault="00223D41" w:rsidP="00287451">
            <w:pPr>
              <w:jc w:val="center"/>
              <w:rPr>
                <w:sz w:val="20"/>
                <w:szCs w:val="20"/>
              </w:rPr>
            </w:pPr>
            <w:r w:rsidRPr="005A2545">
              <w:rPr>
                <w:sz w:val="20"/>
                <w:szCs w:val="20"/>
              </w:rPr>
              <w:t>1,328</w:t>
            </w:r>
          </w:p>
        </w:tc>
        <w:tc>
          <w:tcPr>
            <w:tcW w:w="1224" w:type="dxa"/>
            <w:vAlign w:val="center"/>
          </w:tcPr>
          <w:p w14:paraId="27DE2532" w14:textId="77777777" w:rsidR="00223D41" w:rsidRPr="005A2545" w:rsidRDefault="00223D41" w:rsidP="00287451">
            <w:pPr>
              <w:jc w:val="center"/>
              <w:rPr>
                <w:sz w:val="20"/>
                <w:szCs w:val="20"/>
              </w:rPr>
            </w:pPr>
            <w:r w:rsidRPr="005A2545">
              <w:rPr>
                <w:sz w:val="20"/>
                <w:szCs w:val="20"/>
              </w:rPr>
              <w:t>1,328</w:t>
            </w:r>
          </w:p>
        </w:tc>
        <w:tc>
          <w:tcPr>
            <w:tcW w:w="1224" w:type="dxa"/>
            <w:vAlign w:val="center"/>
          </w:tcPr>
          <w:p w14:paraId="1045AD22" w14:textId="77777777" w:rsidR="00223D41" w:rsidRPr="005A2545" w:rsidRDefault="00223D41" w:rsidP="00287451">
            <w:pPr>
              <w:jc w:val="center"/>
              <w:rPr>
                <w:sz w:val="20"/>
                <w:szCs w:val="20"/>
              </w:rPr>
            </w:pPr>
            <w:r w:rsidRPr="005A2545">
              <w:rPr>
                <w:sz w:val="20"/>
                <w:szCs w:val="20"/>
              </w:rPr>
              <w:t>1,328</w:t>
            </w:r>
          </w:p>
        </w:tc>
        <w:tc>
          <w:tcPr>
            <w:tcW w:w="1224" w:type="dxa"/>
            <w:vAlign w:val="center"/>
          </w:tcPr>
          <w:p w14:paraId="5C0FAD25" w14:textId="77777777" w:rsidR="00223D41" w:rsidRPr="005A2545" w:rsidRDefault="00223D41" w:rsidP="00287451">
            <w:pPr>
              <w:jc w:val="center"/>
              <w:rPr>
                <w:sz w:val="20"/>
                <w:szCs w:val="20"/>
              </w:rPr>
            </w:pPr>
            <w:r w:rsidRPr="005A2545">
              <w:rPr>
                <w:sz w:val="20"/>
                <w:szCs w:val="20"/>
              </w:rPr>
              <w:t>1,328</w:t>
            </w:r>
          </w:p>
        </w:tc>
        <w:tc>
          <w:tcPr>
            <w:tcW w:w="1260" w:type="dxa"/>
            <w:vAlign w:val="center"/>
          </w:tcPr>
          <w:p w14:paraId="60723C55" w14:textId="77777777" w:rsidR="00223D41" w:rsidRPr="005A2545" w:rsidRDefault="00223D41" w:rsidP="00287451">
            <w:pPr>
              <w:jc w:val="center"/>
              <w:rPr>
                <w:sz w:val="20"/>
                <w:szCs w:val="20"/>
              </w:rPr>
            </w:pPr>
            <w:r w:rsidRPr="005A2545">
              <w:rPr>
                <w:sz w:val="20"/>
                <w:szCs w:val="20"/>
              </w:rPr>
              <w:t>1,328</w:t>
            </w:r>
          </w:p>
        </w:tc>
        <w:tc>
          <w:tcPr>
            <w:tcW w:w="1260" w:type="dxa"/>
            <w:vAlign w:val="center"/>
          </w:tcPr>
          <w:p w14:paraId="19816531" w14:textId="77777777" w:rsidR="00223D41" w:rsidRPr="005A2545" w:rsidRDefault="00223D41" w:rsidP="00287451">
            <w:pPr>
              <w:jc w:val="center"/>
              <w:rPr>
                <w:sz w:val="20"/>
                <w:szCs w:val="20"/>
              </w:rPr>
            </w:pPr>
            <w:r w:rsidRPr="005A2545">
              <w:rPr>
                <w:sz w:val="20"/>
                <w:szCs w:val="20"/>
              </w:rPr>
              <w:t>1,328</w:t>
            </w:r>
          </w:p>
        </w:tc>
      </w:tr>
      <w:tr w:rsidR="00223D41" w:rsidRPr="005A2545" w14:paraId="54262435" w14:textId="77777777" w:rsidTr="00287451">
        <w:tc>
          <w:tcPr>
            <w:tcW w:w="1944" w:type="dxa"/>
            <w:vAlign w:val="center"/>
          </w:tcPr>
          <w:p w14:paraId="58A88DBC" w14:textId="77777777" w:rsidR="00223D41" w:rsidRPr="005A2545" w:rsidRDefault="00223D41" w:rsidP="00287451">
            <w:pPr>
              <w:rPr>
                <w:sz w:val="20"/>
                <w:szCs w:val="20"/>
              </w:rPr>
            </w:pPr>
            <w:r w:rsidRPr="005A2545">
              <w:rPr>
                <w:b/>
                <w:sz w:val="20"/>
                <w:szCs w:val="20"/>
              </w:rPr>
              <w:t>CPC - R2</w:t>
            </w:r>
          </w:p>
        </w:tc>
        <w:tc>
          <w:tcPr>
            <w:tcW w:w="1224" w:type="dxa"/>
            <w:vAlign w:val="center"/>
          </w:tcPr>
          <w:p w14:paraId="55523FE2" w14:textId="77777777" w:rsidR="00223D41" w:rsidRPr="005A2545" w:rsidRDefault="00223D41" w:rsidP="00287451">
            <w:pPr>
              <w:jc w:val="center"/>
              <w:rPr>
                <w:sz w:val="20"/>
                <w:szCs w:val="20"/>
              </w:rPr>
            </w:pPr>
            <w:r w:rsidRPr="005A2545">
              <w:rPr>
                <w:sz w:val="20"/>
                <w:szCs w:val="20"/>
              </w:rPr>
              <w:t>0.662</w:t>
            </w:r>
          </w:p>
        </w:tc>
        <w:tc>
          <w:tcPr>
            <w:tcW w:w="1224" w:type="dxa"/>
            <w:vAlign w:val="center"/>
          </w:tcPr>
          <w:p w14:paraId="4F69B218" w14:textId="77777777" w:rsidR="00223D41" w:rsidRPr="005A2545" w:rsidRDefault="00223D41" w:rsidP="00287451">
            <w:pPr>
              <w:jc w:val="center"/>
              <w:rPr>
                <w:sz w:val="20"/>
                <w:szCs w:val="20"/>
              </w:rPr>
            </w:pPr>
            <w:r w:rsidRPr="005A2545">
              <w:rPr>
                <w:sz w:val="20"/>
                <w:szCs w:val="20"/>
              </w:rPr>
              <w:t>0.450</w:t>
            </w:r>
          </w:p>
        </w:tc>
        <w:tc>
          <w:tcPr>
            <w:tcW w:w="1224" w:type="dxa"/>
            <w:vAlign w:val="center"/>
          </w:tcPr>
          <w:p w14:paraId="24E21943" w14:textId="77777777" w:rsidR="00223D41" w:rsidRPr="005A2545" w:rsidRDefault="00223D41" w:rsidP="00287451">
            <w:pPr>
              <w:jc w:val="center"/>
              <w:rPr>
                <w:sz w:val="20"/>
                <w:szCs w:val="20"/>
              </w:rPr>
            </w:pPr>
            <w:r w:rsidRPr="005A2545">
              <w:rPr>
                <w:sz w:val="20"/>
                <w:szCs w:val="20"/>
              </w:rPr>
              <w:t>0.405</w:t>
            </w:r>
          </w:p>
        </w:tc>
        <w:tc>
          <w:tcPr>
            <w:tcW w:w="1224" w:type="dxa"/>
            <w:vAlign w:val="center"/>
          </w:tcPr>
          <w:p w14:paraId="10EFF151" w14:textId="77777777" w:rsidR="00223D41" w:rsidRPr="005A2545" w:rsidRDefault="00223D41" w:rsidP="00287451">
            <w:pPr>
              <w:jc w:val="center"/>
              <w:rPr>
                <w:sz w:val="20"/>
                <w:szCs w:val="20"/>
              </w:rPr>
            </w:pPr>
            <w:r w:rsidRPr="005A2545">
              <w:rPr>
                <w:sz w:val="20"/>
                <w:szCs w:val="20"/>
              </w:rPr>
              <w:t>0.131</w:t>
            </w:r>
          </w:p>
        </w:tc>
        <w:tc>
          <w:tcPr>
            <w:tcW w:w="1260" w:type="dxa"/>
            <w:vAlign w:val="center"/>
          </w:tcPr>
          <w:p w14:paraId="600958F6" w14:textId="77777777" w:rsidR="00223D41" w:rsidRPr="005A2545" w:rsidRDefault="00223D41" w:rsidP="00287451">
            <w:pPr>
              <w:jc w:val="center"/>
              <w:rPr>
                <w:sz w:val="20"/>
                <w:szCs w:val="20"/>
              </w:rPr>
            </w:pPr>
            <w:r w:rsidRPr="005A2545">
              <w:rPr>
                <w:sz w:val="20"/>
                <w:szCs w:val="20"/>
              </w:rPr>
              <w:t>0.113</w:t>
            </w:r>
          </w:p>
        </w:tc>
        <w:tc>
          <w:tcPr>
            <w:tcW w:w="1260" w:type="dxa"/>
            <w:vAlign w:val="center"/>
          </w:tcPr>
          <w:p w14:paraId="61A6B978" w14:textId="77777777" w:rsidR="00223D41" w:rsidRPr="005A2545" w:rsidRDefault="00223D41" w:rsidP="00287451">
            <w:pPr>
              <w:jc w:val="center"/>
              <w:rPr>
                <w:sz w:val="20"/>
                <w:szCs w:val="20"/>
              </w:rPr>
            </w:pPr>
            <w:r w:rsidRPr="005A2545">
              <w:rPr>
                <w:sz w:val="20"/>
                <w:szCs w:val="20"/>
              </w:rPr>
              <w:t>0.517</w:t>
            </w:r>
          </w:p>
        </w:tc>
      </w:tr>
      <w:tr w:rsidR="00223D41" w:rsidRPr="005A2545" w14:paraId="32C380C8" w14:textId="77777777" w:rsidTr="00287451">
        <w:tc>
          <w:tcPr>
            <w:tcW w:w="1944" w:type="dxa"/>
            <w:vAlign w:val="center"/>
          </w:tcPr>
          <w:p w14:paraId="5647E982" w14:textId="77777777" w:rsidR="00223D41" w:rsidRPr="005A2545" w:rsidRDefault="00223D41" w:rsidP="00287451">
            <w:pPr>
              <w:rPr>
                <w:sz w:val="20"/>
                <w:szCs w:val="20"/>
              </w:rPr>
            </w:pPr>
            <w:r w:rsidRPr="005A2545">
              <w:rPr>
                <w:b/>
                <w:sz w:val="20"/>
                <w:szCs w:val="20"/>
              </w:rPr>
              <w:t>WIPO - AI coefficient</w:t>
            </w:r>
          </w:p>
        </w:tc>
        <w:tc>
          <w:tcPr>
            <w:tcW w:w="1224" w:type="dxa"/>
            <w:vAlign w:val="center"/>
          </w:tcPr>
          <w:p w14:paraId="1FD5FB6B" w14:textId="77777777" w:rsidR="00223D41" w:rsidRPr="005A2545" w:rsidRDefault="00223D41" w:rsidP="00287451">
            <w:pPr>
              <w:jc w:val="center"/>
              <w:rPr>
                <w:sz w:val="20"/>
                <w:szCs w:val="20"/>
              </w:rPr>
            </w:pPr>
            <w:r w:rsidRPr="005A2545">
              <w:rPr>
                <w:sz w:val="20"/>
                <w:szCs w:val="20"/>
              </w:rPr>
              <w:t>+7.37***</w:t>
            </w:r>
            <w:r w:rsidRPr="005A2545">
              <w:rPr>
                <w:sz w:val="20"/>
                <w:szCs w:val="20"/>
              </w:rPr>
              <w:br/>
              <w:t>(1.57)</w:t>
            </w:r>
          </w:p>
        </w:tc>
        <w:tc>
          <w:tcPr>
            <w:tcW w:w="1224" w:type="dxa"/>
            <w:vAlign w:val="center"/>
          </w:tcPr>
          <w:p w14:paraId="6F1AED84" w14:textId="77777777" w:rsidR="00223D41" w:rsidRPr="005A2545" w:rsidRDefault="00223D41" w:rsidP="00287451">
            <w:pPr>
              <w:jc w:val="center"/>
              <w:rPr>
                <w:sz w:val="20"/>
                <w:szCs w:val="20"/>
              </w:rPr>
            </w:pPr>
            <w:r w:rsidRPr="005A2545">
              <w:rPr>
                <w:sz w:val="20"/>
                <w:szCs w:val="20"/>
              </w:rPr>
              <w:t>+0.29</w:t>
            </w:r>
            <w:r w:rsidRPr="005A2545">
              <w:rPr>
                <w:sz w:val="20"/>
                <w:szCs w:val="20"/>
              </w:rPr>
              <w:br/>
              <w:t>(1.36)</w:t>
            </w:r>
          </w:p>
        </w:tc>
        <w:tc>
          <w:tcPr>
            <w:tcW w:w="1224" w:type="dxa"/>
            <w:vAlign w:val="center"/>
          </w:tcPr>
          <w:p w14:paraId="7716E340" w14:textId="77777777" w:rsidR="00223D41" w:rsidRPr="005A2545" w:rsidRDefault="00223D41" w:rsidP="00287451">
            <w:pPr>
              <w:jc w:val="center"/>
              <w:rPr>
                <w:sz w:val="20"/>
                <w:szCs w:val="20"/>
              </w:rPr>
            </w:pPr>
            <w:r w:rsidRPr="005A2545">
              <w:rPr>
                <w:sz w:val="20"/>
                <w:szCs w:val="20"/>
              </w:rPr>
              <w:t>-3.37***</w:t>
            </w:r>
            <w:r w:rsidRPr="005A2545">
              <w:rPr>
                <w:sz w:val="20"/>
                <w:szCs w:val="20"/>
              </w:rPr>
              <w:br/>
              <w:t>(1.18)</w:t>
            </w:r>
          </w:p>
        </w:tc>
        <w:tc>
          <w:tcPr>
            <w:tcW w:w="1224" w:type="dxa"/>
            <w:vAlign w:val="center"/>
          </w:tcPr>
          <w:p w14:paraId="441909A8" w14:textId="77777777" w:rsidR="00223D41" w:rsidRPr="005A2545" w:rsidRDefault="00223D41" w:rsidP="00287451">
            <w:pPr>
              <w:jc w:val="center"/>
              <w:rPr>
                <w:sz w:val="20"/>
                <w:szCs w:val="20"/>
              </w:rPr>
            </w:pPr>
            <w:r w:rsidRPr="005A2545">
              <w:rPr>
                <w:sz w:val="20"/>
                <w:szCs w:val="20"/>
              </w:rPr>
              <w:t>-0.80</w:t>
            </w:r>
            <w:r w:rsidRPr="005A2545">
              <w:rPr>
                <w:sz w:val="20"/>
                <w:szCs w:val="20"/>
              </w:rPr>
              <w:br/>
              <w:t>(0.93)</w:t>
            </w:r>
          </w:p>
        </w:tc>
        <w:tc>
          <w:tcPr>
            <w:tcW w:w="1260" w:type="dxa"/>
            <w:vAlign w:val="center"/>
          </w:tcPr>
          <w:p w14:paraId="0F94522B" w14:textId="77777777" w:rsidR="00223D41" w:rsidRPr="005A2545" w:rsidRDefault="00223D41" w:rsidP="00287451">
            <w:pPr>
              <w:jc w:val="center"/>
              <w:rPr>
                <w:sz w:val="20"/>
                <w:szCs w:val="20"/>
              </w:rPr>
            </w:pPr>
            <w:r w:rsidRPr="005A2545">
              <w:rPr>
                <w:sz w:val="20"/>
                <w:szCs w:val="20"/>
              </w:rPr>
              <w:t>+1.69***</w:t>
            </w:r>
            <w:r w:rsidRPr="005A2545">
              <w:rPr>
                <w:sz w:val="20"/>
                <w:szCs w:val="20"/>
              </w:rPr>
              <w:br/>
              <w:t>(0.63)</w:t>
            </w:r>
          </w:p>
        </w:tc>
        <w:tc>
          <w:tcPr>
            <w:tcW w:w="1260" w:type="dxa"/>
            <w:vAlign w:val="center"/>
          </w:tcPr>
          <w:p w14:paraId="4820F0D2" w14:textId="77777777" w:rsidR="00223D41" w:rsidRPr="005A2545" w:rsidRDefault="00223D41" w:rsidP="00287451">
            <w:pPr>
              <w:jc w:val="center"/>
              <w:rPr>
                <w:sz w:val="20"/>
                <w:szCs w:val="20"/>
              </w:rPr>
            </w:pPr>
            <w:r w:rsidRPr="005A2545">
              <w:rPr>
                <w:sz w:val="20"/>
                <w:szCs w:val="20"/>
              </w:rPr>
              <w:t>-2.17</w:t>
            </w:r>
            <w:r w:rsidRPr="005A2545">
              <w:rPr>
                <w:sz w:val="20"/>
                <w:szCs w:val="20"/>
              </w:rPr>
              <w:br/>
              <w:t>(1.75)</w:t>
            </w:r>
          </w:p>
        </w:tc>
      </w:tr>
      <w:tr w:rsidR="00223D41" w:rsidRPr="005A2545" w14:paraId="4B407911" w14:textId="77777777" w:rsidTr="00287451">
        <w:tc>
          <w:tcPr>
            <w:tcW w:w="1944" w:type="dxa"/>
            <w:vAlign w:val="center"/>
          </w:tcPr>
          <w:p w14:paraId="11303FFE" w14:textId="77777777" w:rsidR="00223D41" w:rsidRPr="005A2545" w:rsidRDefault="00223D41" w:rsidP="00287451">
            <w:pPr>
              <w:rPr>
                <w:sz w:val="20"/>
                <w:szCs w:val="20"/>
              </w:rPr>
            </w:pPr>
            <w:r w:rsidRPr="005A2545">
              <w:rPr>
                <w:b/>
                <w:sz w:val="20"/>
                <w:szCs w:val="20"/>
              </w:rPr>
              <w:t>WIPO - Alpha</w:t>
            </w:r>
          </w:p>
        </w:tc>
        <w:tc>
          <w:tcPr>
            <w:tcW w:w="1224" w:type="dxa"/>
            <w:vAlign w:val="center"/>
          </w:tcPr>
          <w:p w14:paraId="0313A3C2" w14:textId="77777777" w:rsidR="00223D41" w:rsidRPr="005A2545" w:rsidRDefault="00223D41" w:rsidP="00287451">
            <w:pPr>
              <w:jc w:val="center"/>
              <w:rPr>
                <w:sz w:val="20"/>
                <w:szCs w:val="20"/>
              </w:rPr>
            </w:pPr>
            <w:r w:rsidRPr="005A2545">
              <w:rPr>
                <w:sz w:val="20"/>
                <w:szCs w:val="20"/>
              </w:rPr>
              <w:t>0.01</w:t>
            </w:r>
          </w:p>
        </w:tc>
        <w:tc>
          <w:tcPr>
            <w:tcW w:w="1224" w:type="dxa"/>
            <w:vAlign w:val="center"/>
          </w:tcPr>
          <w:p w14:paraId="237DEA99" w14:textId="77777777" w:rsidR="00223D41" w:rsidRPr="005A2545" w:rsidRDefault="00223D41" w:rsidP="00287451">
            <w:pPr>
              <w:jc w:val="center"/>
              <w:rPr>
                <w:sz w:val="20"/>
                <w:szCs w:val="20"/>
              </w:rPr>
            </w:pPr>
            <w:r w:rsidRPr="005A2545">
              <w:rPr>
                <w:sz w:val="20"/>
                <w:szCs w:val="20"/>
              </w:rPr>
              <w:t>n.s.</w:t>
            </w:r>
          </w:p>
        </w:tc>
        <w:tc>
          <w:tcPr>
            <w:tcW w:w="1224" w:type="dxa"/>
            <w:vAlign w:val="center"/>
          </w:tcPr>
          <w:p w14:paraId="309DAE00" w14:textId="77777777" w:rsidR="00223D41" w:rsidRPr="005A2545" w:rsidRDefault="00223D41" w:rsidP="00287451">
            <w:pPr>
              <w:jc w:val="center"/>
              <w:rPr>
                <w:sz w:val="20"/>
                <w:szCs w:val="20"/>
              </w:rPr>
            </w:pPr>
            <w:r w:rsidRPr="005A2545">
              <w:rPr>
                <w:sz w:val="20"/>
                <w:szCs w:val="20"/>
              </w:rPr>
              <w:t>0.01</w:t>
            </w:r>
          </w:p>
        </w:tc>
        <w:tc>
          <w:tcPr>
            <w:tcW w:w="1224" w:type="dxa"/>
            <w:vAlign w:val="center"/>
          </w:tcPr>
          <w:p w14:paraId="2C290C3E" w14:textId="77777777" w:rsidR="00223D41" w:rsidRPr="005A2545" w:rsidRDefault="00223D41" w:rsidP="00287451">
            <w:pPr>
              <w:jc w:val="center"/>
              <w:rPr>
                <w:sz w:val="20"/>
                <w:szCs w:val="20"/>
              </w:rPr>
            </w:pPr>
            <w:r w:rsidRPr="005A2545">
              <w:rPr>
                <w:sz w:val="20"/>
                <w:szCs w:val="20"/>
              </w:rPr>
              <w:t>n.s.</w:t>
            </w:r>
          </w:p>
        </w:tc>
        <w:tc>
          <w:tcPr>
            <w:tcW w:w="1260" w:type="dxa"/>
            <w:vAlign w:val="center"/>
          </w:tcPr>
          <w:p w14:paraId="3DC782FC" w14:textId="77777777" w:rsidR="00223D41" w:rsidRPr="005A2545" w:rsidRDefault="00223D41" w:rsidP="00287451">
            <w:pPr>
              <w:jc w:val="center"/>
              <w:rPr>
                <w:sz w:val="20"/>
                <w:szCs w:val="20"/>
              </w:rPr>
            </w:pPr>
            <w:r w:rsidRPr="005A2545">
              <w:rPr>
                <w:sz w:val="20"/>
                <w:szCs w:val="20"/>
              </w:rPr>
              <w:t>0.01</w:t>
            </w:r>
          </w:p>
        </w:tc>
        <w:tc>
          <w:tcPr>
            <w:tcW w:w="1260" w:type="dxa"/>
            <w:vAlign w:val="center"/>
          </w:tcPr>
          <w:p w14:paraId="29F8DCEF" w14:textId="77777777" w:rsidR="00223D41" w:rsidRPr="005A2545" w:rsidRDefault="00223D41" w:rsidP="00287451">
            <w:pPr>
              <w:jc w:val="center"/>
              <w:rPr>
                <w:sz w:val="20"/>
                <w:szCs w:val="20"/>
              </w:rPr>
            </w:pPr>
            <w:r w:rsidRPr="005A2545">
              <w:rPr>
                <w:sz w:val="20"/>
                <w:szCs w:val="20"/>
              </w:rPr>
              <w:t>n.s.</w:t>
            </w:r>
          </w:p>
        </w:tc>
      </w:tr>
      <w:tr w:rsidR="00223D41" w:rsidRPr="005A2545" w14:paraId="0ED2CD17" w14:textId="77777777" w:rsidTr="00287451">
        <w:tc>
          <w:tcPr>
            <w:tcW w:w="1944" w:type="dxa"/>
            <w:vAlign w:val="center"/>
          </w:tcPr>
          <w:p w14:paraId="03715C84" w14:textId="77777777" w:rsidR="00223D41" w:rsidRPr="005A2545" w:rsidRDefault="00223D41" w:rsidP="00287451">
            <w:pPr>
              <w:rPr>
                <w:sz w:val="20"/>
                <w:szCs w:val="20"/>
              </w:rPr>
            </w:pPr>
            <w:r w:rsidRPr="005A2545">
              <w:rPr>
                <w:b/>
                <w:sz w:val="20"/>
                <w:szCs w:val="20"/>
              </w:rPr>
              <w:t>WIPO - Pr(non-AI)</w:t>
            </w:r>
          </w:p>
        </w:tc>
        <w:tc>
          <w:tcPr>
            <w:tcW w:w="1224" w:type="dxa"/>
            <w:vAlign w:val="center"/>
          </w:tcPr>
          <w:p w14:paraId="2EF6F78A" w14:textId="77777777" w:rsidR="00223D41" w:rsidRPr="005A2545" w:rsidRDefault="00223D41" w:rsidP="00287451">
            <w:pPr>
              <w:jc w:val="center"/>
              <w:rPr>
                <w:sz w:val="20"/>
                <w:szCs w:val="20"/>
              </w:rPr>
            </w:pPr>
            <w:r w:rsidRPr="005A2545">
              <w:rPr>
                <w:sz w:val="20"/>
                <w:szCs w:val="20"/>
              </w:rPr>
              <w:t>52.9%</w:t>
            </w:r>
          </w:p>
        </w:tc>
        <w:tc>
          <w:tcPr>
            <w:tcW w:w="1224" w:type="dxa"/>
            <w:vAlign w:val="center"/>
          </w:tcPr>
          <w:p w14:paraId="53833CD4" w14:textId="77777777" w:rsidR="00223D41" w:rsidRPr="005A2545" w:rsidRDefault="00223D41" w:rsidP="00287451">
            <w:pPr>
              <w:jc w:val="center"/>
              <w:rPr>
                <w:sz w:val="20"/>
                <w:szCs w:val="20"/>
              </w:rPr>
            </w:pPr>
            <w:r w:rsidRPr="005A2545">
              <w:rPr>
                <w:sz w:val="20"/>
                <w:szCs w:val="20"/>
              </w:rPr>
              <w:t>11.7%</w:t>
            </w:r>
          </w:p>
        </w:tc>
        <w:tc>
          <w:tcPr>
            <w:tcW w:w="1224" w:type="dxa"/>
            <w:vAlign w:val="center"/>
          </w:tcPr>
          <w:p w14:paraId="6CC166BB" w14:textId="77777777" w:rsidR="00223D41" w:rsidRPr="005A2545" w:rsidRDefault="00223D41" w:rsidP="00287451">
            <w:pPr>
              <w:jc w:val="center"/>
              <w:rPr>
                <w:sz w:val="20"/>
                <w:szCs w:val="20"/>
              </w:rPr>
            </w:pPr>
            <w:r w:rsidRPr="005A2545">
              <w:rPr>
                <w:sz w:val="20"/>
                <w:szCs w:val="20"/>
              </w:rPr>
              <w:t>10.1%</w:t>
            </w:r>
          </w:p>
        </w:tc>
        <w:tc>
          <w:tcPr>
            <w:tcW w:w="1224" w:type="dxa"/>
            <w:vAlign w:val="center"/>
          </w:tcPr>
          <w:p w14:paraId="528F0C58" w14:textId="77777777" w:rsidR="00223D41" w:rsidRPr="005A2545" w:rsidRDefault="00223D41" w:rsidP="00287451">
            <w:pPr>
              <w:jc w:val="center"/>
              <w:rPr>
                <w:sz w:val="20"/>
                <w:szCs w:val="20"/>
              </w:rPr>
            </w:pPr>
            <w:r w:rsidRPr="005A2545">
              <w:rPr>
                <w:sz w:val="20"/>
                <w:szCs w:val="20"/>
              </w:rPr>
              <w:t>4.0%</w:t>
            </w:r>
          </w:p>
        </w:tc>
        <w:tc>
          <w:tcPr>
            <w:tcW w:w="1260" w:type="dxa"/>
            <w:vAlign w:val="center"/>
          </w:tcPr>
          <w:p w14:paraId="54D961E9" w14:textId="77777777" w:rsidR="00223D41" w:rsidRPr="005A2545" w:rsidRDefault="00223D41" w:rsidP="00287451">
            <w:pPr>
              <w:jc w:val="center"/>
              <w:rPr>
                <w:sz w:val="20"/>
                <w:szCs w:val="20"/>
              </w:rPr>
            </w:pPr>
            <w:r w:rsidRPr="005A2545">
              <w:rPr>
                <w:sz w:val="20"/>
                <w:szCs w:val="20"/>
              </w:rPr>
              <w:t>1.1%</w:t>
            </w:r>
          </w:p>
        </w:tc>
        <w:tc>
          <w:tcPr>
            <w:tcW w:w="1260" w:type="dxa"/>
            <w:vAlign w:val="center"/>
          </w:tcPr>
          <w:p w14:paraId="328E0E99" w14:textId="77777777" w:rsidR="00223D41" w:rsidRPr="005A2545" w:rsidRDefault="00223D41" w:rsidP="00287451">
            <w:pPr>
              <w:jc w:val="center"/>
              <w:rPr>
                <w:sz w:val="20"/>
                <w:szCs w:val="20"/>
              </w:rPr>
            </w:pPr>
            <w:r w:rsidRPr="005A2545">
              <w:rPr>
                <w:sz w:val="20"/>
                <w:szCs w:val="20"/>
              </w:rPr>
              <w:t>25.3%</w:t>
            </w:r>
          </w:p>
        </w:tc>
      </w:tr>
      <w:tr w:rsidR="00223D41" w:rsidRPr="005A2545" w14:paraId="7AEB756B" w14:textId="77777777" w:rsidTr="00287451">
        <w:tc>
          <w:tcPr>
            <w:tcW w:w="1944" w:type="dxa"/>
            <w:vAlign w:val="center"/>
          </w:tcPr>
          <w:p w14:paraId="4812A619" w14:textId="77777777" w:rsidR="00223D41" w:rsidRPr="005A2545" w:rsidRDefault="00223D41" w:rsidP="00287451">
            <w:pPr>
              <w:rPr>
                <w:sz w:val="20"/>
                <w:szCs w:val="20"/>
              </w:rPr>
            </w:pPr>
            <w:r w:rsidRPr="005A2545">
              <w:rPr>
                <w:b/>
                <w:sz w:val="20"/>
                <w:szCs w:val="20"/>
              </w:rPr>
              <w:t>WIPO - Pr(AI)</w:t>
            </w:r>
          </w:p>
        </w:tc>
        <w:tc>
          <w:tcPr>
            <w:tcW w:w="1224" w:type="dxa"/>
            <w:vAlign w:val="center"/>
          </w:tcPr>
          <w:p w14:paraId="0E7AF682" w14:textId="77777777" w:rsidR="00223D41" w:rsidRPr="005A2545" w:rsidRDefault="00223D41" w:rsidP="00287451">
            <w:pPr>
              <w:jc w:val="center"/>
              <w:rPr>
                <w:sz w:val="20"/>
                <w:szCs w:val="20"/>
              </w:rPr>
            </w:pPr>
            <w:r w:rsidRPr="005A2545">
              <w:rPr>
                <w:sz w:val="20"/>
                <w:szCs w:val="20"/>
              </w:rPr>
              <w:t>60.3%</w:t>
            </w:r>
          </w:p>
        </w:tc>
        <w:tc>
          <w:tcPr>
            <w:tcW w:w="1224" w:type="dxa"/>
            <w:vAlign w:val="center"/>
          </w:tcPr>
          <w:p w14:paraId="1E4FA282" w14:textId="77777777" w:rsidR="00223D41" w:rsidRPr="005A2545" w:rsidRDefault="00223D41" w:rsidP="00287451">
            <w:pPr>
              <w:jc w:val="center"/>
              <w:rPr>
                <w:sz w:val="20"/>
                <w:szCs w:val="20"/>
              </w:rPr>
            </w:pPr>
            <w:r w:rsidRPr="005A2545">
              <w:rPr>
                <w:sz w:val="20"/>
                <w:szCs w:val="20"/>
              </w:rPr>
              <w:t>12.0%</w:t>
            </w:r>
          </w:p>
        </w:tc>
        <w:tc>
          <w:tcPr>
            <w:tcW w:w="1224" w:type="dxa"/>
            <w:vAlign w:val="center"/>
          </w:tcPr>
          <w:p w14:paraId="701A216D" w14:textId="77777777" w:rsidR="00223D41" w:rsidRPr="005A2545" w:rsidRDefault="00223D41" w:rsidP="00287451">
            <w:pPr>
              <w:jc w:val="center"/>
              <w:rPr>
                <w:sz w:val="20"/>
                <w:szCs w:val="20"/>
              </w:rPr>
            </w:pPr>
            <w:r w:rsidRPr="005A2545">
              <w:rPr>
                <w:sz w:val="20"/>
                <w:szCs w:val="20"/>
              </w:rPr>
              <w:t>6.7%</w:t>
            </w:r>
          </w:p>
        </w:tc>
        <w:tc>
          <w:tcPr>
            <w:tcW w:w="1224" w:type="dxa"/>
            <w:vAlign w:val="center"/>
          </w:tcPr>
          <w:p w14:paraId="35814863" w14:textId="77777777" w:rsidR="00223D41" w:rsidRPr="005A2545" w:rsidRDefault="00223D41" w:rsidP="00287451">
            <w:pPr>
              <w:jc w:val="center"/>
              <w:rPr>
                <w:sz w:val="20"/>
                <w:szCs w:val="20"/>
              </w:rPr>
            </w:pPr>
            <w:r w:rsidRPr="005A2545">
              <w:rPr>
                <w:sz w:val="20"/>
                <w:szCs w:val="20"/>
              </w:rPr>
              <w:t>3.2%</w:t>
            </w:r>
          </w:p>
        </w:tc>
        <w:tc>
          <w:tcPr>
            <w:tcW w:w="1260" w:type="dxa"/>
            <w:vAlign w:val="center"/>
          </w:tcPr>
          <w:p w14:paraId="3BC2C61F" w14:textId="77777777" w:rsidR="00223D41" w:rsidRPr="005A2545" w:rsidRDefault="00223D41" w:rsidP="00287451">
            <w:pPr>
              <w:jc w:val="center"/>
              <w:rPr>
                <w:sz w:val="20"/>
                <w:szCs w:val="20"/>
              </w:rPr>
            </w:pPr>
            <w:r w:rsidRPr="005A2545">
              <w:rPr>
                <w:sz w:val="20"/>
                <w:szCs w:val="20"/>
              </w:rPr>
              <w:t>2.8%</w:t>
            </w:r>
          </w:p>
        </w:tc>
        <w:tc>
          <w:tcPr>
            <w:tcW w:w="1260" w:type="dxa"/>
            <w:vAlign w:val="center"/>
          </w:tcPr>
          <w:p w14:paraId="3A376A08" w14:textId="77777777" w:rsidR="00223D41" w:rsidRPr="005A2545" w:rsidRDefault="00223D41" w:rsidP="00287451">
            <w:pPr>
              <w:jc w:val="center"/>
              <w:rPr>
                <w:sz w:val="20"/>
                <w:szCs w:val="20"/>
              </w:rPr>
            </w:pPr>
            <w:r w:rsidRPr="005A2545">
              <w:rPr>
                <w:sz w:val="20"/>
                <w:szCs w:val="20"/>
              </w:rPr>
              <w:t>23.2%</w:t>
            </w:r>
          </w:p>
        </w:tc>
      </w:tr>
      <w:tr w:rsidR="00223D41" w:rsidRPr="005A2545" w14:paraId="13604AE2" w14:textId="77777777" w:rsidTr="00287451">
        <w:tc>
          <w:tcPr>
            <w:tcW w:w="1944" w:type="dxa"/>
            <w:vAlign w:val="center"/>
          </w:tcPr>
          <w:p w14:paraId="360472C6" w14:textId="77777777" w:rsidR="00223D41" w:rsidRPr="005A2545" w:rsidRDefault="00223D41" w:rsidP="00287451">
            <w:pPr>
              <w:rPr>
                <w:sz w:val="20"/>
                <w:szCs w:val="20"/>
              </w:rPr>
            </w:pPr>
            <w:r w:rsidRPr="005A2545">
              <w:rPr>
                <w:b/>
                <w:sz w:val="20"/>
                <w:szCs w:val="20"/>
              </w:rPr>
              <w:t>WIPO - N</w:t>
            </w:r>
          </w:p>
        </w:tc>
        <w:tc>
          <w:tcPr>
            <w:tcW w:w="1224" w:type="dxa"/>
            <w:vAlign w:val="center"/>
          </w:tcPr>
          <w:p w14:paraId="63B3D4CB" w14:textId="77777777" w:rsidR="00223D41" w:rsidRPr="005A2545" w:rsidRDefault="00223D41" w:rsidP="00287451">
            <w:pPr>
              <w:jc w:val="center"/>
              <w:rPr>
                <w:sz w:val="20"/>
                <w:szCs w:val="20"/>
              </w:rPr>
            </w:pPr>
            <w:r w:rsidRPr="005A2545">
              <w:rPr>
                <w:sz w:val="20"/>
                <w:szCs w:val="20"/>
              </w:rPr>
              <w:t>1,891</w:t>
            </w:r>
          </w:p>
        </w:tc>
        <w:tc>
          <w:tcPr>
            <w:tcW w:w="1224" w:type="dxa"/>
            <w:vAlign w:val="center"/>
          </w:tcPr>
          <w:p w14:paraId="04F758CD" w14:textId="77777777" w:rsidR="00223D41" w:rsidRPr="005A2545" w:rsidRDefault="00223D41" w:rsidP="00287451">
            <w:pPr>
              <w:jc w:val="center"/>
              <w:rPr>
                <w:sz w:val="20"/>
                <w:szCs w:val="20"/>
              </w:rPr>
            </w:pPr>
            <w:r w:rsidRPr="005A2545">
              <w:rPr>
                <w:sz w:val="20"/>
                <w:szCs w:val="20"/>
              </w:rPr>
              <w:t>1,891</w:t>
            </w:r>
          </w:p>
        </w:tc>
        <w:tc>
          <w:tcPr>
            <w:tcW w:w="1224" w:type="dxa"/>
            <w:vAlign w:val="center"/>
          </w:tcPr>
          <w:p w14:paraId="201656EA" w14:textId="77777777" w:rsidR="00223D41" w:rsidRPr="005A2545" w:rsidRDefault="00223D41" w:rsidP="00287451">
            <w:pPr>
              <w:jc w:val="center"/>
              <w:rPr>
                <w:sz w:val="20"/>
                <w:szCs w:val="20"/>
              </w:rPr>
            </w:pPr>
            <w:r w:rsidRPr="005A2545">
              <w:rPr>
                <w:sz w:val="20"/>
                <w:szCs w:val="20"/>
              </w:rPr>
              <w:t>1,891</w:t>
            </w:r>
          </w:p>
        </w:tc>
        <w:tc>
          <w:tcPr>
            <w:tcW w:w="1224" w:type="dxa"/>
            <w:vAlign w:val="center"/>
          </w:tcPr>
          <w:p w14:paraId="14110974" w14:textId="77777777" w:rsidR="00223D41" w:rsidRPr="005A2545" w:rsidRDefault="00223D41" w:rsidP="00287451">
            <w:pPr>
              <w:jc w:val="center"/>
              <w:rPr>
                <w:sz w:val="20"/>
                <w:szCs w:val="20"/>
              </w:rPr>
            </w:pPr>
            <w:r w:rsidRPr="005A2545">
              <w:rPr>
                <w:sz w:val="20"/>
                <w:szCs w:val="20"/>
              </w:rPr>
              <w:t>1,891</w:t>
            </w:r>
          </w:p>
        </w:tc>
        <w:tc>
          <w:tcPr>
            <w:tcW w:w="1260" w:type="dxa"/>
            <w:vAlign w:val="center"/>
          </w:tcPr>
          <w:p w14:paraId="6CA474B0" w14:textId="77777777" w:rsidR="00223D41" w:rsidRPr="005A2545" w:rsidRDefault="00223D41" w:rsidP="00287451">
            <w:pPr>
              <w:jc w:val="center"/>
              <w:rPr>
                <w:sz w:val="20"/>
                <w:szCs w:val="20"/>
              </w:rPr>
            </w:pPr>
            <w:r w:rsidRPr="005A2545">
              <w:rPr>
                <w:sz w:val="20"/>
                <w:szCs w:val="20"/>
              </w:rPr>
              <w:t>1,891</w:t>
            </w:r>
          </w:p>
        </w:tc>
        <w:tc>
          <w:tcPr>
            <w:tcW w:w="1260" w:type="dxa"/>
            <w:vAlign w:val="center"/>
          </w:tcPr>
          <w:p w14:paraId="7C1D8410" w14:textId="77777777" w:rsidR="00223D41" w:rsidRPr="005A2545" w:rsidRDefault="00223D41" w:rsidP="00287451">
            <w:pPr>
              <w:jc w:val="center"/>
              <w:rPr>
                <w:sz w:val="20"/>
                <w:szCs w:val="20"/>
              </w:rPr>
            </w:pPr>
            <w:r w:rsidRPr="005A2545">
              <w:rPr>
                <w:sz w:val="20"/>
                <w:szCs w:val="20"/>
              </w:rPr>
              <w:t>1,891</w:t>
            </w:r>
          </w:p>
        </w:tc>
      </w:tr>
      <w:tr w:rsidR="00223D41" w:rsidRPr="005A2545" w14:paraId="42BD1AC7" w14:textId="77777777" w:rsidTr="00287451">
        <w:tc>
          <w:tcPr>
            <w:tcW w:w="1944" w:type="dxa"/>
            <w:vAlign w:val="center"/>
          </w:tcPr>
          <w:p w14:paraId="70257752" w14:textId="77777777" w:rsidR="00223D41" w:rsidRPr="005A2545" w:rsidRDefault="00223D41" w:rsidP="00287451">
            <w:pPr>
              <w:rPr>
                <w:sz w:val="20"/>
                <w:szCs w:val="20"/>
              </w:rPr>
            </w:pPr>
            <w:r w:rsidRPr="005A2545">
              <w:rPr>
                <w:b/>
                <w:sz w:val="20"/>
                <w:szCs w:val="20"/>
              </w:rPr>
              <w:t>WIPO - R2</w:t>
            </w:r>
          </w:p>
        </w:tc>
        <w:tc>
          <w:tcPr>
            <w:tcW w:w="1224" w:type="dxa"/>
            <w:vAlign w:val="center"/>
          </w:tcPr>
          <w:p w14:paraId="685F7FF8" w14:textId="77777777" w:rsidR="00223D41" w:rsidRPr="005A2545" w:rsidRDefault="00223D41" w:rsidP="00287451">
            <w:pPr>
              <w:jc w:val="center"/>
              <w:rPr>
                <w:sz w:val="20"/>
                <w:szCs w:val="20"/>
              </w:rPr>
            </w:pPr>
            <w:r w:rsidRPr="005A2545">
              <w:rPr>
                <w:sz w:val="20"/>
                <w:szCs w:val="20"/>
              </w:rPr>
              <w:t>0.674</w:t>
            </w:r>
          </w:p>
        </w:tc>
        <w:tc>
          <w:tcPr>
            <w:tcW w:w="1224" w:type="dxa"/>
            <w:vAlign w:val="center"/>
          </w:tcPr>
          <w:p w14:paraId="32BD3E9C" w14:textId="77777777" w:rsidR="00223D41" w:rsidRPr="005A2545" w:rsidRDefault="00223D41" w:rsidP="00287451">
            <w:pPr>
              <w:jc w:val="center"/>
              <w:rPr>
                <w:sz w:val="20"/>
                <w:szCs w:val="20"/>
              </w:rPr>
            </w:pPr>
            <w:r w:rsidRPr="005A2545">
              <w:rPr>
                <w:sz w:val="20"/>
                <w:szCs w:val="20"/>
              </w:rPr>
              <w:t>0.386</w:t>
            </w:r>
          </w:p>
        </w:tc>
        <w:tc>
          <w:tcPr>
            <w:tcW w:w="1224" w:type="dxa"/>
            <w:vAlign w:val="center"/>
          </w:tcPr>
          <w:p w14:paraId="2117C7A2" w14:textId="77777777" w:rsidR="00223D41" w:rsidRPr="005A2545" w:rsidRDefault="00223D41" w:rsidP="00287451">
            <w:pPr>
              <w:jc w:val="center"/>
              <w:rPr>
                <w:sz w:val="20"/>
                <w:szCs w:val="20"/>
              </w:rPr>
            </w:pPr>
            <w:r w:rsidRPr="005A2545">
              <w:rPr>
                <w:sz w:val="20"/>
                <w:szCs w:val="20"/>
              </w:rPr>
              <w:t>0.390</w:t>
            </w:r>
          </w:p>
        </w:tc>
        <w:tc>
          <w:tcPr>
            <w:tcW w:w="1224" w:type="dxa"/>
            <w:vAlign w:val="center"/>
          </w:tcPr>
          <w:p w14:paraId="285246FA" w14:textId="77777777" w:rsidR="00223D41" w:rsidRPr="005A2545" w:rsidRDefault="00223D41" w:rsidP="00287451">
            <w:pPr>
              <w:jc w:val="center"/>
              <w:rPr>
                <w:sz w:val="20"/>
                <w:szCs w:val="20"/>
              </w:rPr>
            </w:pPr>
            <w:r w:rsidRPr="005A2545">
              <w:rPr>
                <w:sz w:val="20"/>
                <w:szCs w:val="20"/>
              </w:rPr>
              <w:t>0.191</w:t>
            </w:r>
          </w:p>
        </w:tc>
        <w:tc>
          <w:tcPr>
            <w:tcW w:w="1260" w:type="dxa"/>
            <w:vAlign w:val="center"/>
          </w:tcPr>
          <w:p w14:paraId="7779B657" w14:textId="77777777" w:rsidR="00223D41" w:rsidRPr="005A2545" w:rsidRDefault="00223D41" w:rsidP="00287451">
            <w:pPr>
              <w:jc w:val="center"/>
              <w:rPr>
                <w:sz w:val="20"/>
                <w:szCs w:val="20"/>
              </w:rPr>
            </w:pPr>
            <w:r w:rsidRPr="005A2545">
              <w:rPr>
                <w:sz w:val="20"/>
                <w:szCs w:val="20"/>
              </w:rPr>
              <w:t>0.211</w:t>
            </w:r>
          </w:p>
        </w:tc>
        <w:tc>
          <w:tcPr>
            <w:tcW w:w="1260" w:type="dxa"/>
            <w:vAlign w:val="center"/>
          </w:tcPr>
          <w:p w14:paraId="1355196D" w14:textId="77777777" w:rsidR="00223D41" w:rsidRPr="005A2545" w:rsidRDefault="00223D41" w:rsidP="00287451">
            <w:pPr>
              <w:jc w:val="center"/>
              <w:rPr>
                <w:sz w:val="20"/>
                <w:szCs w:val="20"/>
              </w:rPr>
            </w:pPr>
            <w:r w:rsidRPr="005A2545">
              <w:rPr>
                <w:sz w:val="20"/>
                <w:szCs w:val="20"/>
              </w:rPr>
              <w:t>0.486</w:t>
            </w:r>
          </w:p>
        </w:tc>
      </w:tr>
    </w:tbl>
    <w:p w14:paraId="6BB91643" w14:textId="77777777" w:rsidR="00223D41" w:rsidRPr="005A2545" w:rsidRDefault="00223D41" w:rsidP="00223D41">
      <w:pPr>
        <w:pStyle w:val="Caption"/>
        <w:rPr>
          <w:rFonts w:ascii="Times New Roman" w:hAnsi="Times New Roman" w:cs="Times New Roman"/>
          <w:sz w:val="20"/>
          <w:szCs w:val="20"/>
        </w:rPr>
      </w:pPr>
      <w:r w:rsidRPr="005A2545">
        <w:rPr>
          <w:rFonts w:ascii="Times New Roman" w:hAnsi="Times New Roman" w:cs="Times New Roman"/>
          <w:color w:val="505050"/>
          <w:sz w:val="20"/>
          <w:szCs w:val="20"/>
        </w:rPr>
        <w:t>The statutory sections are the columns. Rows identify the CPC or WIPO taxonomy reference and the reported statistic. Coefficients are percentage points with patent-clustered standard errors in parentheses.</w:t>
      </w:r>
    </w:p>
    <w:p w14:paraId="3450DC65" w14:textId="77777777" w:rsidR="00223D41" w:rsidRPr="00223D41" w:rsidRDefault="00223D41" w:rsidP="00223D41"/>
    <w:p w14:paraId="20727D2D" w14:textId="00295A2F" w:rsidR="007019B5" w:rsidRPr="007E1AA5" w:rsidRDefault="001E6C84" w:rsidP="00D57A20">
      <w:pPr>
        <w:spacing w:line="480" w:lineRule="auto"/>
        <w:ind w:firstLine="720"/>
        <w:rPr>
          <w:color w:val="000000"/>
        </w:rPr>
      </w:pPr>
      <w:r>
        <w:rPr>
          <w:color w:val="000000"/>
        </w:rPr>
        <w:t>The infringement estimates</w:t>
      </w:r>
      <w:r w:rsidR="00223D41">
        <w:rPr>
          <w:color w:val="000000"/>
        </w:rPr>
        <w:t xml:space="preserve"> in Table 10</w:t>
      </w:r>
      <w:r>
        <w:rPr>
          <w:color w:val="000000"/>
        </w:rPr>
        <w:t xml:space="preserve"> in the software subsample are negative </w:t>
      </w:r>
      <w:r w:rsidR="00515D67">
        <w:rPr>
          <w:color w:val="000000"/>
        </w:rPr>
        <w:t xml:space="preserve">and noticeably </w:t>
      </w:r>
      <w:r>
        <w:rPr>
          <w:color w:val="000000"/>
        </w:rPr>
        <w:t xml:space="preserve">weaker. </w:t>
      </w:r>
      <w:r w:rsidR="00515D67">
        <w:rPr>
          <w:color w:val="000000"/>
        </w:rPr>
        <w:t xml:space="preserve"> Further, the results are not statistically significant in most specifications.</w:t>
      </w:r>
      <w:r>
        <w:rPr>
          <w:color w:val="000000"/>
        </w:rPr>
        <w:t xml:space="preserve"> </w:t>
      </w:r>
      <w:r w:rsidR="00807F8E">
        <w:rPr>
          <w:color w:val="000000"/>
        </w:rPr>
        <w:t>The broad software model predicts infringement probabilities of 25</w:t>
      </w:r>
      <w:r w:rsidR="00515D67">
        <w:rPr>
          <w:color w:val="000000"/>
        </w:rPr>
        <w:t>.3</w:t>
      </w:r>
      <w:r w:rsidR="00807F8E">
        <w:rPr>
          <w:color w:val="000000"/>
        </w:rPr>
        <w:t>% for non-AI software patents and 23</w:t>
      </w:r>
      <w:r w:rsidR="00515D67">
        <w:rPr>
          <w:color w:val="000000"/>
        </w:rPr>
        <w:t>.0</w:t>
      </w:r>
      <w:r w:rsidR="00807F8E">
        <w:rPr>
          <w:color w:val="000000"/>
        </w:rPr>
        <w:t>% for AI software patents</w:t>
      </w:r>
      <w:r w:rsidR="00B81FF6">
        <w:rPr>
          <w:color w:val="000000"/>
        </w:rPr>
        <w:t>, a very narrow difference</w:t>
      </w:r>
      <w:r w:rsidR="00515D67">
        <w:rPr>
          <w:color w:val="000000"/>
        </w:rPr>
        <w:t>.</w:t>
      </w:r>
      <w:r w:rsidR="007019B5" w:rsidRPr="008074B4">
        <w:rPr>
          <w:color w:val="000000"/>
        </w:rPr>
        <w:t xml:space="preserve"> </w:t>
      </w:r>
      <w:r w:rsidR="00515D67">
        <w:rPr>
          <w:color w:val="000000"/>
        </w:rPr>
        <w:t xml:space="preserve">This result </w:t>
      </w:r>
      <w:r w:rsidR="00981003">
        <w:rPr>
          <w:color w:val="000000"/>
        </w:rPr>
        <w:t>is not unexpected. Rather, it just reflects the fact that the AI infringement disadvantage</w:t>
      </w:r>
      <w:r w:rsidR="002304A8">
        <w:rPr>
          <w:color w:val="000000"/>
        </w:rPr>
        <w:t xml:space="preserve"> observed earlier</w:t>
      </w:r>
      <w:r w:rsidR="00981003">
        <w:rPr>
          <w:color w:val="000000"/>
        </w:rPr>
        <w:t xml:space="preserve"> is concentrated outside </w:t>
      </w:r>
      <w:r w:rsidR="00B81FF6">
        <w:rPr>
          <w:color w:val="000000"/>
        </w:rPr>
        <w:t>software patents</w:t>
      </w:r>
      <w:r w:rsidR="00981003">
        <w:rPr>
          <w:color w:val="000000"/>
        </w:rPr>
        <w:t xml:space="preserve">. It may reflect difficulty proving accused products practice AI-related claim limitations in more heterogenous technical fields, especially where the patented </w:t>
      </w:r>
      <w:r w:rsidR="00981003">
        <w:rPr>
          <w:color w:val="000000"/>
        </w:rPr>
        <w:lastRenderedPageBreak/>
        <w:t xml:space="preserve">invention is framed around system functionality, sensing, control, automation, or data-processing behavior that is harder to map onto an accused device or process. </w:t>
      </w:r>
      <w:r w:rsidR="007E1AA5" w:rsidRPr="007E1AA5">
        <w:rPr>
          <w:color w:val="000000"/>
        </w:rPr>
        <w:t>Further, it may be that AI alters the nature of technological competition primarily in traditionally non-software industries, where AI functionality is often embedded within physical systems,</w:t>
      </w:r>
      <w:r w:rsidR="007E1AA5">
        <w:rPr>
          <w:color w:val="000000"/>
        </w:rPr>
        <w:t xml:space="preserve"> where it is </w:t>
      </w:r>
      <w:r w:rsidR="007E1AA5" w:rsidRPr="007E1AA5">
        <w:rPr>
          <w:color w:val="000000"/>
        </w:rPr>
        <w:t>less readily observable, and more susceptible to alternative implementations. Within software, by contrast, AI represents an incremental variation on existing algorithmic technologies rather than a distinct mode of innovation. As a result, AI software patents appear to resemble software patents generally with respect to infringement outcomes</w:t>
      </w:r>
      <w:r w:rsidR="007E1AA5">
        <w:rPr>
          <w:color w:val="000000"/>
        </w:rPr>
        <w:t>.</w:t>
      </w:r>
    </w:p>
    <w:p w14:paraId="46ED8BA0" w14:textId="004139B6" w:rsidR="00223D41" w:rsidRPr="00E93EC8" w:rsidRDefault="00223D41" w:rsidP="00E93EC8">
      <w:pPr>
        <w:pStyle w:val="Heading3"/>
        <w:jc w:val="center"/>
        <w:rPr>
          <w:rFonts w:cs="Times New Roman"/>
          <w:b/>
          <w:bCs/>
          <w:color w:val="auto"/>
          <w:sz w:val="24"/>
          <w:szCs w:val="24"/>
        </w:rPr>
      </w:pPr>
      <w:r w:rsidRPr="00E93EC8">
        <w:rPr>
          <w:rFonts w:cs="Times New Roman"/>
          <w:b/>
          <w:bCs/>
          <w:color w:val="auto"/>
          <w:sz w:val="24"/>
          <w:szCs w:val="24"/>
        </w:rPr>
        <w:t>Table 10: Infringement in Software Samples</w:t>
      </w:r>
    </w:p>
    <w:tbl>
      <w:tblPr>
        <w:tblStyle w:val="TableGrid"/>
        <w:tblW w:w="9360" w:type="dxa"/>
        <w:tblLayout w:type="fixed"/>
        <w:tblLook w:val="04A0" w:firstRow="1" w:lastRow="0" w:firstColumn="1" w:lastColumn="0" w:noHBand="0" w:noVBand="1"/>
      </w:tblPr>
      <w:tblGrid>
        <w:gridCol w:w="1700"/>
        <w:gridCol w:w="1278"/>
        <w:gridCol w:w="1277"/>
        <w:gridCol w:w="1277"/>
        <w:gridCol w:w="1277"/>
        <w:gridCol w:w="1277"/>
        <w:gridCol w:w="1274"/>
      </w:tblGrid>
      <w:tr w:rsidR="00223D41" w:rsidRPr="005A2545" w14:paraId="43E8C40C" w14:textId="77777777" w:rsidTr="00287451">
        <w:tc>
          <w:tcPr>
            <w:tcW w:w="1699" w:type="dxa"/>
            <w:shd w:val="clear" w:color="auto" w:fill="F2F2F2"/>
            <w:vAlign w:val="center"/>
          </w:tcPr>
          <w:p w14:paraId="2212410F" w14:textId="77777777" w:rsidR="00223D41" w:rsidRPr="005A2545" w:rsidRDefault="00223D41" w:rsidP="00287451">
            <w:pPr>
              <w:jc w:val="center"/>
              <w:rPr>
                <w:sz w:val="20"/>
                <w:szCs w:val="20"/>
              </w:rPr>
            </w:pPr>
            <w:r w:rsidRPr="005A2545">
              <w:rPr>
                <w:b/>
                <w:sz w:val="20"/>
                <w:szCs w:val="20"/>
              </w:rPr>
              <w:t>Statistic</w:t>
            </w:r>
          </w:p>
        </w:tc>
        <w:tc>
          <w:tcPr>
            <w:tcW w:w="1277" w:type="dxa"/>
            <w:shd w:val="clear" w:color="auto" w:fill="F2F2F2"/>
            <w:vAlign w:val="center"/>
          </w:tcPr>
          <w:p w14:paraId="31569E50" w14:textId="77777777" w:rsidR="00223D41" w:rsidRPr="005A2545" w:rsidRDefault="00223D41" w:rsidP="00287451">
            <w:pPr>
              <w:jc w:val="center"/>
              <w:rPr>
                <w:sz w:val="20"/>
                <w:szCs w:val="20"/>
              </w:rPr>
            </w:pPr>
            <w:r w:rsidRPr="005A2545">
              <w:rPr>
                <w:b/>
                <w:sz w:val="20"/>
                <w:szCs w:val="20"/>
              </w:rPr>
              <w:t>CPC 50%</w:t>
            </w:r>
          </w:p>
        </w:tc>
        <w:tc>
          <w:tcPr>
            <w:tcW w:w="1277" w:type="dxa"/>
            <w:shd w:val="clear" w:color="auto" w:fill="F2F2F2"/>
            <w:vAlign w:val="center"/>
          </w:tcPr>
          <w:p w14:paraId="63042FF0" w14:textId="77777777" w:rsidR="00223D41" w:rsidRPr="005A2545" w:rsidRDefault="00223D41" w:rsidP="00287451">
            <w:pPr>
              <w:jc w:val="center"/>
              <w:rPr>
                <w:sz w:val="20"/>
                <w:szCs w:val="20"/>
              </w:rPr>
            </w:pPr>
            <w:r w:rsidRPr="005A2545">
              <w:rPr>
                <w:b/>
                <w:sz w:val="20"/>
                <w:szCs w:val="20"/>
              </w:rPr>
              <w:t>CPC 86%</w:t>
            </w:r>
          </w:p>
        </w:tc>
        <w:tc>
          <w:tcPr>
            <w:tcW w:w="1277" w:type="dxa"/>
            <w:shd w:val="clear" w:color="auto" w:fill="F2F2F2"/>
            <w:vAlign w:val="center"/>
          </w:tcPr>
          <w:p w14:paraId="32AFF1F7" w14:textId="77777777" w:rsidR="00223D41" w:rsidRPr="005A2545" w:rsidRDefault="00223D41" w:rsidP="00287451">
            <w:pPr>
              <w:jc w:val="center"/>
              <w:rPr>
                <w:sz w:val="20"/>
                <w:szCs w:val="20"/>
              </w:rPr>
            </w:pPr>
            <w:r w:rsidRPr="005A2545">
              <w:rPr>
                <w:b/>
                <w:sz w:val="20"/>
                <w:szCs w:val="20"/>
              </w:rPr>
              <w:t>CPC 93%</w:t>
            </w:r>
          </w:p>
        </w:tc>
        <w:tc>
          <w:tcPr>
            <w:tcW w:w="1277" w:type="dxa"/>
            <w:shd w:val="clear" w:color="auto" w:fill="F2F2F2"/>
            <w:vAlign w:val="center"/>
          </w:tcPr>
          <w:p w14:paraId="22E25A2A" w14:textId="77777777" w:rsidR="00223D41" w:rsidRPr="005A2545" w:rsidRDefault="00223D41" w:rsidP="00287451">
            <w:pPr>
              <w:jc w:val="center"/>
              <w:rPr>
                <w:sz w:val="20"/>
                <w:szCs w:val="20"/>
              </w:rPr>
            </w:pPr>
            <w:r w:rsidRPr="005A2545">
              <w:rPr>
                <w:b/>
                <w:sz w:val="20"/>
                <w:szCs w:val="20"/>
              </w:rPr>
              <w:t>WIPO 50%</w:t>
            </w:r>
          </w:p>
        </w:tc>
        <w:tc>
          <w:tcPr>
            <w:tcW w:w="1277" w:type="dxa"/>
            <w:shd w:val="clear" w:color="auto" w:fill="F2F2F2"/>
            <w:vAlign w:val="center"/>
          </w:tcPr>
          <w:p w14:paraId="60A9B108" w14:textId="77777777" w:rsidR="00223D41" w:rsidRPr="005A2545" w:rsidRDefault="00223D41" w:rsidP="00287451">
            <w:pPr>
              <w:jc w:val="center"/>
              <w:rPr>
                <w:sz w:val="20"/>
                <w:szCs w:val="20"/>
              </w:rPr>
            </w:pPr>
            <w:r w:rsidRPr="005A2545">
              <w:rPr>
                <w:b/>
                <w:sz w:val="20"/>
                <w:szCs w:val="20"/>
              </w:rPr>
              <w:t>WIPO 86%</w:t>
            </w:r>
          </w:p>
        </w:tc>
        <w:tc>
          <w:tcPr>
            <w:tcW w:w="1274" w:type="dxa"/>
            <w:shd w:val="clear" w:color="auto" w:fill="F2F2F2"/>
            <w:vAlign w:val="center"/>
          </w:tcPr>
          <w:p w14:paraId="68F96D73" w14:textId="77777777" w:rsidR="00223D41" w:rsidRPr="005A2545" w:rsidRDefault="00223D41" w:rsidP="00287451">
            <w:pPr>
              <w:jc w:val="center"/>
              <w:rPr>
                <w:sz w:val="20"/>
                <w:szCs w:val="20"/>
              </w:rPr>
            </w:pPr>
            <w:r w:rsidRPr="005A2545">
              <w:rPr>
                <w:b/>
                <w:sz w:val="20"/>
                <w:szCs w:val="20"/>
              </w:rPr>
              <w:t>WIPO 93%</w:t>
            </w:r>
          </w:p>
        </w:tc>
      </w:tr>
      <w:tr w:rsidR="00223D41" w:rsidRPr="005A2545" w14:paraId="7E088F11" w14:textId="77777777" w:rsidTr="00287451">
        <w:tc>
          <w:tcPr>
            <w:tcW w:w="1699" w:type="dxa"/>
            <w:vAlign w:val="center"/>
          </w:tcPr>
          <w:p w14:paraId="53B5D015" w14:textId="77777777" w:rsidR="00223D41" w:rsidRPr="005A2545" w:rsidRDefault="00223D41" w:rsidP="00287451">
            <w:pPr>
              <w:rPr>
                <w:sz w:val="20"/>
                <w:szCs w:val="20"/>
              </w:rPr>
            </w:pPr>
            <w:r w:rsidRPr="005A2545">
              <w:rPr>
                <w:b/>
                <w:sz w:val="20"/>
                <w:szCs w:val="20"/>
              </w:rPr>
              <w:t>AI coefficient</w:t>
            </w:r>
          </w:p>
        </w:tc>
        <w:tc>
          <w:tcPr>
            <w:tcW w:w="1277" w:type="dxa"/>
            <w:vAlign w:val="center"/>
          </w:tcPr>
          <w:p w14:paraId="00FC99AA" w14:textId="77777777" w:rsidR="00223D41" w:rsidRPr="005A2545" w:rsidRDefault="00223D41" w:rsidP="00287451">
            <w:pPr>
              <w:jc w:val="center"/>
              <w:rPr>
                <w:sz w:val="20"/>
                <w:szCs w:val="20"/>
              </w:rPr>
            </w:pPr>
            <w:r w:rsidRPr="005A2545">
              <w:rPr>
                <w:sz w:val="20"/>
                <w:szCs w:val="20"/>
              </w:rPr>
              <w:t>-2.29</w:t>
            </w:r>
            <w:r w:rsidRPr="005A2545">
              <w:rPr>
                <w:sz w:val="20"/>
                <w:szCs w:val="20"/>
              </w:rPr>
              <w:br/>
              <w:t>(1.99)</w:t>
            </w:r>
          </w:p>
        </w:tc>
        <w:tc>
          <w:tcPr>
            <w:tcW w:w="1277" w:type="dxa"/>
            <w:vAlign w:val="center"/>
          </w:tcPr>
          <w:p w14:paraId="759FAEAD" w14:textId="77777777" w:rsidR="00223D41" w:rsidRPr="005A2545" w:rsidRDefault="00223D41" w:rsidP="00287451">
            <w:pPr>
              <w:jc w:val="center"/>
              <w:rPr>
                <w:sz w:val="20"/>
                <w:szCs w:val="20"/>
              </w:rPr>
            </w:pPr>
            <w:r w:rsidRPr="005A2545">
              <w:rPr>
                <w:sz w:val="20"/>
                <w:szCs w:val="20"/>
              </w:rPr>
              <w:t>-1.42</w:t>
            </w:r>
            <w:r w:rsidRPr="005A2545">
              <w:rPr>
                <w:sz w:val="20"/>
                <w:szCs w:val="20"/>
              </w:rPr>
              <w:br/>
              <w:t>(1.95)</w:t>
            </w:r>
          </w:p>
        </w:tc>
        <w:tc>
          <w:tcPr>
            <w:tcW w:w="1277" w:type="dxa"/>
            <w:vAlign w:val="center"/>
          </w:tcPr>
          <w:p w14:paraId="09FD0B3A" w14:textId="77777777" w:rsidR="00223D41" w:rsidRPr="005A2545" w:rsidRDefault="00223D41" w:rsidP="00287451">
            <w:pPr>
              <w:jc w:val="center"/>
              <w:rPr>
                <w:sz w:val="20"/>
                <w:szCs w:val="20"/>
              </w:rPr>
            </w:pPr>
            <w:r w:rsidRPr="005A2545">
              <w:rPr>
                <w:sz w:val="20"/>
                <w:szCs w:val="20"/>
              </w:rPr>
              <w:t>-1.38</w:t>
            </w:r>
            <w:r w:rsidRPr="005A2545">
              <w:rPr>
                <w:sz w:val="20"/>
                <w:szCs w:val="20"/>
              </w:rPr>
              <w:br/>
              <w:t>(2.01)</w:t>
            </w:r>
          </w:p>
        </w:tc>
        <w:tc>
          <w:tcPr>
            <w:tcW w:w="1277" w:type="dxa"/>
            <w:vAlign w:val="center"/>
          </w:tcPr>
          <w:p w14:paraId="4BA46FFC" w14:textId="77777777" w:rsidR="00223D41" w:rsidRPr="005A2545" w:rsidRDefault="00223D41" w:rsidP="00287451">
            <w:pPr>
              <w:jc w:val="center"/>
              <w:rPr>
                <w:sz w:val="20"/>
                <w:szCs w:val="20"/>
              </w:rPr>
            </w:pPr>
            <w:r w:rsidRPr="005A2545">
              <w:rPr>
                <w:sz w:val="20"/>
                <w:szCs w:val="20"/>
              </w:rPr>
              <w:t>-3.12*</w:t>
            </w:r>
            <w:r w:rsidRPr="005A2545">
              <w:rPr>
                <w:sz w:val="20"/>
                <w:szCs w:val="20"/>
              </w:rPr>
              <w:br/>
              <w:t>(1.63)</w:t>
            </w:r>
          </w:p>
        </w:tc>
        <w:tc>
          <w:tcPr>
            <w:tcW w:w="1277" w:type="dxa"/>
            <w:vAlign w:val="center"/>
          </w:tcPr>
          <w:p w14:paraId="7E68EE0F" w14:textId="77777777" w:rsidR="00223D41" w:rsidRPr="005A2545" w:rsidRDefault="00223D41" w:rsidP="00287451">
            <w:pPr>
              <w:jc w:val="center"/>
              <w:rPr>
                <w:sz w:val="20"/>
                <w:szCs w:val="20"/>
              </w:rPr>
            </w:pPr>
            <w:r w:rsidRPr="005A2545">
              <w:rPr>
                <w:sz w:val="20"/>
                <w:szCs w:val="20"/>
              </w:rPr>
              <w:t>-2.46</w:t>
            </w:r>
            <w:r w:rsidRPr="005A2545">
              <w:rPr>
                <w:sz w:val="20"/>
                <w:szCs w:val="20"/>
              </w:rPr>
              <w:br/>
              <w:t>(1.66)</w:t>
            </w:r>
          </w:p>
        </w:tc>
        <w:tc>
          <w:tcPr>
            <w:tcW w:w="1274" w:type="dxa"/>
            <w:vAlign w:val="center"/>
          </w:tcPr>
          <w:p w14:paraId="1A81BBA6" w14:textId="77777777" w:rsidR="00223D41" w:rsidRPr="005A2545" w:rsidRDefault="00223D41" w:rsidP="00287451">
            <w:pPr>
              <w:jc w:val="center"/>
              <w:rPr>
                <w:sz w:val="20"/>
                <w:szCs w:val="20"/>
              </w:rPr>
            </w:pPr>
            <w:r w:rsidRPr="005A2545">
              <w:rPr>
                <w:sz w:val="20"/>
                <w:szCs w:val="20"/>
              </w:rPr>
              <w:t>-2.51</w:t>
            </w:r>
            <w:r w:rsidRPr="005A2545">
              <w:rPr>
                <w:sz w:val="20"/>
                <w:szCs w:val="20"/>
              </w:rPr>
              <w:br/>
              <w:t>(1.70)</w:t>
            </w:r>
          </w:p>
        </w:tc>
      </w:tr>
      <w:tr w:rsidR="00223D41" w:rsidRPr="005A2545" w14:paraId="2AC8FB0D" w14:textId="77777777" w:rsidTr="00287451">
        <w:tc>
          <w:tcPr>
            <w:tcW w:w="1699" w:type="dxa"/>
            <w:vAlign w:val="center"/>
          </w:tcPr>
          <w:p w14:paraId="29656F1F" w14:textId="77777777" w:rsidR="00223D41" w:rsidRPr="005A2545" w:rsidRDefault="00223D41" w:rsidP="00287451">
            <w:pPr>
              <w:rPr>
                <w:sz w:val="20"/>
                <w:szCs w:val="20"/>
              </w:rPr>
            </w:pPr>
            <w:r w:rsidRPr="005A2545">
              <w:rPr>
                <w:b/>
                <w:sz w:val="20"/>
                <w:szCs w:val="20"/>
              </w:rPr>
              <w:t>Alpha</w:t>
            </w:r>
          </w:p>
        </w:tc>
        <w:tc>
          <w:tcPr>
            <w:tcW w:w="1277" w:type="dxa"/>
            <w:vAlign w:val="center"/>
          </w:tcPr>
          <w:p w14:paraId="3364B9FA" w14:textId="77777777" w:rsidR="00223D41" w:rsidRPr="005A2545" w:rsidRDefault="00223D41" w:rsidP="00287451">
            <w:pPr>
              <w:jc w:val="center"/>
              <w:rPr>
                <w:sz w:val="20"/>
                <w:szCs w:val="20"/>
              </w:rPr>
            </w:pPr>
            <w:r w:rsidRPr="005A2545">
              <w:rPr>
                <w:sz w:val="20"/>
                <w:szCs w:val="20"/>
              </w:rPr>
              <w:t>n.s.</w:t>
            </w:r>
          </w:p>
        </w:tc>
        <w:tc>
          <w:tcPr>
            <w:tcW w:w="1277" w:type="dxa"/>
            <w:vAlign w:val="center"/>
          </w:tcPr>
          <w:p w14:paraId="3A3F6AC3" w14:textId="77777777" w:rsidR="00223D41" w:rsidRPr="005A2545" w:rsidRDefault="00223D41" w:rsidP="00287451">
            <w:pPr>
              <w:jc w:val="center"/>
              <w:rPr>
                <w:sz w:val="20"/>
                <w:szCs w:val="20"/>
              </w:rPr>
            </w:pPr>
            <w:r w:rsidRPr="005A2545">
              <w:rPr>
                <w:sz w:val="20"/>
                <w:szCs w:val="20"/>
              </w:rPr>
              <w:t>n.s.</w:t>
            </w:r>
          </w:p>
        </w:tc>
        <w:tc>
          <w:tcPr>
            <w:tcW w:w="1277" w:type="dxa"/>
            <w:vAlign w:val="center"/>
          </w:tcPr>
          <w:p w14:paraId="2DEF847F" w14:textId="77777777" w:rsidR="00223D41" w:rsidRPr="005A2545" w:rsidRDefault="00223D41" w:rsidP="00287451">
            <w:pPr>
              <w:jc w:val="center"/>
              <w:rPr>
                <w:sz w:val="20"/>
                <w:szCs w:val="20"/>
              </w:rPr>
            </w:pPr>
            <w:r w:rsidRPr="005A2545">
              <w:rPr>
                <w:sz w:val="20"/>
                <w:szCs w:val="20"/>
              </w:rPr>
              <w:t>n.s.</w:t>
            </w:r>
          </w:p>
        </w:tc>
        <w:tc>
          <w:tcPr>
            <w:tcW w:w="1277" w:type="dxa"/>
            <w:vAlign w:val="center"/>
          </w:tcPr>
          <w:p w14:paraId="58BAC4D1" w14:textId="77777777" w:rsidR="00223D41" w:rsidRPr="005A2545" w:rsidRDefault="00223D41" w:rsidP="00287451">
            <w:pPr>
              <w:jc w:val="center"/>
              <w:rPr>
                <w:sz w:val="20"/>
                <w:szCs w:val="20"/>
              </w:rPr>
            </w:pPr>
            <w:r w:rsidRPr="005A2545">
              <w:rPr>
                <w:sz w:val="20"/>
                <w:szCs w:val="20"/>
              </w:rPr>
              <w:t>0.10</w:t>
            </w:r>
          </w:p>
        </w:tc>
        <w:tc>
          <w:tcPr>
            <w:tcW w:w="1277" w:type="dxa"/>
            <w:vAlign w:val="center"/>
          </w:tcPr>
          <w:p w14:paraId="101D671C" w14:textId="77777777" w:rsidR="00223D41" w:rsidRPr="005A2545" w:rsidRDefault="00223D41" w:rsidP="00287451">
            <w:pPr>
              <w:jc w:val="center"/>
              <w:rPr>
                <w:sz w:val="20"/>
                <w:szCs w:val="20"/>
              </w:rPr>
            </w:pPr>
            <w:r w:rsidRPr="005A2545">
              <w:rPr>
                <w:sz w:val="20"/>
                <w:szCs w:val="20"/>
              </w:rPr>
              <w:t>n.s.</w:t>
            </w:r>
          </w:p>
        </w:tc>
        <w:tc>
          <w:tcPr>
            <w:tcW w:w="1274" w:type="dxa"/>
            <w:vAlign w:val="center"/>
          </w:tcPr>
          <w:p w14:paraId="53096733" w14:textId="77777777" w:rsidR="00223D41" w:rsidRPr="005A2545" w:rsidRDefault="00223D41" w:rsidP="00287451">
            <w:pPr>
              <w:jc w:val="center"/>
              <w:rPr>
                <w:sz w:val="20"/>
                <w:szCs w:val="20"/>
              </w:rPr>
            </w:pPr>
            <w:r w:rsidRPr="005A2545">
              <w:rPr>
                <w:sz w:val="20"/>
                <w:szCs w:val="20"/>
              </w:rPr>
              <w:t>n.s.</w:t>
            </w:r>
          </w:p>
        </w:tc>
      </w:tr>
      <w:tr w:rsidR="00223D41" w:rsidRPr="005A2545" w14:paraId="1D04F3BD" w14:textId="77777777" w:rsidTr="00287451">
        <w:tc>
          <w:tcPr>
            <w:tcW w:w="1699" w:type="dxa"/>
            <w:vAlign w:val="center"/>
          </w:tcPr>
          <w:p w14:paraId="7B53EE4C" w14:textId="77777777" w:rsidR="00223D41" w:rsidRPr="005A2545" w:rsidRDefault="00223D41" w:rsidP="00287451">
            <w:pPr>
              <w:rPr>
                <w:sz w:val="20"/>
                <w:szCs w:val="20"/>
              </w:rPr>
            </w:pPr>
            <w:r w:rsidRPr="005A2545">
              <w:rPr>
                <w:b/>
                <w:sz w:val="20"/>
                <w:szCs w:val="20"/>
              </w:rPr>
              <w:t>Pr(non-AI)</w:t>
            </w:r>
          </w:p>
        </w:tc>
        <w:tc>
          <w:tcPr>
            <w:tcW w:w="1277" w:type="dxa"/>
            <w:vAlign w:val="center"/>
          </w:tcPr>
          <w:p w14:paraId="5DE9CBE0" w14:textId="77777777" w:rsidR="00223D41" w:rsidRPr="005A2545" w:rsidRDefault="00223D41" w:rsidP="00287451">
            <w:pPr>
              <w:jc w:val="center"/>
              <w:rPr>
                <w:sz w:val="20"/>
                <w:szCs w:val="20"/>
              </w:rPr>
            </w:pPr>
            <w:r w:rsidRPr="005A2545">
              <w:rPr>
                <w:sz w:val="20"/>
                <w:szCs w:val="20"/>
              </w:rPr>
              <w:t>25.3%</w:t>
            </w:r>
          </w:p>
        </w:tc>
        <w:tc>
          <w:tcPr>
            <w:tcW w:w="1277" w:type="dxa"/>
            <w:vAlign w:val="center"/>
          </w:tcPr>
          <w:p w14:paraId="6D3F2A5D" w14:textId="77777777" w:rsidR="00223D41" w:rsidRPr="005A2545" w:rsidRDefault="00223D41" w:rsidP="00287451">
            <w:pPr>
              <w:jc w:val="center"/>
              <w:rPr>
                <w:sz w:val="20"/>
                <w:szCs w:val="20"/>
              </w:rPr>
            </w:pPr>
            <w:r w:rsidRPr="005A2545">
              <w:rPr>
                <w:sz w:val="20"/>
                <w:szCs w:val="20"/>
              </w:rPr>
              <w:t>24.7%</w:t>
            </w:r>
          </w:p>
        </w:tc>
        <w:tc>
          <w:tcPr>
            <w:tcW w:w="1277" w:type="dxa"/>
            <w:vAlign w:val="center"/>
          </w:tcPr>
          <w:p w14:paraId="2B491165" w14:textId="77777777" w:rsidR="00223D41" w:rsidRPr="005A2545" w:rsidRDefault="00223D41" w:rsidP="00287451">
            <w:pPr>
              <w:jc w:val="center"/>
              <w:rPr>
                <w:sz w:val="20"/>
                <w:szCs w:val="20"/>
              </w:rPr>
            </w:pPr>
            <w:r w:rsidRPr="005A2545">
              <w:rPr>
                <w:sz w:val="20"/>
                <w:szCs w:val="20"/>
              </w:rPr>
              <w:t>24.7%</w:t>
            </w:r>
          </w:p>
        </w:tc>
        <w:tc>
          <w:tcPr>
            <w:tcW w:w="1277" w:type="dxa"/>
            <w:vAlign w:val="center"/>
          </w:tcPr>
          <w:p w14:paraId="2D2D20D7" w14:textId="77777777" w:rsidR="00223D41" w:rsidRPr="005A2545" w:rsidRDefault="00223D41" w:rsidP="00287451">
            <w:pPr>
              <w:jc w:val="center"/>
              <w:rPr>
                <w:sz w:val="20"/>
                <w:szCs w:val="20"/>
              </w:rPr>
            </w:pPr>
            <w:r w:rsidRPr="005A2545">
              <w:rPr>
                <w:sz w:val="20"/>
                <w:szCs w:val="20"/>
              </w:rPr>
              <w:t>25.6%</w:t>
            </w:r>
          </w:p>
        </w:tc>
        <w:tc>
          <w:tcPr>
            <w:tcW w:w="1277" w:type="dxa"/>
            <w:vAlign w:val="center"/>
          </w:tcPr>
          <w:p w14:paraId="3751A715" w14:textId="77777777" w:rsidR="00223D41" w:rsidRPr="005A2545" w:rsidRDefault="00223D41" w:rsidP="00287451">
            <w:pPr>
              <w:jc w:val="center"/>
              <w:rPr>
                <w:sz w:val="20"/>
                <w:szCs w:val="20"/>
              </w:rPr>
            </w:pPr>
            <w:r w:rsidRPr="005A2545">
              <w:rPr>
                <w:sz w:val="20"/>
                <w:szCs w:val="20"/>
              </w:rPr>
              <w:t>25.1%</w:t>
            </w:r>
          </w:p>
        </w:tc>
        <w:tc>
          <w:tcPr>
            <w:tcW w:w="1274" w:type="dxa"/>
            <w:vAlign w:val="center"/>
          </w:tcPr>
          <w:p w14:paraId="52839556" w14:textId="77777777" w:rsidR="00223D41" w:rsidRPr="005A2545" w:rsidRDefault="00223D41" w:rsidP="00287451">
            <w:pPr>
              <w:jc w:val="center"/>
              <w:rPr>
                <w:sz w:val="20"/>
                <w:szCs w:val="20"/>
              </w:rPr>
            </w:pPr>
            <w:r w:rsidRPr="005A2545">
              <w:rPr>
                <w:sz w:val="20"/>
                <w:szCs w:val="20"/>
              </w:rPr>
              <w:t>25.1%</w:t>
            </w:r>
          </w:p>
        </w:tc>
      </w:tr>
      <w:tr w:rsidR="00223D41" w:rsidRPr="005A2545" w14:paraId="0AA89335" w14:textId="77777777" w:rsidTr="00287451">
        <w:tc>
          <w:tcPr>
            <w:tcW w:w="1699" w:type="dxa"/>
            <w:vAlign w:val="center"/>
          </w:tcPr>
          <w:p w14:paraId="620757EC" w14:textId="77777777" w:rsidR="00223D41" w:rsidRPr="005A2545" w:rsidRDefault="00223D41" w:rsidP="00287451">
            <w:pPr>
              <w:rPr>
                <w:sz w:val="20"/>
                <w:szCs w:val="20"/>
              </w:rPr>
            </w:pPr>
            <w:r w:rsidRPr="005A2545">
              <w:rPr>
                <w:b/>
                <w:sz w:val="20"/>
                <w:szCs w:val="20"/>
              </w:rPr>
              <w:t>Pr(AI)</w:t>
            </w:r>
          </w:p>
        </w:tc>
        <w:tc>
          <w:tcPr>
            <w:tcW w:w="1277" w:type="dxa"/>
            <w:vAlign w:val="center"/>
          </w:tcPr>
          <w:p w14:paraId="4EC4F6C3" w14:textId="77777777" w:rsidR="00223D41" w:rsidRPr="005A2545" w:rsidRDefault="00223D41" w:rsidP="00287451">
            <w:pPr>
              <w:jc w:val="center"/>
              <w:rPr>
                <w:sz w:val="20"/>
                <w:szCs w:val="20"/>
              </w:rPr>
            </w:pPr>
            <w:r w:rsidRPr="005A2545">
              <w:rPr>
                <w:sz w:val="20"/>
                <w:szCs w:val="20"/>
              </w:rPr>
              <w:t>23.0%</w:t>
            </w:r>
          </w:p>
        </w:tc>
        <w:tc>
          <w:tcPr>
            <w:tcW w:w="1277" w:type="dxa"/>
            <w:vAlign w:val="center"/>
          </w:tcPr>
          <w:p w14:paraId="753B849B" w14:textId="77777777" w:rsidR="00223D41" w:rsidRPr="005A2545" w:rsidRDefault="00223D41" w:rsidP="00287451">
            <w:pPr>
              <w:jc w:val="center"/>
              <w:rPr>
                <w:sz w:val="20"/>
                <w:szCs w:val="20"/>
              </w:rPr>
            </w:pPr>
            <w:r w:rsidRPr="005A2545">
              <w:rPr>
                <w:sz w:val="20"/>
                <w:szCs w:val="20"/>
              </w:rPr>
              <w:t>23.3%</w:t>
            </w:r>
          </w:p>
        </w:tc>
        <w:tc>
          <w:tcPr>
            <w:tcW w:w="1277" w:type="dxa"/>
            <w:vAlign w:val="center"/>
          </w:tcPr>
          <w:p w14:paraId="075B327C" w14:textId="77777777" w:rsidR="00223D41" w:rsidRPr="005A2545" w:rsidRDefault="00223D41" w:rsidP="00287451">
            <w:pPr>
              <w:jc w:val="center"/>
              <w:rPr>
                <w:sz w:val="20"/>
                <w:szCs w:val="20"/>
              </w:rPr>
            </w:pPr>
            <w:r w:rsidRPr="005A2545">
              <w:rPr>
                <w:sz w:val="20"/>
                <w:szCs w:val="20"/>
              </w:rPr>
              <w:t>23.3%</w:t>
            </w:r>
          </w:p>
        </w:tc>
        <w:tc>
          <w:tcPr>
            <w:tcW w:w="1277" w:type="dxa"/>
            <w:vAlign w:val="center"/>
          </w:tcPr>
          <w:p w14:paraId="50AC8268" w14:textId="77777777" w:rsidR="00223D41" w:rsidRPr="005A2545" w:rsidRDefault="00223D41" w:rsidP="00287451">
            <w:pPr>
              <w:jc w:val="center"/>
              <w:rPr>
                <w:sz w:val="20"/>
                <w:szCs w:val="20"/>
              </w:rPr>
            </w:pPr>
            <w:r w:rsidRPr="005A2545">
              <w:rPr>
                <w:sz w:val="20"/>
                <w:szCs w:val="20"/>
              </w:rPr>
              <w:t>22.5%</w:t>
            </w:r>
          </w:p>
        </w:tc>
        <w:tc>
          <w:tcPr>
            <w:tcW w:w="1277" w:type="dxa"/>
            <w:vAlign w:val="center"/>
          </w:tcPr>
          <w:p w14:paraId="0513B4F0" w14:textId="77777777" w:rsidR="00223D41" w:rsidRPr="005A2545" w:rsidRDefault="00223D41" w:rsidP="00287451">
            <w:pPr>
              <w:jc w:val="center"/>
              <w:rPr>
                <w:sz w:val="20"/>
                <w:szCs w:val="20"/>
              </w:rPr>
            </w:pPr>
            <w:r w:rsidRPr="005A2545">
              <w:rPr>
                <w:sz w:val="20"/>
                <w:szCs w:val="20"/>
              </w:rPr>
              <w:t>22.7%</w:t>
            </w:r>
          </w:p>
        </w:tc>
        <w:tc>
          <w:tcPr>
            <w:tcW w:w="1274" w:type="dxa"/>
            <w:vAlign w:val="center"/>
          </w:tcPr>
          <w:p w14:paraId="601116E7" w14:textId="77777777" w:rsidR="00223D41" w:rsidRPr="005A2545" w:rsidRDefault="00223D41" w:rsidP="00287451">
            <w:pPr>
              <w:jc w:val="center"/>
              <w:rPr>
                <w:sz w:val="20"/>
                <w:szCs w:val="20"/>
              </w:rPr>
            </w:pPr>
            <w:r w:rsidRPr="005A2545">
              <w:rPr>
                <w:sz w:val="20"/>
                <w:szCs w:val="20"/>
              </w:rPr>
              <w:t>22.5%</w:t>
            </w:r>
          </w:p>
        </w:tc>
      </w:tr>
      <w:tr w:rsidR="00223D41" w:rsidRPr="005A2545" w14:paraId="4C73E994" w14:textId="77777777" w:rsidTr="00287451">
        <w:tc>
          <w:tcPr>
            <w:tcW w:w="1699" w:type="dxa"/>
            <w:vAlign w:val="center"/>
          </w:tcPr>
          <w:p w14:paraId="00241254" w14:textId="77777777" w:rsidR="00223D41" w:rsidRPr="005A2545" w:rsidRDefault="00223D41" w:rsidP="00287451">
            <w:pPr>
              <w:rPr>
                <w:sz w:val="20"/>
                <w:szCs w:val="20"/>
              </w:rPr>
            </w:pPr>
            <w:r w:rsidRPr="005A2545">
              <w:rPr>
                <w:b/>
                <w:sz w:val="20"/>
                <w:szCs w:val="20"/>
              </w:rPr>
              <w:t>Relative change</w:t>
            </w:r>
          </w:p>
        </w:tc>
        <w:tc>
          <w:tcPr>
            <w:tcW w:w="1277" w:type="dxa"/>
            <w:vAlign w:val="center"/>
          </w:tcPr>
          <w:p w14:paraId="02DFCB3B" w14:textId="77777777" w:rsidR="00223D41" w:rsidRPr="005A2545" w:rsidRDefault="00223D41" w:rsidP="00287451">
            <w:pPr>
              <w:jc w:val="center"/>
              <w:rPr>
                <w:sz w:val="20"/>
                <w:szCs w:val="20"/>
              </w:rPr>
            </w:pPr>
            <w:r w:rsidRPr="005A2545">
              <w:rPr>
                <w:sz w:val="20"/>
                <w:szCs w:val="20"/>
              </w:rPr>
              <w:t>-9.0%</w:t>
            </w:r>
          </w:p>
        </w:tc>
        <w:tc>
          <w:tcPr>
            <w:tcW w:w="1277" w:type="dxa"/>
            <w:vAlign w:val="center"/>
          </w:tcPr>
          <w:p w14:paraId="5E843814" w14:textId="77777777" w:rsidR="00223D41" w:rsidRPr="005A2545" w:rsidRDefault="00223D41" w:rsidP="00287451">
            <w:pPr>
              <w:jc w:val="center"/>
              <w:rPr>
                <w:sz w:val="20"/>
                <w:szCs w:val="20"/>
              </w:rPr>
            </w:pPr>
            <w:r w:rsidRPr="005A2545">
              <w:rPr>
                <w:sz w:val="20"/>
                <w:szCs w:val="20"/>
              </w:rPr>
              <w:t>-5.7%</w:t>
            </w:r>
          </w:p>
        </w:tc>
        <w:tc>
          <w:tcPr>
            <w:tcW w:w="1277" w:type="dxa"/>
            <w:vAlign w:val="center"/>
          </w:tcPr>
          <w:p w14:paraId="11682E79" w14:textId="77777777" w:rsidR="00223D41" w:rsidRPr="005A2545" w:rsidRDefault="00223D41" w:rsidP="00287451">
            <w:pPr>
              <w:jc w:val="center"/>
              <w:rPr>
                <w:sz w:val="20"/>
                <w:szCs w:val="20"/>
              </w:rPr>
            </w:pPr>
            <w:r w:rsidRPr="005A2545">
              <w:rPr>
                <w:sz w:val="20"/>
                <w:szCs w:val="20"/>
              </w:rPr>
              <w:t>-5.6%</w:t>
            </w:r>
          </w:p>
        </w:tc>
        <w:tc>
          <w:tcPr>
            <w:tcW w:w="1277" w:type="dxa"/>
            <w:vAlign w:val="center"/>
          </w:tcPr>
          <w:p w14:paraId="64CB9BFD" w14:textId="77777777" w:rsidR="00223D41" w:rsidRPr="005A2545" w:rsidRDefault="00223D41" w:rsidP="00287451">
            <w:pPr>
              <w:jc w:val="center"/>
              <w:rPr>
                <w:sz w:val="20"/>
                <w:szCs w:val="20"/>
              </w:rPr>
            </w:pPr>
            <w:r w:rsidRPr="005A2545">
              <w:rPr>
                <w:sz w:val="20"/>
                <w:szCs w:val="20"/>
              </w:rPr>
              <w:t>-12.2%</w:t>
            </w:r>
          </w:p>
        </w:tc>
        <w:tc>
          <w:tcPr>
            <w:tcW w:w="1277" w:type="dxa"/>
            <w:vAlign w:val="center"/>
          </w:tcPr>
          <w:p w14:paraId="722C366A" w14:textId="77777777" w:rsidR="00223D41" w:rsidRPr="005A2545" w:rsidRDefault="00223D41" w:rsidP="00287451">
            <w:pPr>
              <w:jc w:val="center"/>
              <w:rPr>
                <w:sz w:val="20"/>
                <w:szCs w:val="20"/>
              </w:rPr>
            </w:pPr>
            <w:r w:rsidRPr="005A2545">
              <w:rPr>
                <w:sz w:val="20"/>
                <w:szCs w:val="20"/>
              </w:rPr>
              <w:t>-9.8%</w:t>
            </w:r>
          </w:p>
        </w:tc>
        <w:tc>
          <w:tcPr>
            <w:tcW w:w="1274" w:type="dxa"/>
            <w:vAlign w:val="center"/>
          </w:tcPr>
          <w:p w14:paraId="253063DD" w14:textId="77777777" w:rsidR="00223D41" w:rsidRPr="005A2545" w:rsidRDefault="00223D41" w:rsidP="00287451">
            <w:pPr>
              <w:jc w:val="center"/>
              <w:rPr>
                <w:sz w:val="20"/>
                <w:szCs w:val="20"/>
              </w:rPr>
            </w:pPr>
            <w:r w:rsidRPr="005A2545">
              <w:rPr>
                <w:sz w:val="20"/>
                <w:szCs w:val="20"/>
              </w:rPr>
              <w:t>-10.0%</w:t>
            </w:r>
          </w:p>
        </w:tc>
      </w:tr>
      <w:tr w:rsidR="00223D41" w:rsidRPr="005A2545" w14:paraId="4BFCD170" w14:textId="77777777" w:rsidTr="00287451">
        <w:tc>
          <w:tcPr>
            <w:tcW w:w="1699" w:type="dxa"/>
            <w:vAlign w:val="center"/>
          </w:tcPr>
          <w:p w14:paraId="15D4B9DF" w14:textId="77777777" w:rsidR="00223D41" w:rsidRPr="005A2545" w:rsidRDefault="00223D41" w:rsidP="00287451">
            <w:pPr>
              <w:rPr>
                <w:sz w:val="20"/>
                <w:szCs w:val="20"/>
              </w:rPr>
            </w:pPr>
            <w:r w:rsidRPr="005A2545">
              <w:rPr>
                <w:b/>
                <w:sz w:val="20"/>
                <w:szCs w:val="20"/>
              </w:rPr>
              <w:t>N</w:t>
            </w:r>
          </w:p>
        </w:tc>
        <w:tc>
          <w:tcPr>
            <w:tcW w:w="1277" w:type="dxa"/>
            <w:vAlign w:val="center"/>
          </w:tcPr>
          <w:p w14:paraId="1CEB5118" w14:textId="77777777" w:rsidR="00223D41" w:rsidRPr="005A2545" w:rsidRDefault="00223D41" w:rsidP="00287451">
            <w:pPr>
              <w:jc w:val="center"/>
              <w:rPr>
                <w:sz w:val="20"/>
                <w:szCs w:val="20"/>
              </w:rPr>
            </w:pPr>
            <w:r w:rsidRPr="005A2545">
              <w:rPr>
                <w:sz w:val="20"/>
                <w:szCs w:val="20"/>
              </w:rPr>
              <w:t>1,524</w:t>
            </w:r>
          </w:p>
        </w:tc>
        <w:tc>
          <w:tcPr>
            <w:tcW w:w="1277" w:type="dxa"/>
            <w:vAlign w:val="center"/>
          </w:tcPr>
          <w:p w14:paraId="0A92B839" w14:textId="77777777" w:rsidR="00223D41" w:rsidRPr="005A2545" w:rsidRDefault="00223D41" w:rsidP="00287451">
            <w:pPr>
              <w:jc w:val="center"/>
              <w:rPr>
                <w:sz w:val="20"/>
                <w:szCs w:val="20"/>
              </w:rPr>
            </w:pPr>
            <w:r w:rsidRPr="005A2545">
              <w:rPr>
                <w:sz w:val="20"/>
                <w:szCs w:val="20"/>
              </w:rPr>
              <w:t>1,524</w:t>
            </w:r>
          </w:p>
        </w:tc>
        <w:tc>
          <w:tcPr>
            <w:tcW w:w="1277" w:type="dxa"/>
            <w:vAlign w:val="center"/>
          </w:tcPr>
          <w:p w14:paraId="39B22685" w14:textId="77777777" w:rsidR="00223D41" w:rsidRPr="005A2545" w:rsidRDefault="00223D41" w:rsidP="00287451">
            <w:pPr>
              <w:jc w:val="center"/>
              <w:rPr>
                <w:sz w:val="20"/>
                <w:szCs w:val="20"/>
              </w:rPr>
            </w:pPr>
            <w:r w:rsidRPr="005A2545">
              <w:rPr>
                <w:sz w:val="20"/>
                <w:szCs w:val="20"/>
              </w:rPr>
              <w:t>1,524</w:t>
            </w:r>
          </w:p>
        </w:tc>
        <w:tc>
          <w:tcPr>
            <w:tcW w:w="1277" w:type="dxa"/>
            <w:vAlign w:val="center"/>
          </w:tcPr>
          <w:p w14:paraId="027C7E8F" w14:textId="77777777" w:rsidR="00223D41" w:rsidRPr="005A2545" w:rsidRDefault="00223D41" w:rsidP="00287451">
            <w:pPr>
              <w:jc w:val="center"/>
              <w:rPr>
                <w:sz w:val="20"/>
                <w:szCs w:val="20"/>
              </w:rPr>
            </w:pPr>
            <w:r w:rsidRPr="005A2545">
              <w:rPr>
                <w:sz w:val="20"/>
                <w:szCs w:val="20"/>
              </w:rPr>
              <w:t>2,509</w:t>
            </w:r>
          </w:p>
        </w:tc>
        <w:tc>
          <w:tcPr>
            <w:tcW w:w="1277" w:type="dxa"/>
            <w:vAlign w:val="center"/>
          </w:tcPr>
          <w:p w14:paraId="7D0FD6F0" w14:textId="77777777" w:rsidR="00223D41" w:rsidRPr="005A2545" w:rsidRDefault="00223D41" w:rsidP="00287451">
            <w:pPr>
              <w:jc w:val="center"/>
              <w:rPr>
                <w:sz w:val="20"/>
                <w:szCs w:val="20"/>
              </w:rPr>
            </w:pPr>
            <w:r w:rsidRPr="005A2545">
              <w:rPr>
                <w:sz w:val="20"/>
                <w:szCs w:val="20"/>
              </w:rPr>
              <w:t>2,509</w:t>
            </w:r>
          </w:p>
        </w:tc>
        <w:tc>
          <w:tcPr>
            <w:tcW w:w="1274" w:type="dxa"/>
            <w:vAlign w:val="center"/>
          </w:tcPr>
          <w:p w14:paraId="63B5AEB9" w14:textId="77777777" w:rsidR="00223D41" w:rsidRPr="005A2545" w:rsidRDefault="00223D41" w:rsidP="00287451">
            <w:pPr>
              <w:jc w:val="center"/>
              <w:rPr>
                <w:sz w:val="20"/>
                <w:szCs w:val="20"/>
              </w:rPr>
            </w:pPr>
            <w:r w:rsidRPr="005A2545">
              <w:rPr>
                <w:sz w:val="20"/>
                <w:szCs w:val="20"/>
              </w:rPr>
              <w:t>2,509</w:t>
            </w:r>
          </w:p>
        </w:tc>
      </w:tr>
      <w:tr w:rsidR="00223D41" w:rsidRPr="005A2545" w14:paraId="0377DE55" w14:textId="77777777" w:rsidTr="00287451">
        <w:tc>
          <w:tcPr>
            <w:tcW w:w="1699" w:type="dxa"/>
            <w:vAlign w:val="center"/>
          </w:tcPr>
          <w:p w14:paraId="3CFB948C" w14:textId="77777777" w:rsidR="00223D41" w:rsidRPr="005A2545" w:rsidRDefault="00223D41" w:rsidP="00287451">
            <w:pPr>
              <w:rPr>
                <w:sz w:val="20"/>
                <w:szCs w:val="20"/>
              </w:rPr>
            </w:pPr>
            <w:r w:rsidRPr="005A2545">
              <w:rPr>
                <w:b/>
                <w:sz w:val="20"/>
                <w:szCs w:val="20"/>
              </w:rPr>
              <w:t>R2</w:t>
            </w:r>
          </w:p>
        </w:tc>
        <w:tc>
          <w:tcPr>
            <w:tcW w:w="1277" w:type="dxa"/>
            <w:vAlign w:val="center"/>
          </w:tcPr>
          <w:p w14:paraId="1A7E970D" w14:textId="77777777" w:rsidR="00223D41" w:rsidRPr="005A2545" w:rsidRDefault="00223D41" w:rsidP="00287451">
            <w:pPr>
              <w:jc w:val="center"/>
              <w:rPr>
                <w:sz w:val="20"/>
                <w:szCs w:val="20"/>
              </w:rPr>
            </w:pPr>
            <w:r w:rsidRPr="005A2545">
              <w:rPr>
                <w:sz w:val="20"/>
                <w:szCs w:val="20"/>
              </w:rPr>
              <w:t>0.432</w:t>
            </w:r>
          </w:p>
        </w:tc>
        <w:tc>
          <w:tcPr>
            <w:tcW w:w="1277" w:type="dxa"/>
            <w:vAlign w:val="center"/>
          </w:tcPr>
          <w:p w14:paraId="05759F8C" w14:textId="77777777" w:rsidR="00223D41" w:rsidRPr="005A2545" w:rsidRDefault="00223D41" w:rsidP="00287451">
            <w:pPr>
              <w:jc w:val="center"/>
              <w:rPr>
                <w:sz w:val="20"/>
                <w:szCs w:val="20"/>
              </w:rPr>
            </w:pPr>
            <w:r w:rsidRPr="005A2545">
              <w:rPr>
                <w:sz w:val="20"/>
                <w:szCs w:val="20"/>
              </w:rPr>
              <w:t>0.432</w:t>
            </w:r>
          </w:p>
        </w:tc>
        <w:tc>
          <w:tcPr>
            <w:tcW w:w="1277" w:type="dxa"/>
            <w:vAlign w:val="center"/>
          </w:tcPr>
          <w:p w14:paraId="0C767ED3" w14:textId="77777777" w:rsidR="00223D41" w:rsidRPr="005A2545" w:rsidRDefault="00223D41" w:rsidP="00287451">
            <w:pPr>
              <w:jc w:val="center"/>
              <w:rPr>
                <w:sz w:val="20"/>
                <w:szCs w:val="20"/>
              </w:rPr>
            </w:pPr>
            <w:r w:rsidRPr="005A2545">
              <w:rPr>
                <w:sz w:val="20"/>
                <w:szCs w:val="20"/>
              </w:rPr>
              <w:t>0.432</w:t>
            </w:r>
          </w:p>
        </w:tc>
        <w:tc>
          <w:tcPr>
            <w:tcW w:w="1277" w:type="dxa"/>
            <w:vAlign w:val="center"/>
          </w:tcPr>
          <w:p w14:paraId="38EC2AA3" w14:textId="77777777" w:rsidR="00223D41" w:rsidRPr="005A2545" w:rsidRDefault="00223D41" w:rsidP="00287451">
            <w:pPr>
              <w:jc w:val="center"/>
              <w:rPr>
                <w:sz w:val="20"/>
                <w:szCs w:val="20"/>
              </w:rPr>
            </w:pPr>
            <w:r w:rsidRPr="005A2545">
              <w:rPr>
                <w:sz w:val="20"/>
                <w:szCs w:val="20"/>
              </w:rPr>
              <w:t>0.367</w:t>
            </w:r>
          </w:p>
        </w:tc>
        <w:tc>
          <w:tcPr>
            <w:tcW w:w="1277" w:type="dxa"/>
            <w:vAlign w:val="center"/>
          </w:tcPr>
          <w:p w14:paraId="572C7BB7" w14:textId="77777777" w:rsidR="00223D41" w:rsidRPr="005A2545" w:rsidRDefault="00223D41" w:rsidP="00287451">
            <w:pPr>
              <w:jc w:val="center"/>
              <w:rPr>
                <w:sz w:val="20"/>
                <w:szCs w:val="20"/>
              </w:rPr>
            </w:pPr>
            <w:r w:rsidRPr="005A2545">
              <w:rPr>
                <w:sz w:val="20"/>
                <w:szCs w:val="20"/>
              </w:rPr>
              <w:t>0.366</w:t>
            </w:r>
          </w:p>
        </w:tc>
        <w:tc>
          <w:tcPr>
            <w:tcW w:w="1274" w:type="dxa"/>
            <w:vAlign w:val="center"/>
          </w:tcPr>
          <w:p w14:paraId="609306C7" w14:textId="77777777" w:rsidR="00223D41" w:rsidRPr="005A2545" w:rsidRDefault="00223D41" w:rsidP="00287451">
            <w:pPr>
              <w:jc w:val="center"/>
              <w:rPr>
                <w:sz w:val="20"/>
                <w:szCs w:val="20"/>
              </w:rPr>
            </w:pPr>
            <w:r w:rsidRPr="005A2545">
              <w:rPr>
                <w:sz w:val="20"/>
                <w:szCs w:val="20"/>
              </w:rPr>
              <w:t>0.366</w:t>
            </w:r>
          </w:p>
        </w:tc>
      </w:tr>
    </w:tbl>
    <w:p w14:paraId="289914C8" w14:textId="77777777" w:rsidR="00223D41" w:rsidRDefault="00223D41" w:rsidP="00223D41">
      <w:pPr>
        <w:pStyle w:val="Caption"/>
        <w:rPr>
          <w:rFonts w:ascii="Times New Roman" w:hAnsi="Times New Roman" w:cs="Times New Roman"/>
          <w:color w:val="505050"/>
          <w:sz w:val="20"/>
          <w:szCs w:val="20"/>
        </w:rPr>
      </w:pPr>
      <w:r w:rsidRPr="005A2545">
        <w:rPr>
          <w:rFonts w:ascii="Times New Roman" w:hAnsi="Times New Roman" w:cs="Times New Roman"/>
          <w:color w:val="505050"/>
          <w:sz w:val="20"/>
          <w:szCs w:val="20"/>
        </w:rPr>
        <w:t>Columns combine CPC broad and WIPO broad definitions. N is reported as a row for each column-specific estimation sample.</w:t>
      </w:r>
    </w:p>
    <w:p w14:paraId="59ABFDE7" w14:textId="77777777" w:rsidR="00CD6931" w:rsidRDefault="00CD6931" w:rsidP="00CD6931"/>
    <w:p w14:paraId="2BE1E447" w14:textId="0FFA9BCD" w:rsidR="00CD6931" w:rsidRDefault="00CD6931" w:rsidP="00CD6931">
      <w:r>
        <w:t xml:space="preserve">Figure </w:t>
      </w:r>
      <w:r w:rsidR="00E333AB">
        <w:t>10</w:t>
      </w:r>
      <w:r>
        <w:t xml:space="preserve"> in turn make clear the patterns for this software-only robustness check. </w:t>
      </w:r>
    </w:p>
    <w:p w14:paraId="3C3F3E1E" w14:textId="77777777" w:rsidR="00B176C8" w:rsidRDefault="00B176C8" w:rsidP="00CD6931"/>
    <w:p w14:paraId="4327B384" w14:textId="77777777" w:rsidR="00B176C8" w:rsidRDefault="00B176C8" w:rsidP="00CD6931"/>
    <w:p w14:paraId="6207FEE5" w14:textId="77777777" w:rsidR="00B176C8" w:rsidRDefault="00B176C8" w:rsidP="00CD6931"/>
    <w:p w14:paraId="5D3C679E" w14:textId="77777777" w:rsidR="00B176C8" w:rsidRDefault="00B176C8" w:rsidP="00CD6931"/>
    <w:p w14:paraId="0CFBD05F" w14:textId="77777777" w:rsidR="00B176C8" w:rsidRDefault="00B176C8" w:rsidP="00CD6931"/>
    <w:p w14:paraId="40FD7914" w14:textId="77777777" w:rsidR="00B176C8" w:rsidRDefault="00B176C8" w:rsidP="00CD6931"/>
    <w:p w14:paraId="39703E58" w14:textId="77777777" w:rsidR="00B176C8" w:rsidRDefault="00B176C8" w:rsidP="00CD6931"/>
    <w:p w14:paraId="09EF0919" w14:textId="77777777" w:rsidR="00B176C8" w:rsidRDefault="00B176C8" w:rsidP="00CD6931"/>
    <w:p w14:paraId="6054A3DC" w14:textId="77777777" w:rsidR="00B176C8" w:rsidRDefault="00B176C8" w:rsidP="00CD6931"/>
    <w:p w14:paraId="0418AD15" w14:textId="77777777" w:rsidR="00B176C8" w:rsidRDefault="00B176C8" w:rsidP="00CD6931"/>
    <w:p w14:paraId="4EDEE7ED" w14:textId="77777777" w:rsidR="00B176C8" w:rsidRDefault="00B176C8" w:rsidP="00CD6931"/>
    <w:p w14:paraId="7ED73F99" w14:textId="77777777" w:rsidR="00B176C8" w:rsidRDefault="00B176C8" w:rsidP="00CD6931"/>
    <w:p w14:paraId="4F42713F" w14:textId="77777777" w:rsidR="00B176C8" w:rsidRDefault="00B176C8" w:rsidP="00CD6931"/>
    <w:p w14:paraId="5A7059BF" w14:textId="77777777" w:rsidR="00B176C8" w:rsidRDefault="00B176C8" w:rsidP="00CD6931"/>
    <w:p w14:paraId="7FA20F3A" w14:textId="77777777" w:rsidR="00B176C8" w:rsidRDefault="00B176C8" w:rsidP="00CD6931"/>
    <w:p w14:paraId="33B823D2" w14:textId="77777777" w:rsidR="00B176C8" w:rsidRDefault="00B176C8" w:rsidP="00CD6931"/>
    <w:p w14:paraId="4DF1DD83" w14:textId="3CD05A66" w:rsidR="004E09B0" w:rsidRDefault="004E09B0" w:rsidP="00CD6931"/>
    <w:p w14:paraId="58205683" w14:textId="0A4B4B70" w:rsidR="004E09B0" w:rsidRPr="00E333AB" w:rsidRDefault="004E09B0" w:rsidP="00E333AB">
      <w:pPr>
        <w:jc w:val="center"/>
        <w:rPr>
          <w:b/>
          <w:bCs/>
        </w:rPr>
      </w:pPr>
      <w:r w:rsidRPr="00E333AB">
        <w:rPr>
          <w:b/>
          <w:bCs/>
        </w:rPr>
        <w:lastRenderedPageBreak/>
        <w:t xml:space="preserve">Figure </w:t>
      </w:r>
      <w:r w:rsidR="00E333AB" w:rsidRPr="00E333AB">
        <w:rPr>
          <w:b/>
          <w:bCs/>
        </w:rPr>
        <w:t>10</w:t>
      </w:r>
      <w:r w:rsidRPr="00E333AB">
        <w:rPr>
          <w:b/>
          <w:bCs/>
        </w:rPr>
        <w:t>: Merits and Statutory Outcome: Software Sample</w:t>
      </w:r>
    </w:p>
    <w:p w14:paraId="59482168" w14:textId="77777777" w:rsidR="00CD6931" w:rsidRPr="00E333AB" w:rsidRDefault="00CD6931" w:rsidP="00E333AB">
      <w:pPr>
        <w:jc w:val="center"/>
        <w:rPr>
          <w:b/>
          <w:bCs/>
        </w:rPr>
      </w:pPr>
    </w:p>
    <w:p w14:paraId="2639BE34" w14:textId="10428FFC" w:rsidR="00CD6931" w:rsidRPr="00CD6931" w:rsidRDefault="00CD6931" w:rsidP="00CD6931">
      <w:r w:rsidRPr="005A2545">
        <w:rPr>
          <w:noProof/>
          <w:sz w:val="20"/>
          <w:szCs w:val="20"/>
        </w:rPr>
        <w:drawing>
          <wp:inline distT="0" distB="0" distL="0" distR="0" wp14:anchorId="649A67C6" wp14:editId="6BCE2AFF">
            <wp:extent cx="5943600" cy="30930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ftware_all_ai50_ai93.png"/>
                    <pic:cNvPicPr/>
                  </pic:nvPicPr>
                  <pic:blipFill>
                    <a:blip r:embed="rId15"/>
                    <a:stretch>
                      <a:fillRect/>
                    </a:stretch>
                  </pic:blipFill>
                  <pic:spPr>
                    <a:xfrm>
                      <a:off x="0" y="0"/>
                      <a:ext cx="5943600" cy="3093085"/>
                    </a:xfrm>
                    <a:prstGeom prst="rect">
                      <a:avLst/>
                    </a:prstGeom>
                  </pic:spPr>
                </pic:pic>
              </a:graphicData>
            </a:graphic>
          </wp:inline>
        </w:drawing>
      </w:r>
    </w:p>
    <w:p w14:paraId="13BF1573" w14:textId="77777777" w:rsidR="00223D41" w:rsidRPr="005A2545" w:rsidRDefault="00223D41" w:rsidP="00223D41">
      <w:pPr>
        <w:rPr>
          <w:sz w:val="20"/>
          <w:szCs w:val="20"/>
        </w:rPr>
      </w:pPr>
      <w:r w:rsidRPr="005A2545">
        <w:rPr>
          <w:sz w:val="20"/>
          <w:szCs w:val="20"/>
        </w:rPr>
        <w:br w:type="page"/>
      </w:r>
    </w:p>
    <w:p w14:paraId="2F69BB52" w14:textId="77777777" w:rsidR="00223D41" w:rsidRDefault="00223D41" w:rsidP="00223D41">
      <w:pPr>
        <w:spacing w:line="480" w:lineRule="auto"/>
        <w:rPr>
          <w:color w:val="000000"/>
        </w:rPr>
      </w:pPr>
    </w:p>
    <w:p w14:paraId="74235ACC" w14:textId="77777777" w:rsidR="00E8739B" w:rsidRDefault="0007410B" w:rsidP="00D57A20">
      <w:pPr>
        <w:spacing w:line="480" w:lineRule="auto"/>
        <w:ind w:firstLine="720"/>
        <w:rPr>
          <w:color w:val="000000"/>
        </w:rPr>
      </w:pPr>
      <w:r>
        <w:rPr>
          <w:color w:val="000000"/>
        </w:rPr>
        <w:t xml:space="preserve">In a second robustness check, I limit the sample to specifically </w:t>
      </w:r>
      <w:r w:rsidRPr="003C1DC8">
        <w:rPr>
          <w:i/>
          <w:iCs/>
          <w:color w:val="000000"/>
        </w:rPr>
        <w:t>exclude</w:t>
      </w:r>
      <w:r>
        <w:rPr>
          <w:color w:val="000000"/>
        </w:rPr>
        <w:t xml:space="preserve"> software and telecommunications patents. This shrinks the sample almost in half. These remaining pate</w:t>
      </w:r>
      <w:r w:rsidR="00981003">
        <w:rPr>
          <w:color w:val="000000"/>
        </w:rPr>
        <w:t>nts</w:t>
      </w:r>
      <w:r>
        <w:rPr>
          <w:color w:val="000000"/>
        </w:rPr>
        <w:t xml:space="preserve"> are mostly in instrumentation/vision, physics, electronics, medical devices, transpo</w:t>
      </w:r>
      <w:r w:rsidR="00981003">
        <w:rPr>
          <w:color w:val="000000"/>
        </w:rPr>
        <w:t>rtation</w:t>
      </w:r>
      <w:r>
        <w:rPr>
          <w:color w:val="000000"/>
        </w:rPr>
        <w:t>, consumer technologies, and some industrial categories. Despite that, the results</w:t>
      </w:r>
      <w:r w:rsidR="00E8739B">
        <w:rPr>
          <w:color w:val="000000"/>
        </w:rPr>
        <w:t xml:space="preserve"> in Table 11</w:t>
      </w:r>
      <w:r>
        <w:rPr>
          <w:color w:val="000000"/>
        </w:rPr>
        <w:t xml:space="preserve"> noted </w:t>
      </w:r>
      <w:r w:rsidR="00A36D7E">
        <w:rPr>
          <w:color w:val="000000"/>
        </w:rPr>
        <w:t xml:space="preserve">on invalidity </w:t>
      </w:r>
      <w:r>
        <w:rPr>
          <w:color w:val="000000"/>
        </w:rPr>
        <w:t xml:space="preserve">above survive even on the limited universe of clearly-non software </w:t>
      </w:r>
      <w:r w:rsidR="00893889">
        <w:rPr>
          <w:color w:val="000000"/>
        </w:rPr>
        <w:t xml:space="preserve">and non-telecommunications </w:t>
      </w:r>
      <w:r>
        <w:rPr>
          <w:color w:val="000000"/>
        </w:rPr>
        <w:t>patents labeled as AI by the USPTO</w:t>
      </w:r>
      <w:r w:rsidR="00893889">
        <w:rPr>
          <w:color w:val="000000"/>
        </w:rPr>
        <w:t xml:space="preserve">: </w:t>
      </w:r>
      <w:r>
        <w:rPr>
          <w:color w:val="000000"/>
        </w:rPr>
        <w:t xml:space="preserve">AI patents remain significantly more likely to be invalidated under section 101 and significantly less likely to be invalidated under section 103. </w:t>
      </w:r>
      <w:r w:rsidR="00893889">
        <w:rPr>
          <w:color w:val="000000"/>
        </w:rPr>
        <w:t>With respect to invalidity overall, the adjusted non-AI invalidation probability is 4</w:t>
      </w:r>
      <w:r w:rsidR="003C1DC8">
        <w:rPr>
          <w:color w:val="000000"/>
        </w:rPr>
        <w:t>7.5</w:t>
      </w:r>
      <w:r w:rsidR="00893889">
        <w:rPr>
          <w:color w:val="000000"/>
        </w:rPr>
        <w:t>% compared to 5</w:t>
      </w:r>
      <w:r w:rsidR="003C1DC8">
        <w:rPr>
          <w:color w:val="000000"/>
        </w:rPr>
        <w:t>5.0</w:t>
      </w:r>
      <w:r w:rsidR="00893889">
        <w:rPr>
          <w:color w:val="000000"/>
        </w:rPr>
        <w:t xml:space="preserve">% for AI inventions at the 50% confidence tier. This gap </w:t>
      </w:r>
      <w:r w:rsidR="00032302">
        <w:rPr>
          <w:color w:val="000000"/>
        </w:rPr>
        <w:t xml:space="preserve">actually </w:t>
      </w:r>
      <w:r w:rsidR="00893889">
        <w:rPr>
          <w:color w:val="000000"/>
        </w:rPr>
        <w:t>widens when the probability of a patent being an AI patent is increased. At the 93% confidence tier, the adjusted probability for a non-AI invention is 4</w:t>
      </w:r>
      <w:r w:rsidR="003C1DC8">
        <w:rPr>
          <w:color w:val="000000"/>
        </w:rPr>
        <w:t>7.8</w:t>
      </w:r>
      <w:r w:rsidR="00893889">
        <w:rPr>
          <w:color w:val="000000"/>
        </w:rPr>
        <w:t>% for non-AI inventions compared to 5</w:t>
      </w:r>
      <w:r w:rsidR="003C1DC8">
        <w:rPr>
          <w:color w:val="000000"/>
        </w:rPr>
        <w:t>7.2</w:t>
      </w:r>
      <w:r w:rsidR="00893889">
        <w:rPr>
          <w:color w:val="000000"/>
        </w:rPr>
        <w:t xml:space="preserve">% for AI inventions. </w:t>
      </w:r>
    </w:p>
    <w:p w14:paraId="2B21E01C" w14:textId="1E97B2A3" w:rsidR="0073703E" w:rsidRPr="00E93EC8" w:rsidRDefault="0073703E" w:rsidP="00E93EC8">
      <w:pPr>
        <w:pStyle w:val="Heading3"/>
        <w:jc w:val="center"/>
        <w:rPr>
          <w:rFonts w:cs="Times New Roman"/>
          <w:b/>
          <w:bCs/>
          <w:color w:val="auto"/>
          <w:sz w:val="24"/>
          <w:szCs w:val="24"/>
        </w:rPr>
      </w:pPr>
      <w:r w:rsidRPr="00E93EC8">
        <w:rPr>
          <w:rFonts w:cs="Times New Roman"/>
          <w:b/>
          <w:bCs/>
          <w:color w:val="auto"/>
          <w:sz w:val="24"/>
          <w:szCs w:val="24"/>
        </w:rPr>
        <w:t>Table 11: Invalidity in Non</w:t>
      </w:r>
      <w:r w:rsidR="00E93EC8">
        <w:rPr>
          <w:rFonts w:cs="Times New Roman"/>
          <w:b/>
          <w:bCs/>
          <w:color w:val="auto"/>
          <w:sz w:val="24"/>
          <w:szCs w:val="24"/>
        </w:rPr>
        <w:t>-</w:t>
      </w:r>
      <w:r w:rsidRPr="00E93EC8">
        <w:rPr>
          <w:rFonts w:cs="Times New Roman"/>
          <w:b/>
          <w:bCs/>
          <w:color w:val="auto"/>
          <w:sz w:val="24"/>
          <w:szCs w:val="24"/>
        </w:rPr>
        <w:t>software Samples</w:t>
      </w:r>
    </w:p>
    <w:tbl>
      <w:tblPr>
        <w:tblStyle w:val="TableGrid"/>
        <w:tblW w:w="9360" w:type="dxa"/>
        <w:tblLayout w:type="fixed"/>
        <w:tblLook w:val="04A0" w:firstRow="1" w:lastRow="0" w:firstColumn="1" w:lastColumn="0" w:noHBand="0" w:noVBand="1"/>
      </w:tblPr>
      <w:tblGrid>
        <w:gridCol w:w="1700"/>
        <w:gridCol w:w="1278"/>
        <w:gridCol w:w="1277"/>
        <w:gridCol w:w="1277"/>
        <w:gridCol w:w="1277"/>
        <w:gridCol w:w="1277"/>
        <w:gridCol w:w="1274"/>
      </w:tblGrid>
      <w:tr w:rsidR="0073703E" w:rsidRPr="005A2545" w14:paraId="19CD142C" w14:textId="77777777" w:rsidTr="00287451">
        <w:tc>
          <w:tcPr>
            <w:tcW w:w="1699" w:type="dxa"/>
            <w:shd w:val="clear" w:color="auto" w:fill="F2F2F2"/>
            <w:vAlign w:val="center"/>
          </w:tcPr>
          <w:p w14:paraId="4D9F602C" w14:textId="77777777" w:rsidR="0073703E" w:rsidRPr="005A2545" w:rsidRDefault="0073703E" w:rsidP="00287451">
            <w:pPr>
              <w:jc w:val="center"/>
              <w:rPr>
                <w:sz w:val="20"/>
                <w:szCs w:val="20"/>
              </w:rPr>
            </w:pPr>
            <w:r w:rsidRPr="005A2545">
              <w:rPr>
                <w:b/>
                <w:sz w:val="20"/>
                <w:szCs w:val="20"/>
              </w:rPr>
              <w:t>Statistic</w:t>
            </w:r>
          </w:p>
        </w:tc>
        <w:tc>
          <w:tcPr>
            <w:tcW w:w="1277" w:type="dxa"/>
            <w:shd w:val="clear" w:color="auto" w:fill="F2F2F2"/>
            <w:vAlign w:val="center"/>
          </w:tcPr>
          <w:p w14:paraId="76395531" w14:textId="77777777" w:rsidR="0073703E" w:rsidRPr="005A2545" w:rsidRDefault="0073703E" w:rsidP="00287451">
            <w:pPr>
              <w:jc w:val="center"/>
              <w:rPr>
                <w:sz w:val="20"/>
                <w:szCs w:val="20"/>
              </w:rPr>
            </w:pPr>
            <w:r w:rsidRPr="005A2545">
              <w:rPr>
                <w:b/>
                <w:sz w:val="20"/>
                <w:szCs w:val="20"/>
              </w:rPr>
              <w:t>CPC 50%</w:t>
            </w:r>
          </w:p>
        </w:tc>
        <w:tc>
          <w:tcPr>
            <w:tcW w:w="1277" w:type="dxa"/>
            <w:shd w:val="clear" w:color="auto" w:fill="F2F2F2"/>
            <w:vAlign w:val="center"/>
          </w:tcPr>
          <w:p w14:paraId="10863782" w14:textId="77777777" w:rsidR="0073703E" w:rsidRPr="005A2545" w:rsidRDefault="0073703E" w:rsidP="00287451">
            <w:pPr>
              <w:jc w:val="center"/>
              <w:rPr>
                <w:sz w:val="20"/>
                <w:szCs w:val="20"/>
              </w:rPr>
            </w:pPr>
            <w:r w:rsidRPr="005A2545">
              <w:rPr>
                <w:b/>
                <w:sz w:val="20"/>
                <w:szCs w:val="20"/>
              </w:rPr>
              <w:t>CPC 86%</w:t>
            </w:r>
          </w:p>
        </w:tc>
        <w:tc>
          <w:tcPr>
            <w:tcW w:w="1277" w:type="dxa"/>
            <w:shd w:val="clear" w:color="auto" w:fill="F2F2F2"/>
            <w:vAlign w:val="center"/>
          </w:tcPr>
          <w:p w14:paraId="080C2FB3" w14:textId="77777777" w:rsidR="0073703E" w:rsidRPr="005A2545" w:rsidRDefault="0073703E" w:rsidP="00287451">
            <w:pPr>
              <w:jc w:val="center"/>
              <w:rPr>
                <w:sz w:val="20"/>
                <w:szCs w:val="20"/>
              </w:rPr>
            </w:pPr>
            <w:r w:rsidRPr="005A2545">
              <w:rPr>
                <w:b/>
                <w:sz w:val="20"/>
                <w:szCs w:val="20"/>
              </w:rPr>
              <w:t>CPC 93%</w:t>
            </w:r>
          </w:p>
        </w:tc>
        <w:tc>
          <w:tcPr>
            <w:tcW w:w="1277" w:type="dxa"/>
            <w:shd w:val="clear" w:color="auto" w:fill="F2F2F2"/>
            <w:vAlign w:val="center"/>
          </w:tcPr>
          <w:p w14:paraId="568EA5B7" w14:textId="77777777" w:rsidR="0073703E" w:rsidRPr="005A2545" w:rsidRDefault="0073703E" w:rsidP="00287451">
            <w:pPr>
              <w:jc w:val="center"/>
              <w:rPr>
                <w:sz w:val="20"/>
                <w:szCs w:val="20"/>
              </w:rPr>
            </w:pPr>
            <w:r w:rsidRPr="005A2545">
              <w:rPr>
                <w:b/>
                <w:sz w:val="20"/>
                <w:szCs w:val="20"/>
              </w:rPr>
              <w:t>WIPO 50%</w:t>
            </w:r>
          </w:p>
        </w:tc>
        <w:tc>
          <w:tcPr>
            <w:tcW w:w="1277" w:type="dxa"/>
            <w:shd w:val="clear" w:color="auto" w:fill="F2F2F2"/>
            <w:vAlign w:val="center"/>
          </w:tcPr>
          <w:p w14:paraId="39784675" w14:textId="77777777" w:rsidR="0073703E" w:rsidRPr="005A2545" w:rsidRDefault="0073703E" w:rsidP="00287451">
            <w:pPr>
              <w:jc w:val="center"/>
              <w:rPr>
                <w:sz w:val="20"/>
                <w:szCs w:val="20"/>
              </w:rPr>
            </w:pPr>
            <w:r w:rsidRPr="005A2545">
              <w:rPr>
                <w:b/>
                <w:sz w:val="20"/>
                <w:szCs w:val="20"/>
              </w:rPr>
              <w:t>WIPO 86%</w:t>
            </w:r>
          </w:p>
        </w:tc>
        <w:tc>
          <w:tcPr>
            <w:tcW w:w="1274" w:type="dxa"/>
            <w:shd w:val="clear" w:color="auto" w:fill="F2F2F2"/>
            <w:vAlign w:val="center"/>
          </w:tcPr>
          <w:p w14:paraId="5633BC56" w14:textId="77777777" w:rsidR="0073703E" w:rsidRPr="005A2545" w:rsidRDefault="0073703E" w:rsidP="00287451">
            <w:pPr>
              <w:jc w:val="center"/>
              <w:rPr>
                <w:sz w:val="20"/>
                <w:szCs w:val="20"/>
              </w:rPr>
            </w:pPr>
            <w:r w:rsidRPr="005A2545">
              <w:rPr>
                <w:b/>
                <w:sz w:val="20"/>
                <w:szCs w:val="20"/>
              </w:rPr>
              <w:t>WIPO 93%</w:t>
            </w:r>
          </w:p>
        </w:tc>
      </w:tr>
      <w:tr w:rsidR="0073703E" w:rsidRPr="005A2545" w14:paraId="390F4F9E" w14:textId="77777777" w:rsidTr="00287451">
        <w:tc>
          <w:tcPr>
            <w:tcW w:w="1699" w:type="dxa"/>
            <w:vAlign w:val="center"/>
          </w:tcPr>
          <w:p w14:paraId="6B8BA928" w14:textId="77777777" w:rsidR="0073703E" w:rsidRPr="005A2545" w:rsidRDefault="0073703E" w:rsidP="00287451">
            <w:pPr>
              <w:rPr>
                <w:sz w:val="20"/>
                <w:szCs w:val="20"/>
              </w:rPr>
            </w:pPr>
            <w:r w:rsidRPr="005A2545">
              <w:rPr>
                <w:b/>
                <w:sz w:val="20"/>
                <w:szCs w:val="20"/>
              </w:rPr>
              <w:t>AI coefficient</w:t>
            </w:r>
          </w:p>
        </w:tc>
        <w:tc>
          <w:tcPr>
            <w:tcW w:w="1277" w:type="dxa"/>
            <w:vAlign w:val="center"/>
          </w:tcPr>
          <w:p w14:paraId="67E5672E" w14:textId="77777777" w:rsidR="0073703E" w:rsidRPr="005A2545" w:rsidRDefault="0073703E" w:rsidP="00287451">
            <w:pPr>
              <w:jc w:val="center"/>
              <w:rPr>
                <w:sz w:val="20"/>
                <w:szCs w:val="20"/>
              </w:rPr>
            </w:pPr>
            <w:r w:rsidRPr="005A2545">
              <w:rPr>
                <w:sz w:val="20"/>
                <w:szCs w:val="20"/>
              </w:rPr>
              <w:t>+7.46***</w:t>
            </w:r>
            <w:r w:rsidRPr="005A2545">
              <w:rPr>
                <w:sz w:val="20"/>
                <w:szCs w:val="20"/>
              </w:rPr>
              <w:br/>
              <w:t>(1.92)</w:t>
            </w:r>
          </w:p>
        </w:tc>
        <w:tc>
          <w:tcPr>
            <w:tcW w:w="1277" w:type="dxa"/>
            <w:vAlign w:val="center"/>
          </w:tcPr>
          <w:p w14:paraId="66B42F18" w14:textId="77777777" w:rsidR="0073703E" w:rsidRPr="005A2545" w:rsidRDefault="0073703E" w:rsidP="00287451">
            <w:pPr>
              <w:jc w:val="center"/>
              <w:rPr>
                <w:sz w:val="20"/>
                <w:szCs w:val="20"/>
              </w:rPr>
            </w:pPr>
            <w:r w:rsidRPr="005A2545">
              <w:rPr>
                <w:sz w:val="20"/>
                <w:szCs w:val="20"/>
              </w:rPr>
              <w:t>+9.03***</w:t>
            </w:r>
            <w:r w:rsidRPr="005A2545">
              <w:rPr>
                <w:sz w:val="20"/>
                <w:szCs w:val="20"/>
              </w:rPr>
              <w:br/>
              <w:t>(2.08)</w:t>
            </w:r>
          </w:p>
        </w:tc>
        <w:tc>
          <w:tcPr>
            <w:tcW w:w="1277" w:type="dxa"/>
            <w:vAlign w:val="center"/>
          </w:tcPr>
          <w:p w14:paraId="297F8E53" w14:textId="77777777" w:rsidR="0073703E" w:rsidRPr="005A2545" w:rsidRDefault="0073703E" w:rsidP="00287451">
            <w:pPr>
              <w:jc w:val="center"/>
              <w:rPr>
                <w:sz w:val="20"/>
                <w:szCs w:val="20"/>
              </w:rPr>
            </w:pPr>
            <w:r w:rsidRPr="005A2545">
              <w:rPr>
                <w:sz w:val="20"/>
                <w:szCs w:val="20"/>
              </w:rPr>
              <w:t>+9.41***</w:t>
            </w:r>
            <w:r w:rsidRPr="005A2545">
              <w:rPr>
                <w:sz w:val="20"/>
                <w:szCs w:val="20"/>
              </w:rPr>
              <w:br/>
              <w:t>(2.16)</w:t>
            </w:r>
          </w:p>
        </w:tc>
        <w:tc>
          <w:tcPr>
            <w:tcW w:w="1277" w:type="dxa"/>
            <w:vAlign w:val="center"/>
          </w:tcPr>
          <w:p w14:paraId="1D83E17E" w14:textId="77777777" w:rsidR="0073703E" w:rsidRPr="005A2545" w:rsidRDefault="0073703E" w:rsidP="00287451">
            <w:pPr>
              <w:jc w:val="center"/>
              <w:rPr>
                <w:sz w:val="20"/>
                <w:szCs w:val="20"/>
              </w:rPr>
            </w:pPr>
            <w:r w:rsidRPr="005A2545">
              <w:rPr>
                <w:sz w:val="20"/>
                <w:szCs w:val="20"/>
              </w:rPr>
              <w:t>+7.50***</w:t>
            </w:r>
            <w:r w:rsidRPr="005A2545">
              <w:rPr>
                <w:sz w:val="20"/>
                <w:szCs w:val="20"/>
              </w:rPr>
              <w:br/>
              <w:t>(2.81)</w:t>
            </w:r>
          </w:p>
        </w:tc>
        <w:tc>
          <w:tcPr>
            <w:tcW w:w="1277" w:type="dxa"/>
            <w:vAlign w:val="center"/>
          </w:tcPr>
          <w:p w14:paraId="676E625B" w14:textId="77777777" w:rsidR="0073703E" w:rsidRPr="005A2545" w:rsidRDefault="0073703E" w:rsidP="00287451">
            <w:pPr>
              <w:jc w:val="center"/>
              <w:rPr>
                <w:sz w:val="20"/>
                <w:szCs w:val="20"/>
              </w:rPr>
            </w:pPr>
            <w:r w:rsidRPr="005A2545">
              <w:rPr>
                <w:sz w:val="20"/>
                <w:szCs w:val="20"/>
              </w:rPr>
              <w:t>+10.18***</w:t>
            </w:r>
            <w:r w:rsidRPr="005A2545">
              <w:rPr>
                <w:sz w:val="20"/>
                <w:szCs w:val="20"/>
              </w:rPr>
              <w:br/>
              <w:t>(3.33)</w:t>
            </w:r>
          </w:p>
        </w:tc>
        <w:tc>
          <w:tcPr>
            <w:tcW w:w="1274" w:type="dxa"/>
            <w:vAlign w:val="center"/>
          </w:tcPr>
          <w:p w14:paraId="10C0371F" w14:textId="77777777" w:rsidR="0073703E" w:rsidRPr="005A2545" w:rsidRDefault="0073703E" w:rsidP="00287451">
            <w:pPr>
              <w:jc w:val="center"/>
              <w:rPr>
                <w:sz w:val="20"/>
                <w:szCs w:val="20"/>
              </w:rPr>
            </w:pPr>
            <w:r w:rsidRPr="005A2545">
              <w:rPr>
                <w:sz w:val="20"/>
                <w:szCs w:val="20"/>
              </w:rPr>
              <w:t>+11.68***</w:t>
            </w:r>
            <w:r w:rsidRPr="005A2545">
              <w:rPr>
                <w:sz w:val="20"/>
                <w:szCs w:val="20"/>
              </w:rPr>
              <w:br/>
              <w:t>(3.52)</w:t>
            </w:r>
          </w:p>
        </w:tc>
      </w:tr>
      <w:tr w:rsidR="0073703E" w:rsidRPr="005A2545" w14:paraId="0D28D714" w14:textId="77777777" w:rsidTr="00287451">
        <w:tc>
          <w:tcPr>
            <w:tcW w:w="1699" w:type="dxa"/>
            <w:vAlign w:val="center"/>
          </w:tcPr>
          <w:p w14:paraId="1B6E3273" w14:textId="77777777" w:rsidR="0073703E" w:rsidRPr="005A2545" w:rsidRDefault="0073703E" w:rsidP="00287451">
            <w:pPr>
              <w:rPr>
                <w:sz w:val="20"/>
                <w:szCs w:val="20"/>
              </w:rPr>
            </w:pPr>
            <w:r w:rsidRPr="005A2545">
              <w:rPr>
                <w:b/>
                <w:sz w:val="20"/>
                <w:szCs w:val="20"/>
              </w:rPr>
              <w:t>Alpha</w:t>
            </w:r>
          </w:p>
        </w:tc>
        <w:tc>
          <w:tcPr>
            <w:tcW w:w="1277" w:type="dxa"/>
            <w:vAlign w:val="center"/>
          </w:tcPr>
          <w:p w14:paraId="6D921548" w14:textId="77777777" w:rsidR="0073703E" w:rsidRPr="005A2545" w:rsidRDefault="0073703E" w:rsidP="00287451">
            <w:pPr>
              <w:jc w:val="center"/>
              <w:rPr>
                <w:sz w:val="20"/>
                <w:szCs w:val="20"/>
              </w:rPr>
            </w:pPr>
            <w:r w:rsidRPr="005A2545">
              <w:rPr>
                <w:sz w:val="20"/>
                <w:szCs w:val="20"/>
              </w:rPr>
              <w:t>0.01</w:t>
            </w:r>
          </w:p>
        </w:tc>
        <w:tc>
          <w:tcPr>
            <w:tcW w:w="1277" w:type="dxa"/>
            <w:vAlign w:val="center"/>
          </w:tcPr>
          <w:p w14:paraId="18474B24" w14:textId="77777777" w:rsidR="0073703E" w:rsidRPr="005A2545" w:rsidRDefault="0073703E" w:rsidP="00287451">
            <w:pPr>
              <w:jc w:val="center"/>
              <w:rPr>
                <w:sz w:val="20"/>
                <w:szCs w:val="20"/>
              </w:rPr>
            </w:pPr>
            <w:r w:rsidRPr="005A2545">
              <w:rPr>
                <w:sz w:val="20"/>
                <w:szCs w:val="20"/>
              </w:rPr>
              <w:t>0.01</w:t>
            </w:r>
          </w:p>
        </w:tc>
        <w:tc>
          <w:tcPr>
            <w:tcW w:w="1277" w:type="dxa"/>
            <w:vAlign w:val="center"/>
          </w:tcPr>
          <w:p w14:paraId="021A71C8" w14:textId="77777777" w:rsidR="0073703E" w:rsidRPr="005A2545" w:rsidRDefault="0073703E" w:rsidP="00287451">
            <w:pPr>
              <w:jc w:val="center"/>
              <w:rPr>
                <w:sz w:val="20"/>
                <w:szCs w:val="20"/>
              </w:rPr>
            </w:pPr>
            <w:r w:rsidRPr="005A2545">
              <w:rPr>
                <w:sz w:val="20"/>
                <w:szCs w:val="20"/>
              </w:rPr>
              <w:t>0.01</w:t>
            </w:r>
          </w:p>
        </w:tc>
        <w:tc>
          <w:tcPr>
            <w:tcW w:w="1277" w:type="dxa"/>
            <w:vAlign w:val="center"/>
          </w:tcPr>
          <w:p w14:paraId="4B8BC6FE" w14:textId="77777777" w:rsidR="0073703E" w:rsidRPr="005A2545" w:rsidRDefault="0073703E" w:rsidP="00287451">
            <w:pPr>
              <w:jc w:val="center"/>
              <w:rPr>
                <w:sz w:val="20"/>
                <w:szCs w:val="20"/>
              </w:rPr>
            </w:pPr>
            <w:r w:rsidRPr="005A2545">
              <w:rPr>
                <w:sz w:val="20"/>
                <w:szCs w:val="20"/>
              </w:rPr>
              <w:t>0.01</w:t>
            </w:r>
          </w:p>
        </w:tc>
        <w:tc>
          <w:tcPr>
            <w:tcW w:w="1277" w:type="dxa"/>
            <w:vAlign w:val="center"/>
          </w:tcPr>
          <w:p w14:paraId="4C5DE71A" w14:textId="77777777" w:rsidR="0073703E" w:rsidRPr="005A2545" w:rsidRDefault="0073703E" w:rsidP="00287451">
            <w:pPr>
              <w:jc w:val="center"/>
              <w:rPr>
                <w:sz w:val="20"/>
                <w:szCs w:val="20"/>
              </w:rPr>
            </w:pPr>
            <w:r w:rsidRPr="005A2545">
              <w:rPr>
                <w:sz w:val="20"/>
                <w:szCs w:val="20"/>
              </w:rPr>
              <w:t>0.01</w:t>
            </w:r>
          </w:p>
        </w:tc>
        <w:tc>
          <w:tcPr>
            <w:tcW w:w="1274" w:type="dxa"/>
            <w:vAlign w:val="center"/>
          </w:tcPr>
          <w:p w14:paraId="49779F58" w14:textId="77777777" w:rsidR="0073703E" w:rsidRPr="005A2545" w:rsidRDefault="0073703E" w:rsidP="00287451">
            <w:pPr>
              <w:jc w:val="center"/>
              <w:rPr>
                <w:sz w:val="20"/>
                <w:szCs w:val="20"/>
              </w:rPr>
            </w:pPr>
            <w:r w:rsidRPr="005A2545">
              <w:rPr>
                <w:sz w:val="20"/>
                <w:szCs w:val="20"/>
              </w:rPr>
              <w:t>0.01</w:t>
            </w:r>
          </w:p>
        </w:tc>
      </w:tr>
      <w:tr w:rsidR="0073703E" w:rsidRPr="005A2545" w14:paraId="703034E8" w14:textId="77777777" w:rsidTr="00287451">
        <w:tc>
          <w:tcPr>
            <w:tcW w:w="1699" w:type="dxa"/>
            <w:vAlign w:val="center"/>
          </w:tcPr>
          <w:p w14:paraId="72CFC127" w14:textId="77777777" w:rsidR="0073703E" w:rsidRPr="005A2545" w:rsidRDefault="0073703E" w:rsidP="00287451">
            <w:pPr>
              <w:rPr>
                <w:sz w:val="20"/>
                <w:szCs w:val="20"/>
              </w:rPr>
            </w:pPr>
            <w:r w:rsidRPr="005A2545">
              <w:rPr>
                <w:b/>
                <w:sz w:val="20"/>
                <w:szCs w:val="20"/>
              </w:rPr>
              <w:t>Pr(non-AI)</w:t>
            </w:r>
          </w:p>
        </w:tc>
        <w:tc>
          <w:tcPr>
            <w:tcW w:w="1277" w:type="dxa"/>
            <w:vAlign w:val="center"/>
          </w:tcPr>
          <w:p w14:paraId="2731D96D" w14:textId="77777777" w:rsidR="0073703E" w:rsidRPr="005A2545" w:rsidRDefault="0073703E" w:rsidP="00287451">
            <w:pPr>
              <w:jc w:val="center"/>
              <w:rPr>
                <w:sz w:val="20"/>
                <w:szCs w:val="20"/>
              </w:rPr>
            </w:pPr>
            <w:r w:rsidRPr="005A2545">
              <w:rPr>
                <w:sz w:val="20"/>
                <w:szCs w:val="20"/>
              </w:rPr>
              <w:t>47.5%</w:t>
            </w:r>
          </w:p>
        </w:tc>
        <w:tc>
          <w:tcPr>
            <w:tcW w:w="1277" w:type="dxa"/>
            <w:vAlign w:val="center"/>
          </w:tcPr>
          <w:p w14:paraId="3E6EDF6C" w14:textId="77777777" w:rsidR="0073703E" w:rsidRPr="005A2545" w:rsidRDefault="0073703E" w:rsidP="00287451">
            <w:pPr>
              <w:jc w:val="center"/>
              <w:rPr>
                <w:sz w:val="20"/>
                <w:szCs w:val="20"/>
              </w:rPr>
            </w:pPr>
            <w:r w:rsidRPr="005A2545">
              <w:rPr>
                <w:sz w:val="20"/>
                <w:szCs w:val="20"/>
              </w:rPr>
              <w:t>47.7%</w:t>
            </w:r>
          </w:p>
        </w:tc>
        <w:tc>
          <w:tcPr>
            <w:tcW w:w="1277" w:type="dxa"/>
            <w:vAlign w:val="center"/>
          </w:tcPr>
          <w:p w14:paraId="3E7E0E3F" w14:textId="77777777" w:rsidR="0073703E" w:rsidRPr="005A2545" w:rsidRDefault="0073703E" w:rsidP="00287451">
            <w:pPr>
              <w:jc w:val="center"/>
              <w:rPr>
                <w:sz w:val="20"/>
                <w:szCs w:val="20"/>
              </w:rPr>
            </w:pPr>
            <w:r w:rsidRPr="005A2545">
              <w:rPr>
                <w:sz w:val="20"/>
                <w:szCs w:val="20"/>
              </w:rPr>
              <w:t>47.8%</w:t>
            </w:r>
          </w:p>
        </w:tc>
        <w:tc>
          <w:tcPr>
            <w:tcW w:w="1277" w:type="dxa"/>
            <w:vAlign w:val="center"/>
          </w:tcPr>
          <w:p w14:paraId="04F562D4" w14:textId="77777777" w:rsidR="0073703E" w:rsidRPr="005A2545" w:rsidRDefault="0073703E" w:rsidP="00287451">
            <w:pPr>
              <w:jc w:val="center"/>
              <w:rPr>
                <w:sz w:val="20"/>
                <w:szCs w:val="20"/>
              </w:rPr>
            </w:pPr>
            <w:r w:rsidRPr="005A2545">
              <w:rPr>
                <w:sz w:val="20"/>
                <w:szCs w:val="20"/>
              </w:rPr>
              <w:t>43.9%</w:t>
            </w:r>
          </w:p>
        </w:tc>
        <w:tc>
          <w:tcPr>
            <w:tcW w:w="1277" w:type="dxa"/>
            <w:vAlign w:val="center"/>
          </w:tcPr>
          <w:p w14:paraId="54DD0D9F" w14:textId="77777777" w:rsidR="0073703E" w:rsidRPr="005A2545" w:rsidRDefault="0073703E" w:rsidP="00287451">
            <w:pPr>
              <w:jc w:val="center"/>
              <w:rPr>
                <w:sz w:val="20"/>
                <w:szCs w:val="20"/>
              </w:rPr>
            </w:pPr>
            <w:r w:rsidRPr="005A2545">
              <w:rPr>
                <w:sz w:val="20"/>
                <w:szCs w:val="20"/>
              </w:rPr>
              <w:t>44.0%</w:t>
            </w:r>
          </w:p>
        </w:tc>
        <w:tc>
          <w:tcPr>
            <w:tcW w:w="1274" w:type="dxa"/>
            <w:vAlign w:val="center"/>
          </w:tcPr>
          <w:p w14:paraId="3F6065DA" w14:textId="77777777" w:rsidR="0073703E" w:rsidRPr="005A2545" w:rsidRDefault="0073703E" w:rsidP="00287451">
            <w:pPr>
              <w:jc w:val="center"/>
              <w:rPr>
                <w:sz w:val="20"/>
                <w:szCs w:val="20"/>
              </w:rPr>
            </w:pPr>
            <w:r w:rsidRPr="005A2545">
              <w:rPr>
                <w:sz w:val="20"/>
                <w:szCs w:val="20"/>
              </w:rPr>
              <w:t>44.0%</w:t>
            </w:r>
          </w:p>
        </w:tc>
      </w:tr>
      <w:tr w:rsidR="0073703E" w:rsidRPr="005A2545" w14:paraId="1B04F17A" w14:textId="77777777" w:rsidTr="00287451">
        <w:tc>
          <w:tcPr>
            <w:tcW w:w="1699" w:type="dxa"/>
            <w:vAlign w:val="center"/>
          </w:tcPr>
          <w:p w14:paraId="046AAAE3" w14:textId="77777777" w:rsidR="0073703E" w:rsidRPr="005A2545" w:rsidRDefault="0073703E" w:rsidP="00287451">
            <w:pPr>
              <w:rPr>
                <w:sz w:val="20"/>
                <w:szCs w:val="20"/>
              </w:rPr>
            </w:pPr>
            <w:r w:rsidRPr="005A2545">
              <w:rPr>
                <w:b/>
                <w:sz w:val="20"/>
                <w:szCs w:val="20"/>
              </w:rPr>
              <w:t>Pr(AI)</w:t>
            </w:r>
          </w:p>
        </w:tc>
        <w:tc>
          <w:tcPr>
            <w:tcW w:w="1277" w:type="dxa"/>
            <w:vAlign w:val="center"/>
          </w:tcPr>
          <w:p w14:paraId="0B2A6AA9" w14:textId="77777777" w:rsidR="0073703E" w:rsidRPr="005A2545" w:rsidRDefault="0073703E" w:rsidP="00287451">
            <w:pPr>
              <w:jc w:val="center"/>
              <w:rPr>
                <w:sz w:val="20"/>
                <w:szCs w:val="20"/>
              </w:rPr>
            </w:pPr>
            <w:r w:rsidRPr="005A2545">
              <w:rPr>
                <w:sz w:val="20"/>
                <w:szCs w:val="20"/>
              </w:rPr>
              <w:t>55.0%</w:t>
            </w:r>
          </w:p>
        </w:tc>
        <w:tc>
          <w:tcPr>
            <w:tcW w:w="1277" w:type="dxa"/>
            <w:vAlign w:val="center"/>
          </w:tcPr>
          <w:p w14:paraId="754A7E9A" w14:textId="77777777" w:rsidR="0073703E" w:rsidRPr="005A2545" w:rsidRDefault="0073703E" w:rsidP="00287451">
            <w:pPr>
              <w:jc w:val="center"/>
              <w:rPr>
                <w:sz w:val="20"/>
                <w:szCs w:val="20"/>
              </w:rPr>
            </w:pPr>
            <w:r w:rsidRPr="005A2545">
              <w:rPr>
                <w:sz w:val="20"/>
                <w:szCs w:val="20"/>
              </w:rPr>
              <w:t>56.7%</w:t>
            </w:r>
          </w:p>
        </w:tc>
        <w:tc>
          <w:tcPr>
            <w:tcW w:w="1277" w:type="dxa"/>
            <w:vAlign w:val="center"/>
          </w:tcPr>
          <w:p w14:paraId="45E7D667" w14:textId="77777777" w:rsidR="0073703E" w:rsidRPr="005A2545" w:rsidRDefault="0073703E" w:rsidP="00287451">
            <w:pPr>
              <w:jc w:val="center"/>
              <w:rPr>
                <w:sz w:val="20"/>
                <w:szCs w:val="20"/>
              </w:rPr>
            </w:pPr>
            <w:r w:rsidRPr="005A2545">
              <w:rPr>
                <w:sz w:val="20"/>
                <w:szCs w:val="20"/>
              </w:rPr>
              <w:t>57.2%</w:t>
            </w:r>
          </w:p>
        </w:tc>
        <w:tc>
          <w:tcPr>
            <w:tcW w:w="1277" w:type="dxa"/>
            <w:vAlign w:val="center"/>
          </w:tcPr>
          <w:p w14:paraId="6A18FC04" w14:textId="77777777" w:rsidR="0073703E" w:rsidRPr="005A2545" w:rsidRDefault="0073703E" w:rsidP="00287451">
            <w:pPr>
              <w:jc w:val="center"/>
              <w:rPr>
                <w:sz w:val="20"/>
                <w:szCs w:val="20"/>
              </w:rPr>
            </w:pPr>
            <w:r w:rsidRPr="005A2545">
              <w:rPr>
                <w:sz w:val="20"/>
                <w:szCs w:val="20"/>
              </w:rPr>
              <w:t>51.4%</w:t>
            </w:r>
          </w:p>
        </w:tc>
        <w:tc>
          <w:tcPr>
            <w:tcW w:w="1277" w:type="dxa"/>
            <w:vAlign w:val="center"/>
          </w:tcPr>
          <w:p w14:paraId="5B89140C" w14:textId="77777777" w:rsidR="0073703E" w:rsidRPr="005A2545" w:rsidRDefault="0073703E" w:rsidP="00287451">
            <w:pPr>
              <w:jc w:val="center"/>
              <w:rPr>
                <w:sz w:val="20"/>
                <w:szCs w:val="20"/>
              </w:rPr>
            </w:pPr>
            <w:r w:rsidRPr="005A2545">
              <w:rPr>
                <w:sz w:val="20"/>
                <w:szCs w:val="20"/>
              </w:rPr>
              <w:t>54.2%</w:t>
            </w:r>
          </w:p>
        </w:tc>
        <w:tc>
          <w:tcPr>
            <w:tcW w:w="1274" w:type="dxa"/>
            <w:vAlign w:val="center"/>
          </w:tcPr>
          <w:p w14:paraId="34D2EE18" w14:textId="77777777" w:rsidR="0073703E" w:rsidRPr="005A2545" w:rsidRDefault="0073703E" w:rsidP="00287451">
            <w:pPr>
              <w:jc w:val="center"/>
              <w:rPr>
                <w:sz w:val="20"/>
                <w:szCs w:val="20"/>
              </w:rPr>
            </w:pPr>
            <w:r w:rsidRPr="005A2545">
              <w:rPr>
                <w:sz w:val="20"/>
                <w:szCs w:val="20"/>
              </w:rPr>
              <w:t>55.7%</w:t>
            </w:r>
          </w:p>
        </w:tc>
      </w:tr>
      <w:tr w:rsidR="0073703E" w:rsidRPr="005A2545" w14:paraId="7C85EA30" w14:textId="77777777" w:rsidTr="00287451">
        <w:tc>
          <w:tcPr>
            <w:tcW w:w="1699" w:type="dxa"/>
            <w:vAlign w:val="center"/>
          </w:tcPr>
          <w:p w14:paraId="27B0983C" w14:textId="77777777" w:rsidR="0073703E" w:rsidRPr="005A2545" w:rsidRDefault="0073703E" w:rsidP="00287451">
            <w:pPr>
              <w:rPr>
                <w:sz w:val="20"/>
                <w:szCs w:val="20"/>
              </w:rPr>
            </w:pPr>
            <w:r w:rsidRPr="005A2545">
              <w:rPr>
                <w:b/>
                <w:sz w:val="20"/>
                <w:szCs w:val="20"/>
              </w:rPr>
              <w:t>Relative change</w:t>
            </w:r>
          </w:p>
        </w:tc>
        <w:tc>
          <w:tcPr>
            <w:tcW w:w="1277" w:type="dxa"/>
            <w:vAlign w:val="center"/>
          </w:tcPr>
          <w:p w14:paraId="3CCCF124" w14:textId="77777777" w:rsidR="0073703E" w:rsidRPr="005A2545" w:rsidRDefault="0073703E" w:rsidP="00287451">
            <w:pPr>
              <w:jc w:val="center"/>
              <w:rPr>
                <w:sz w:val="20"/>
                <w:szCs w:val="20"/>
              </w:rPr>
            </w:pPr>
            <w:r w:rsidRPr="005A2545">
              <w:rPr>
                <w:sz w:val="20"/>
                <w:szCs w:val="20"/>
              </w:rPr>
              <w:t>+15.7%</w:t>
            </w:r>
          </w:p>
        </w:tc>
        <w:tc>
          <w:tcPr>
            <w:tcW w:w="1277" w:type="dxa"/>
            <w:vAlign w:val="center"/>
          </w:tcPr>
          <w:p w14:paraId="1D4BC686" w14:textId="77777777" w:rsidR="0073703E" w:rsidRPr="005A2545" w:rsidRDefault="0073703E" w:rsidP="00287451">
            <w:pPr>
              <w:jc w:val="center"/>
              <w:rPr>
                <w:sz w:val="20"/>
                <w:szCs w:val="20"/>
              </w:rPr>
            </w:pPr>
            <w:r w:rsidRPr="005A2545">
              <w:rPr>
                <w:sz w:val="20"/>
                <w:szCs w:val="20"/>
              </w:rPr>
              <w:t>+18.9%</w:t>
            </w:r>
          </w:p>
        </w:tc>
        <w:tc>
          <w:tcPr>
            <w:tcW w:w="1277" w:type="dxa"/>
            <w:vAlign w:val="center"/>
          </w:tcPr>
          <w:p w14:paraId="7F0BD15A" w14:textId="77777777" w:rsidR="0073703E" w:rsidRPr="005A2545" w:rsidRDefault="0073703E" w:rsidP="00287451">
            <w:pPr>
              <w:jc w:val="center"/>
              <w:rPr>
                <w:sz w:val="20"/>
                <w:szCs w:val="20"/>
              </w:rPr>
            </w:pPr>
            <w:r w:rsidRPr="005A2545">
              <w:rPr>
                <w:sz w:val="20"/>
                <w:szCs w:val="20"/>
              </w:rPr>
              <w:t>+19.7%</w:t>
            </w:r>
          </w:p>
        </w:tc>
        <w:tc>
          <w:tcPr>
            <w:tcW w:w="1277" w:type="dxa"/>
            <w:vAlign w:val="center"/>
          </w:tcPr>
          <w:p w14:paraId="036B5F43" w14:textId="77777777" w:rsidR="0073703E" w:rsidRPr="005A2545" w:rsidRDefault="0073703E" w:rsidP="00287451">
            <w:pPr>
              <w:jc w:val="center"/>
              <w:rPr>
                <w:sz w:val="20"/>
                <w:szCs w:val="20"/>
              </w:rPr>
            </w:pPr>
            <w:r w:rsidRPr="005A2545">
              <w:rPr>
                <w:sz w:val="20"/>
                <w:szCs w:val="20"/>
              </w:rPr>
              <w:t>+17.1%</w:t>
            </w:r>
          </w:p>
        </w:tc>
        <w:tc>
          <w:tcPr>
            <w:tcW w:w="1277" w:type="dxa"/>
            <w:vAlign w:val="center"/>
          </w:tcPr>
          <w:p w14:paraId="493240AA" w14:textId="77777777" w:rsidR="0073703E" w:rsidRPr="005A2545" w:rsidRDefault="0073703E" w:rsidP="00287451">
            <w:pPr>
              <w:jc w:val="center"/>
              <w:rPr>
                <w:sz w:val="20"/>
                <w:szCs w:val="20"/>
              </w:rPr>
            </w:pPr>
            <w:r w:rsidRPr="005A2545">
              <w:rPr>
                <w:sz w:val="20"/>
                <w:szCs w:val="20"/>
              </w:rPr>
              <w:t>+23.1%</w:t>
            </w:r>
          </w:p>
        </w:tc>
        <w:tc>
          <w:tcPr>
            <w:tcW w:w="1274" w:type="dxa"/>
            <w:vAlign w:val="center"/>
          </w:tcPr>
          <w:p w14:paraId="27E7A3DC" w14:textId="77777777" w:rsidR="0073703E" w:rsidRPr="005A2545" w:rsidRDefault="0073703E" w:rsidP="00287451">
            <w:pPr>
              <w:jc w:val="center"/>
              <w:rPr>
                <w:sz w:val="20"/>
                <w:szCs w:val="20"/>
              </w:rPr>
            </w:pPr>
            <w:r w:rsidRPr="005A2545">
              <w:rPr>
                <w:sz w:val="20"/>
                <w:szCs w:val="20"/>
              </w:rPr>
              <w:t>+26.5%</w:t>
            </w:r>
          </w:p>
        </w:tc>
      </w:tr>
      <w:tr w:rsidR="0073703E" w:rsidRPr="005A2545" w14:paraId="2A77918C" w14:textId="77777777" w:rsidTr="00287451">
        <w:tc>
          <w:tcPr>
            <w:tcW w:w="1699" w:type="dxa"/>
            <w:vAlign w:val="center"/>
          </w:tcPr>
          <w:p w14:paraId="38762747" w14:textId="77777777" w:rsidR="0073703E" w:rsidRPr="005A2545" w:rsidRDefault="0073703E" w:rsidP="00287451">
            <w:pPr>
              <w:rPr>
                <w:sz w:val="20"/>
                <w:szCs w:val="20"/>
              </w:rPr>
            </w:pPr>
            <w:r w:rsidRPr="005A2545">
              <w:rPr>
                <w:b/>
                <w:sz w:val="20"/>
                <w:szCs w:val="20"/>
              </w:rPr>
              <w:t>N</w:t>
            </w:r>
          </w:p>
        </w:tc>
        <w:tc>
          <w:tcPr>
            <w:tcW w:w="1277" w:type="dxa"/>
            <w:vAlign w:val="center"/>
          </w:tcPr>
          <w:p w14:paraId="27CDA197" w14:textId="77777777" w:rsidR="0073703E" w:rsidRPr="005A2545" w:rsidRDefault="0073703E" w:rsidP="00287451">
            <w:pPr>
              <w:jc w:val="center"/>
              <w:rPr>
                <w:sz w:val="20"/>
                <w:szCs w:val="20"/>
              </w:rPr>
            </w:pPr>
            <w:r w:rsidRPr="005A2545">
              <w:rPr>
                <w:sz w:val="20"/>
                <w:szCs w:val="20"/>
              </w:rPr>
              <w:t>3,858</w:t>
            </w:r>
          </w:p>
        </w:tc>
        <w:tc>
          <w:tcPr>
            <w:tcW w:w="1277" w:type="dxa"/>
            <w:vAlign w:val="center"/>
          </w:tcPr>
          <w:p w14:paraId="16BCECAF" w14:textId="77777777" w:rsidR="0073703E" w:rsidRPr="005A2545" w:rsidRDefault="0073703E" w:rsidP="00287451">
            <w:pPr>
              <w:jc w:val="center"/>
              <w:rPr>
                <w:sz w:val="20"/>
                <w:szCs w:val="20"/>
              </w:rPr>
            </w:pPr>
            <w:r w:rsidRPr="005A2545">
              <w:rPr>
                <w:sz w:val="20"/>
                <w:szCs w:val="20"/>
              </w:rPr>
              <w:t>3,858</w:t>
            </w:r>
          </w:p>
        </w:tc>
        <w:tc>
          <w:tcPr>
            <w:tcW w:w="1277" w:type="dxa"/>
            <w:vAlign w:val="center"/>
          </w:tcPr>
          <w:p w14:paraId="68D0AC58" w14:textId="77777777" w:rsidR="0073703E" w:rsidRPr="005A2545" w:rsidRDefault="0073703E" w:rsidP="00287451">
            <w:pPr>
              <w:jc w:val="center"/>
              <w:rPr>
                <w:sz w:val="20"/>
                <w:szCs w:val="20"/>
              </w:rPr>
            </w:pPr>
            <w:r w:rsidRPr="005A2545">
              <w:rPr>
                <w:sz w:val="20"/>
                <w:szCs w:val="20"/>
              </w:rPr>
              <w:t>3,858</w:t>
            </w:r>
          </w:p>
        </w:tc>
        <w:tc>
          <w:tcPr>
            <w:tcW w:w="1277" w:type="dxa"/>
            <w:vAlign w:val="center"/>
          </w:tcPr>
          <w:p w14:paraId="2870A3B5" w14:textId="77777777" w:rsidR="0073703E" w:rsidRPr="005A2545" w:rsidRDefault="0073703E" w:rsidP="00287451">
            <w:pPr>
              <w:jc w:val="center"/>
              <w:rPr>
                <w:sz w:val="20"/>
                <w:szCs w:val="20"/>
              </w:rPr>
            </w:pPr>
            <w:r w:rsidRPr="005A2545">
              <w:rPr>
                <w:sz w:val="20"/>
                <w:szCs w:val="20"/>
              </w:rPr>
              <w:t>2,950</w:t>
            </w:r>
          </w:p>
        </w:tc>
        <w:tc>
          <w:tcPr>
            <w:tcW w:w="1277" w:type="dxa"/>
            <w:vAlign w:val="center"/>
          </w:tcPr>
          <w:p w14:paraId="04451446" w14:textId="77777777" w:rsidR="0073703E" w:rsidRPr="005A2545" w:rsidRDefault="0073703E" w:rsidP="00287451">
            <w:pPr>
              <w:jc w:val="center"/>
              <w:rPr>
                <w:sz w:val="20"/>
                <w:szCs w:val="20"/>
              </w:rPr>
            </w:pPr>
            <w:r w:rsidRPr="005A2545">
              <w:rPr>
                <w:sz w:val="20"/>
                <w:szCs w:val="20"/>
              </w:rPr>
              <w:t>2,950</w:t>
            </w:r>
          </w:p>
        </w:tc>
        <w:tc>
          <w:tcPr>
            <w:tcW w:w="1274" w:type="dxa"/>
            <w:vAlign w:val="center"/>
          </w:tcPr>
          <w:p w14:paraId="692779C6" w14:textId="77777777" w:rsidR="0073703E" w:rsidRPr="005A2545" w:rsidRDefault="0073703E" w:rsidP="00287451">
            <w:pPr>
              <w:jc w:val="center"/>
              <w:rPr>
                <w:sz w:val="20"/>
                <w:szCs w:val="20"/>
              </w:rPr>
            </w:pPr>
            <w:r w:rsidRPr="005A2545">
              <w:rPr>
                <w:sz w:val="20"/>
                <w:szCs w:val="20"/>
              </w:rPr>
              <w:t>2,950</w:t>
            </w:r>
          </w:p>
        </w:tc>
      </w:tr>
      <w:tr w:rsidR="0073703E" w:rsidRPr="005A2545" w14:paraId="6A9314DB" w14:textId="77777777" w:rsidTr="00287451">
        <w:tc>
          <w:tcPr>
            <w:tcW w:w="1699" w:type="dxa"/>
            <w:vAlign w:val="center"/>
          </w:tcPr>
          <w:p w14:paraId="481781EC" w14:textId="77777777" w:rsidR="0073703E" w:rsidRPr="005A2545" w:rsidRDefault="0073703E" w:rsidP="00287451">
            <w:pPr>
              <w:rPr>
                <w:sz w:val="20"/>
                <w:szCs w:val="20"/>
              </w:rPr>
            </w:pPr>
            <w:r w:rsidRPr="005A2545">
              <w:rPr>
                <w:b/>
                <w:sz w:val="20"/>
                <w:szCs w:val="20"/>
              </w:rPr>
              <w:t>R2</w:t>
            </w:r>
          </w:p>
        </w:tc>
        <w:tc>
          <w:tcPr>
            <w:tcW w:w="1277" w:type="dxa"/>
            <w:vAlign w:val="center"/>
          </w:tcPr>
          <w:p w14:paraId="48E02150" w14:textId="77777777" w:rsidR="0073703E" w:rsidRPr="005A2545" w:rsidRDefault="0073703E" w:rsidP="00287451">
            <w:pPr>
              <w:jc w:val="center"/>
              <w:rPr>
                <w:sz w:val="20"/>
                <w:szCs w:val="20"/>
              </w:rPr>
            </w:pPr>
            <w:r w:rsidRPr="005A2545">
              <w:rPr>
                <w:sz w:val="20"/>
                <w:szCs w:val="20"/>
              </w:rPr>
              <w:t>0.319</w:t>
            </w:r>
          </w:p>
        </w:tc>
        <w:tc>
          <w:tcPr>
            <w:tcW w:w="1277" w:type="dxa"/>
            <w:vAlign w:val="center"/>
          </w:tcPr>
          <w:p w14:paraId="596AC716" w14:textId="77777777" w:rsidR="0073703E" w:rsidRPr="005A2545" w:rsidRDefault="0073703E" w:rsidP="00287451">
            <w:pPr>
              <w:jc w:val="center"/>
              <w:rPr>
                <w:sz w:val="20"/>
                <w:szCs w:val="20"/>
              </w:rPr>
            </w:pPr>
            <w:r w:rsidRPr="005A2545">
              <w:rPr>
                <w:sz w:val="20"/>
                <w:szCs w:val="20"/>
              </w:rPr>
              <w:t>0.319</w:t>
            </w:r>
          </w:p>
        </w:tc>
        <w:tc>
          <w:tcPr>
            <w:tcW w:w="1277" w:type="dxa"/>
            <w:vAlign w:val="center"/>
          </w:tcPr>
          <w:p w14:paraId="70648CB4" w14:textId="77777777" w:rsidR="0073703E" w:rsidRPr="005A2545" w:rsidRDefault="0073703E" w:rsidP="00287451">
            <w:pPr>
              <w:jc w:val="center"/>
              <w:rPr>
                <w:sz w:val="20"/>
                <w:szCs w:val="20"/>
              </w:rPr>
            </w:pPr>
            <w:r w:rsidRPr="005A2545">
              <w:rPr>
                <w:sz w:val="20"/>
                <w:szCs w:val="20"/>
              </w:rPr>
              <w:t>0.319</w:t>
            </w:r>
          </w:p>
        </w:tc>
        <w:tc>
          <w:tcPr>
            <w:tcW w:w="1277" w:type="dxa"/>
            <w:vAlign w:val="center"/>
          </w:tcPr>
          <w:p w14:paraId="5C76BCF1" w14:textId="77777777" w:rsidR="0073703E" w:rsidRPr="005A2545" w:rsidRDefault="0073703E" w:rsidP="00287451">
            <w:pPr>
              <w:jc w:val="center"/>
              <w:rPr>
                <w:sz w:val="20"/>
                <w:szCs w:val="20"/>
              </w:rPr>
            </w:pPr>
            <w:r w:rsidRPr="005A2545">
              <w:rPr>
                <w:sz w:val="20"/>
                <w:szCs w:val="20"/>
              </w:rPr>
              <w:t>0.289</w:t>
            </w:r>
          </w:p>
        </w:tc>
        <w:tc>
          <w:tcPr>
            <w:tcW w:w="1277" w:type="dxa"/>
            <w:vAlign w:val="center"/>
          </w:tcPr>
          <w:p w14:paraId="523B4470" w14:textId="77777777" w:rsidR="0073703E" w:rsidRPr="005A2545" w:rsidRDefault="0073703E" w:rsidP="00287451">
            <w:pPr>
              <w:jc w:val="center"/>
              <w:rPr>
                <w:sz w:val="20"/>
                <w:szCs w:val="20"/>
              </w:rPr>
            </w:pPr>
            <w:r w:rsidRPr="005A2545">
              <w:rPr>
                <w:sz w:val="20"/>
                <w:szCs w:val="20"/>
              </w:rPr>
              <w:t>0.289</w:t>
            </w:r>
          </w:p>
        </w:tc>
        <w:tc>
          <w:tcPr>
            <w:tcW w:w="1274" w:type="dxa"/>
            <w:vAlign w:val="center"/>
          </w:tcPr>
          <w:p w14:paraId="46BD6330" w14:textId="77777777" w:rsidR="0073703E" w:rsidRPr="005A2545" w:rsidRDefault="0073703E" w:rsidP="00287451">
            <w:pPr>
              <w:jc w:val="center"/>
              <w:rPr>
                <w:sz w:val="20"/>
                <w:szCs w:val="20"/>
              </w:rPr>
            </w:pPr>
            <w:r w:rsidRPr="005A2545">
              <w:rPr>
                <w:sz w:val="20"/>
                <w:szCs w:val="20"/>
              </w:rPr>
              <w:t>0.290</w:t>
            </w:r>
          </w:p>
        </w:tc>
      </w:tr>
    </w:tbl>
    <w:p w14:paraId="27940F65" w14:textId="77777777" w:rsidR="0073703E" w:rsidRPr="005A2545" w:rsidRDefault="0073703E" w:rsidP="0073703E">
      <w:pPr>
        <w:pStyle w:val="Caption"/>
        <w:rPr>
          <w:rFonts w:ascii="Times New Roman" w:hAnsi="Times New Roman" w:cs="Times New Roman"/>
          <w:sz w:val="20"/>
          <w:szCs w:val="20"/>
        </w:rPr>
      </w:pPr>
      <w:r w:rsidRPr="005A2545">
        <w:rPr>
          <w:rFonts w:ascii="Times New Roman" w:hAnsi="Times New Roman" w:cs="Times New Roman"/>
          <w:color w:val="505050"/>
          <w:sz w:val="20"/>
          <w:szCs w:val="20"/>
        </w:rPr>
        <w:t>Columns combine CPC broad and WIPO broad definitions. N is reported as a row for each column-specific estimation sample.</w:t>
      </w:r>
    </w:p>
    <w:p w14:paraId="3126734B" w14:textId="77777777" w:rsidR="0073703E" w:rsidRDefault="0073703E" w:rsidP="00D57A20">
      <w:pPr>
        <w:spacing w:line="480" w:lineRule="auto"/>
        <w:ind w:firstLine="720"/>
        <w:rPr>
          <w:color w:val="000000"/>
        </w:rPr>
      </w:pPr>
    </w:p>
    <w:p w14:paraId="3FAE1168" w14:textId="3D3C5B43" w:rsidR="0007410B" w:rsidRDefault="00893889" w:rsidP="00D57A20">
      <w:pPr>
        <w:spacing w:line="480" w:lineRule="auto"/>
        <w:ind w:firstLine="720"/>
        <w:rPr>
          <w:color w:val="000000"/>
        </w:rPr>
      </w:pPr>
      <w:r>
        <w:rPr>
          <w:color w:val="000000"/>
        </w:rPr>
        <w:t xml:space="preserve">It is the same story when limited to only section 101 or section 103 invalidations, although the results are nearly identical at both high and low AI confidence tiers. </w:t>
      </w:r>
      <w:r w:rsidR="00E8739B">
        <w:rPr>
          <w:color w:val="000000"/>
        </w:rPr>
        <w:t>As shown in Table 12, f</w:t>
      </w:r>
      <w:r>
        <w:rPr>
          <w:color w:val="000000"/>
        </w:rPr>
        <w:t>or section 101, the adjusted probability for a non-AI invention is 2</w:t>
      </w:r>
      <w:r w:rsidR="003C1DC8">
        <w:rPr>
          <w:color w:val="000000"/>
        </w:rPr>
        <w:t>3.2</w:t>
      </w:r>
      <w:r>
        <w:rPr>
          <w:color w:val="000000"/>
        </w:rPr>
        <w:t>% compared to 3</w:t>
      </w:r>
      <w:r w:rsidR="003C1DC8">
        <w:rPr>
          <w:color w:val="000000"/>
        </w:rPr>
        <w:t>4.0</w:t>
      </w:r>
      <w:r>
        <w:rPr>
          <w:color w:val="000000"/>
        </w:rPr>
        <w:t xml:space="preserve">% for AI inventions measured at the 50% confidence tier. The breakdown is </w:t>
      </w:r>
      <w:r w:rsidR="003C1DC8">
        <w:rPr>
          <w:color w:val="000000"/>
        </w:rPr>
        <w:t xml:space="preserve">similar </w:t>
      </w:r>
      <w:r>
        <w:rPr>
          <w:color w:val="000000"/>
        </w:rPr>
        <w:t xml:space="preserve">for </w:t>
      </w:r>
      <w:r>
        <w:rPr>
          <w:color w:val="000000"/>
        </w:rPr>
        <w:lastRenderedPageBreak/>
        <w:t>section 103 invalidations</w:t>
      </w:r>
      <w:r w:rsidR="003C1DC8">
        <w:rPr>
          <w:color w:val="000000"/>
        </w:rPr>
        <w:t>, but in the oppositive direction (26.7% and 19.1% respectively)</w:t>
      </w:r>
      <w:r>
        <w:rPr>
          <w:color w:val="000000"/>
        </w:rPr>
        <w:t xml:space="preserve">. </w:t>
      </w:r>
      <w:r w:rsidR="00C30502">
        <w:rPr>
          <w:color w:val="000000"/>
        </w:rPr>
        <w:t>Th</w:t>
      </w:r>
      <w:r>
        <w:rPr>
          <w:color w:val="000000"/>
        </w:rPr>
        <w:t xml:space="preserve">is </w:t>
      </w:r>
      <w:r w:rsidR="00C30502">
        <w:rPr>
          <w:color w:val="000000"/>
        </w:rPr>
        <w:t xml:space="preserve">suggests a doctrinal substitution story: among patents already found invalid, non-software AI patents are still more likely to be invalidated as claiming ineligible abstraction/functionality, and less often invalidated as ordinary combinations of prior art. </w:t>
      </w:r>
      <w:r w:rsidR="00032302">
        <w:rPr>
          <w:color w:val="000000"/>
        </w:rPr>
        <w:t>In other words,</w:t>
      </w:r>
      <w:r w:rsidR="0007410B">
        <w:rPr>
          <w:color w:val="000000"/>
        </w:rPr>
        <w:t xml:space="preserve"> the AI effect observed above is not clearly an </w:t>
      </w:r>
      <w:r w:rsidR="0007410B" w:rsidRPr="008B7DCE">
        <w:rPr>
          <w:i/>
          <w:iCs/>
          <w:color w:val="000000"/>
        </w:rPr>
        <w:t>Alice</w:t>
      </w:r>
      <w:r w:rsidR="0007410B">
        <w:rPr>
          <w:color w:val="000000"/>
        </w:rPr>
        <w:t>/software effect.</w:t>
      </w:r>
      <w:r w:rsidR="00C30502">
        <w:rPr>
          <w:rStyle w:val="FootnoteReference"/>
          <w:color w:val="000000"/>
        </w:rPr>
        <w:footnoteReference w:id="84"/>
      </w:r>
      <w:r w:rsidR="0007410B">
        <w:rPr>
          <w:color w:val="000000"/>
        </w:rPr>
        <w:t xml:space="preserve"> Rather, courts appear to treat AI-enabled patents across a broa</w:t>
      </w:r>
      <w:r w:rsidR="00032302">
        <w:rPr>
          <w:color w:val="000000"/>
        </w:rPr>
        <w:t>d</w:t>
      </w:r>
      <w:r w:rsidR="0007410B">
        <w:rPr>
          <w:color w:val="000000"/>
        </w:rPr>
        <w:t xml:space="preserve"> set of technical fields as presenting </w:t>
      </w:r>
      <w:r w:rsidR="00C30502">
        <w:rPr>
          <w:color w:val="000000"/>
        </w:rPr>
        <w:t>invalid</w:t>
      </w:r>
      <w:r>
        <w:rPr>
          <w:color w:val="000000"/>
        </w:rPr>
        <w:t>ity</w:t>
      </w:r>
      <w:r w:rsidR="0007410B">
        <w:rPr>
          <w:color w:val="000000"/>
        </w:rPr>
        <w:t xml:space="preserve"> problems.</w:t>
      </w:r>
      <w:r w:rsidR="00981003">
        <w:rPr>
          <w:color w:val="000000"/>
        </w:rPr>
        <w:t xml:space="preserve"> </w:t>
      </w:r>
      <w:r w:rsidR="003C1DC8">
        <w:rPr>
          <w:color w:val="000000"/>
        </w:rPr>
        <w:t xml:space="preserve">The differences are even more stark under the WIPO definition of software. There, the adjusted probability for a non-AI patent is 29.7% compared to 15.4% for an AI patent, a large 93.5% relative increase. </w:t>
      </w:r>
    </w:p>
    <w:p w14:paraId="5F4D31FF" w14:textId="75CCA6CF" w:rsidR="0073703E" w:rsidRPr="00E93EC8" w:rsidRDefault="0073703E" w:rsidP="00E93EC8">
      <w:pPr>
        <w:pStyle w:val="Heading3"/>
        <w:jc w:val="center"/>
        <w:rPr>
          <w:rFonts w:cs="Times New Roman"/>
          <w:b/>
          <w:bCs/>
          <w:color w:val="000000" w:themeColor="text1"/>
          <w:sz w:val="24"/>
          <w:szCs w:val="24"/>
        </w:rPr>
      </w:pPr>
      <w:r w:rsidRPr="00E93EC8">
        <w:rPr>
          <w:rFonts w:cs="Times New Roman"/>
          <w:b/>
          <w:bCs/>
          <w:color w:val="000000" w:themeColor="text1"/>
          <w:sz w:val="24"/>
          <w:szCs w:val="24"/>
        </w:rPr>
        <w:t>Table 12: CPC/WIPO Statutory Chart in Non</w:t>
      </w:r>
      <w:r w:rsidR="00E93EC8">
        <w:rPr>
          <w:rFonts w:cs="Times New Roman"/>
          <w:b/>
          <w:bCs/>
          <w:color w:val="000000" w:themeColor="text1"/>
          <w:sz w:val="24"/>
          <w:szCs w:val="24"/>
        </w:rPr>
        <w:t>-</w:t>
      </w:r>
      <w:r w:rsidRPr="00E93EC8">
        <w:rPr>
          <w:rFonts w:cs="Times New Roman"/>
          <w:b/>
          <w:bCs/>
          <w:color w:val="000000" w:themeColor="text1"/>
          <w:sz w:val="24"/>
          <w:szCs w:val="24"/>
        </w:rPr>
        <w:t>software Samples at AI Tier 50%</w:t>
      </w:r>
    </w:p>
    <w:tbl>
      <w:tblPr>
        <w:tblStyle w:val="TableGrid"/>
        <w:tblW w:w="9360" w:type="dxa"/>
        <w:tblLayout w:type="fixed"/>
        <w:tblLook w:val="04A0" w:firstRow="1" w:lastRow="0" w:firstColumn="1" w:lastColumn="0" w:noHBand="0" w:noVBand="1"/>
      </w:tblPr>
      <w:tblGrid>
        <w:gridCol w:w="1944"/>
        <w:gridCol w:w="1224"/>
        <w:gridCol w:w="1224"/>
        <w:gridCol w:w="1224"/>
        <w:gridCol w:w="1224"/>
        <w:gridCol w:w="1260"/>
        <w:gridCol w:w="1260"/>
      </w:tblGrid>
      <w:tr w:rsidR="0073703E" w:rsidRPr="005A2545" w14:paraId="3EBAD5C8" w14:textId="77777777" w:rsidTr="00287451">
        <w:tc>
          <w:tcPr>
            <w:tcW w:w="1944" w:type="dxa"/>
            <w:shd w:val="clear" w:color="auto" w:fill="F2F2F2"/>
            <w:vAlign w:val="center"/>
          </w:tcPr>
          <w:p w14:paraId="2F83DD7A" w14:textId="77777777" w:rsidR="0073703E" w:rsidRPr="005A2545" w:rsidRDefault="0073703E" w:rsidP="00287451">
            <w:pPr>
              <w:jc w:val="center"/>
              <w:rPr>
                <w:sz w:val="20"/>
                <w:szCs w:val="20"/>
              </w:rPr>
            </w:pPr>
            <w:r w:rsidRPr="005A2545">
              <w:rPr>
                <w:b/>
                <w:sz w:val="20"/>
                <w:szCs w:val="20"/>
              </w:rPr>
              <w:t>Reference / Statistic</w:t>
            </w:r>
          </w:p>
        </w:tc>
        <w:tc>
          <w:tcPr>
            <w:tcW w:w="1224" w:type="dxa"/>
            <w:shd w:val="clear" w:color="auto" w:fill="F2F2F2"/>
            <w:vAlign w:val="center"/>
          </w:tcPr>
          <w:p w14:paraId="70D462FD" w14:textId="77777777" w:rsidR="0073703E" w:rsidRPr="005A2545" w:rsidRDefault="0073703E" w:rsidP="00287451">
            <w:pPr>
              <w:jc w:val="center"/>
              <w:rPr>
                <w:sz w:val="20"/>
                <w:szCs w:val="20"/>
              </w:rPr>
            </w:pPr>
            <w:r w:rsidRPr="005A2545">
              <w:rPr>
                <w:b/>
                <w:sz w:val="20"/>
                <w:szCs w:val="20"/>
              </w:rPr>
              <w:t>S101</w:t>
            </w:r>
            <w:r w:rsidRPr="005A2545">
              <w:rPr>
                <w:sz w:val="20"/>
                <w:szCs w:val="20"/>
              </w:rPr>
              <w:br/>
            </w:r>
            <w:r w:rsidRPr="005A2545">
              <w:rPr>
                <w:b/>
                <w:sz w:val="20"/>
                <w:szCs w:val="20"/>
              </w:rPr>
              <w:t>Subject Matter</w:t>
            </w:r>
          </w:p>
        </w:tc>
        <w:tc>
          <w:tcPr>
            <w:tcW w:w="1224" w:type="dxa"/>
            <w:shd w:val="clear" w:color="auto" w:fill="F2F2F2"/>
            <w:vAlign w:val="center"/>
          </w:tcPr>
          <w:p w14:paraId="1EE683AA" w14:textId="77777777" w:rsidR="0073703E" w:rsidRPr="005A2545" w:rsidRDefault="0073703E" w:rsidP="00287451">
            <w:pPr>
              <w:jc w:val="center"/>
              <w:rPr>
                <w:sz w:val="20"/>
                <w:szCs w:val="20"/>
              </w:rPr>
            </w:pPr>
            <w:r w:rsidRPr="005A2545">
              <w:rPr>
                <w:b/>
                <w:sz w:val="20"/>
                <w:szCs w:val="20"/>
              </w:rPr>
              <w:t>S102</w:t>
            </w:r>
            <w:r w:rsidRPr="005A2545">
              <w:rPr>
                <w:sz w:val="20"/>
                <w:szCs w:val="20"/>
              </w:rPr>
              <w:br/>
            </w:r>
            <w:r w:rsidRPr="005A2545">
              <w:rPr>
                <w:b/>
                <w:sz w:val="20"/>
                <w:szCs w:val="20"/>
              </w:rPr>
              <w:t>Anticipation</w:t>
            </w:r>
          </w:p>
        </w:tc>
        <w:tc>
          <w:tcPr>
            <w:tcW w:w="1224" w:type="dxa"/>
            <w:shd w:val="clear" w:color="auto" w:fill="F2F2F2"/>
            <w:vAlign w:val="center"/>
          </w:tcPr>
          <w:p w14:paraId="0C55DF10" w14:textId="77777777" w:rsidR="0073703E" w:rsidRPr="005A2545" w:rsidRDefault="0073703E" w:rsidP="00287451">
            <w:pPr>
              <w:jc w:val="center"/>
              <w:rPr>
                <w:sz w:val="20"/>
                <w:szCs w:val="20"/>
              </w:rPr>
            </w:pPr>
            <w:r w:rsidRPr="005A2545">
              <w:rPr>
                <w:b/>
                <w:sz w:val="20"/>
                <w:szCs w:val="20"/>
              </w:rPr>
              <w:t>S103</w:t>
            </w:r>
            <w:r w:rsidRPr="005A2545">
              <w:rPr>
                <w:sz w:val="20"/>
                <w:szCs w:val="20"/>
              </w:rPr>
              <w:br/>
            </w:r>
            <w:r w:rsidRPr="005A2545">
              <w:rPr>
                <w:b/>
                <w:sz w:val="20"/>
                <w:szCs w:val="20"/>
              </w:rPr>
              <w:t>Obviousness</w:t>
            </w:r>
          </w:p>
        </w:tc>
        <w:tc>
          <w:tcPr>
            <w:tcW w:w="1224" w:type="dxa"/>
            <w:shd w:val="clear" w:color="auto" w:fill="F2F2F2"/>
            <w:vAlign w:val="center"/>
          </w:tcPr>
          <w:p w14:paraId="555B152B" w14:textId="77777777" w:rsidR="0073703E" w:rsidRPr="005A2545" w:rsidRDefault="0073703E" w:rsidP="00287451">
            <w:pPr>
              <w:jc w:val="center"/>
              <w:rPr>
                <w:sz w:val="20"/>
                <w:szCs w:val="20"/>
              </w:rPr>
            </w:pPr>
            <w:r w:rsidRPr="005A2545">
              <w:rPr>
                <w:b/>
                <w:sz w:val="20"/>
                <w:szCs w:val="20"/>
              </w:rPr>
              <w:t>S112</w:t>
            </w:r>
            <w:r w:rsidRPr="005A2545">
              <w:rPr>
                <w:sz w:val="20"/>
                <w:szCs w:val="20"/>
              </w:rPr>
              <w:br/>
            </w:r>
            <w:r w:rsidRPr="005A2545">
              <w:rPr>
                <w:b/>
                <w:sz w:val="20"/>
                <w:szCs w:val="20"/>
              </w:rPr>
              <w:t>Written Desc.</w:t>
            </w:r>
          </w:p>
        </w:tc>
        <w:tc>
          <w:tcPr>
            <w:tcW w:w="1260" w:type="dxa"/>
            <w:shd w:val="clear" w:color="auto" w:fill="F2F2F2"/>
            <w:vAlign w:val="center"/>
          </w:tcPr>
          <w:p w14:paraId="224800D8" w14:textId="77777777" w:rsidR="0073703E" w:rsidRPr="005A2545" w:rsidRDefault="0073703E" w:rsidP="00287451">
            <w:pPr>
              <w:jc w:val="center"/>
              <w:rPr>
                <w:sz w:val="20"/>
                <w:szCs w:val="20"/>
              </w:rPr>
            </w:pPr>
            <w:r w:rsidRPr="005A2545">
              <w:rPr>
                <w:b/>
                <w:sz w:val="20"/>
                <w:szCs w:val="20"/>
              </w:rPr>
              <w:t>S112</w:t>
            </w:r>
            <w:r w:rsidRPr="005A2545">
              <w:rPr>
                <w:sz w:val="20"/>
                <w:szCs w:val="20"/>
              </w:rPr>
              <w:br/>
            </w:r>
            <w:r w:rsidRPr="005A2545">
              <w:rPr>
                <w:b/>
                <w:sz w:val="20"/>
                <w:szCs w:val="20"/>
              </w:rPr>
              <w:t>Enablement</w:t>
            </w:r>
          </w:p>
        </w:tc>
        <w:tc>
          <w:tcPr>
            <w:tcW w:w="1260" w:type="dxa"/>
            <w:shd w:val="clear" w:color="auto" w:fill="F2F2F2"/>
            <w:vAlign w:val="center"/>
          </w:tcPr>
          <w:p w14:paraId="3F55195D" w14:textId="77777777" w:rsidR="0073703E" w:rsidRPr="005A2545" w:rsidRDefault="0073703E" w:rsidP="00287451">
            <w:pPr>
              <w:jc w:val="center"/>
              <w:rPr>
                <w:sz w:val="20"/>
                <w:szCs w:val="20"/>
              </w:rPr>
            </w:pPr>
            <w:r w:rsidRPr="005A2545">
              <w:rPr>
                <w:b/>
                <w:sz w:val="20"/>
                <w:szCs w:val="20"/>
              </w:rPr>
              <w:t>S112</w:t>
            </w:r>
            <w:r w:rsidRPr="005A2545">
              <w:rPr>
                <w:sz w:val="20"/>
                <w:szCs w:val="20"/>
              </w:rPr>
              <w:br/>
            </w:r>
            <w:r w:rsidRPr="005A2545">
              <w:rPr>
                <w:b/>
                <w:sz w:val="20"/>
                <w:szCs w:val="20"/>
              </w:rPr>
              <w:t>Definiteness</w:t>
            </w:r>
          </w:p>
        </w:tc>
      </w:tr>
      <w:tr w:rsidR="0073703E" w:rsidRPr="005A2545" w14:paraId="1835DAE9" w14:textId="77777777" w:rsidTr="00287451">
        <w:tc>
          <w:tcPr>
            <w:tcW w:w="1944" w:type="dxa"/>
            <w:vAlign w:val="center"/>
          </w:tcPr>
          <w:p w14:paraId="20A8410F" w14:textId="77777777" w:rsidR="0073703E" w:rsidRPr="005A2545" w:rsidRDefault="0073703E" w:rsidP="00287451">
            <w:pPr>
              <w:rPr>
                <w:sz w:val="20"/>
                <w:szCs w:val="20"/>
              </w:rPr>
            </w:pPr>
            <w:r w:rsidRPr="005A2545">
              <w:rPr>
                <w:b/>
                <w:sz w:val="20"/>
                <w:szCs w:val="20"/>
              </w:rPr>
              <w:t>CPC - AI coefficient</w:t>
            </w:r>
          </w:p>
        </w:tc>
        <w:tc>
          <w:tcPr>
            <w:tcW w:w="1224" w:type="dxa"/>
            <w:vAlign w:val="center"/>
          </w:tcPr>
          <w:p w14:paraId="71D4A966" w14:textId="77777777" w:rsidR="0073703E" w:rsidRPr="005A2545" w:rsidRDefault="0073703E" w:rsidP="00287451">
            <w:pPr>
              <w:jc w:val="center"/>
              <w:rPr>
                <w:sz w:val="20"/>
                <w:szCs w:val="20"/>
              </w:rPr>
            </w:pPr>
            <w:r w:rsidRPr="005A2545">
              <w:rPr>
                <w:sz w:val="20"/>
                <w:szCs w:val="20"/>
              </w:rPr>
              <w:t>+10.76***</w:t>
            </w:r>
            <w:r w:rsidRPr="005A2545">
              <w:rPr>
                <w:sz w:val="20"/>
                <w:szCs w:val="20"/>
              </w:rPr>
              <w:br/>
              <w:t>(2.01)</w:t>
            </w:r>
          </w:p>
        </w:tc>
        <w:tc>
          <w:tcPr>
            <w:tcW w:w="1224" w:type="dxa"/>
            <w:vAlign w:val="center"/>
          </w:tcPr>
          <w:p w14:paraId="06739CCD" w14:textId="77777777" w:rsidR="0073703E" w:rsidRPr="005A2545" w:rsidRDefault="0073703E" w:rsidP="00287451">
            <w:pPr>
              <w:jc w:val="center"/>
              <w:rPr>
                <w:sz w:val="20"/>
                <w:szCs w:val="20"/>
              </w:rPr>
            </w:pPr>
            <w:r w:rsidRPr="005A2545">
              <w:rPr>
                <w:sz w:val="20"/>
                <w:szCs w:val="20"/>
              </w:rPr>
              <w:t>-3.76*</w:t>
            </w:r>
            <w:r w:rsidRPr="005A2545">
              <w:rPr>
                <w:sz w:val="20"/>
                <w:szCs w:val="20"/>
              </w:rPr>
              <w:br/>
              <w:t>(2.16)</w:t>
            </w:r>
          </w:p>
        </w:tc>
        <w:tc>
          <w:tcPr>
            <w:tcW w:w="1224" w:type="dxa"/>
            <w:vAlign w:val="center"/>
          </w:tcPr>
          <w:p w14:paraId="1C5329C9" w14:textId="77777777" w:rsidR="0073703E" w:rsidRPr="005A2545" w:rsidRDefault="0073703E" w:rsidP="00287451">
            <w:pPr>
              <w:jc w:val="center"/>
              <w:rPr>
                <w:sz w:val="20"/>
                <w:szCs w:val="20"/>
              </w:rPr>
            </w:pPr>
            <w:r w:rsidRPr="005A2545">
              <w:rPr>
                <w:sz w:val="20"/>
                <w:szCs w:val="20"/>
              </w:rPr>
              <w:t>-7.59***</w:t>
            </w:r>
            <w:r w:rsidRPr="005A2545">
              <w:rPr>
                <w:sz w:val="20"/>
                <w:szCs w:val="20"/>
              </w:rPr>
              <w:br/>
              <w:t>(1.87)</w:t>
            </w:r>
          </w:p>
        </w:tc>
        <w:tc>
          <w:tcPr>
            <w:tcW w:w="1224" w:type="dxa"/>
            <w:vAlign w:val="center"/>
          </w:tcPr>
          <w:p w14:paraId="3D76B82C" w14:textId="77777777" w:rsidR="0073703E" w:rsidRPr="005A2545" w:rsidRDefault="0073703E" w:rsidP="00287451">
            <w:pPr>
              <w:jc w:val="center"/>
              <w:rPr>
                <w:sz w:val="20"/>
                <w:szCs w:val="20"/>
              </w:rPr>
            </w:pPr>
            <w:r w:rsidRPr="005A2545">
              <w:rPr>
                <w:sz w:val="20"/>
                <w:szCs w:val="20"/>
              </w:rPr>
              <w:t>+1.48</w:t>
            </w:r>
            <w:r w:rsidRPr="005A2545">
              <w:rPr>
                <w:sz w:val="20"/>
                <w:szCs w:val="20"/>
              </w:rPr>
              <w:br/>
              <w:t>(1.38)</w:t>
            </w:r>
          </w:p>
        </w:tc>
        <w:tc>
          <w:tcPr>
            <w:tcW w:w="1260" w:type="dxa"/>
            <w:vAlign w:val="center"/>
          </w:tcPr>
          <w:p w14:paraId="0E8433A6" w14:textId="77777777" w:rsidR="0073703E" w:rsidRPr="005A2545" w:rsidRDefault="0073703E" w:rsidP="00287451">
            <w:pPr>
              <w:jc w:val="center"/>
              <w:rPr>
                <w:sz w:val="20"/>
                <w:szCs w:val="20"/>
              </w:rPr>
            </w:pPr>
            <w:r w:rsidRPr="005A2545">
              <w:rPr>
                <w:sz w:val="20"/>
                <w:szCs w:val="20"/>
              </w:rPr>
              <w:t>+1.90</w:t>
            </w:r>
            <w:r w:rsidRPr="005A2545">
              <w:rPr>
                <w:sz w:val="20"/>
                <w:szCs w:val="20"/>
              </w:rPr>
              <w:br/>
              <w:t>(1.16)</w:t>
            </w:r>
          </w:p>
        </w:tc>
        <w:tc>
          <w:tcPr>
            <w:tcW w:w="1260" w:type="dxa"/>
            <w:vAlign w:val="center"/>
          </w:tcPr>
          <w:p w14:paraId="00BE1B9C" w14:textId="77777777" w:rsidR="0073703E" w:rsidRPr="005A2545" w:rsidRDefault="0073703E" w:rsidP="00287451">
            <w:pPr>
              <w:jc w:val="center"/>
              <w:rPr>
                <w:sz w:val="20"/>
                <w:szCs w:val="20"/>
              </w:rPr>
            </w:pPr>
            <w:r w:rsidRPr="005A2545">
              <w:rPr>
                <w:sz w:val="20"/>
                <w:szCs w:val="20"/>
              </w:rPr>
              <w:t>+0.25</w:t>
            </w:r>
            <w:r w:rsidRPr="005A2545">
              <w:rPr>
                <w:sz w:val="20"/>
                <w:szCs w:val="20"/>
              </w:rPr>
              <w:br/>
              <w:t>(2.22)</w:t>
            </w:r>
          </w:p>
        </w:tc>
      </w:tr>
      <w:tr w:rsidR="0073703E" w:rsidRPr="005A2545" w14:paraId="2E529B01" w14:textId="77777777" w:rsidTr="00287451">
        <w:tc>
          <w:tcPr>
            <w:tcW w:w="1944" w:type="dxa"/>
            <w:vAlign w:val="center"/>
          </w:tcPr>
          <w:p w14:paraId="651BC8B4" w14:textId="77777777" w:rsidR="0073703E" w:rsidRPr="005A2545" w:rsidRDefault="0073703E" w:rsidP="00287451">
            <w:pPr>
              <w:rPr>
                <w:sz w:val="20"/>
                <w:szCs w:val="20"/>
              </w:rPr>
            </w:pPr>
            <w:r w:rsidRPr="005A2545">
              <w:rPr>
                <w:b/>
                <w:sz w:val="20"/>
                <w:szCs w:val="20"/>
              </w:rPr>
              <w:t>CPC - Alpha</w:t>
            </w:r>
          </w:p>
        </w:tc>
        <w:tc>
          <w:tcPr>
            <w:tcW w:w="1224" w:type="dxa"/>
            <w:vAlign w:val="center"/>
          </w:tcPr>
          <w:p w14:paraId="75EF7F3C" w14:textId="77777777" w:rsidR="0073703E" w:rsidRPr="005A2545" w:rsidRDefault="0073703E" w:rsidP="00287451">
            <w:pPr>
              <w:jc w:val="center"/>
              <w:rPr>
                <w:sz w:val="20"/>
                <w:szCs w:val="20"/>
              </w:rPr>
            </w:pPr>
            <w:r w:rsidRPr="005A2545">
              <w:rPr>
                <w:sz w:val="20"/>
                <w:szCs w:val="20"/>
              </w:rPr>
              <w:t>0.01</w:t>
            </w:r>
          </w:p>
        </w:tc>
        <w:tc>
          <w:tcPr>
            <w:tcW w:w="1224" w:type="dxa"/>
            <w:vAlign w:val="center"/>
          </w:tcPr>
          <w:p w14:paraId="7FF12138" w14:textId="77777777" w:rsidR="0073703E" w:rsidRPr="005A2545" w:rsidRDefault="0073703E" w:rsidP="00287451">
            <w:pPr>
              <w:jc w:val="center"/>
              <w:rPr>
                <w:sz w:val="20"/>
                <w:szCs w:val="20"/>
              </w:rPr>
            </w:pPr>
            <w:r w:rsidRPr="005A2545">
              <w:rPr>
                <w:sz w:val="20"/>
                <w:szCs w:val="20"/>
              </w:rPr>
              <w:t>0.10</w:t>
            </w:r>
          </w:p>
        </w:tc>
        <w:tc>
          <w:tcPr>
            <w:tcW w:w="1224" w:type="dxa"/>
            <w:vAlign w:val="center"/>
          </w:tcPr>
          <w:p w14:paraId="60946E48" w14:textId="77777777" w:rsidR="0073703E" w:rsidRPr="005A2545" w:rsidRDefault="0073703E" w:rsidP="00287451">
            <w:pPr>
              <w:jc w:val="center"/>
              <w:rPr>
                <w:sz w:val="20"/>
                <w:szCs w:val="20"/>
              </w:rPr>
            </w:pPr>
            <w:r w:rsidRPr="005A2545">
              <w:rPr>
                <w:sz w:val="20"/>
                <w:szCs w:val="20"/>
              </w:rPr>
              <w:t>0.01</w:t>
            </w:r>
          </w:p>
        </w:tc>
        <w:tc>
          <w:tcPr>
            <w:tcW w:w="1224" w:type="dxa"/>
            <w:vAlign w:val="center"/>
          </w:tcPr>
          <w:p w14:paraId="3957B39F" w14:textId="77777777" w:rsidR="0073703E" w:rsidRPr="005A2545" w:rsidRDefault="0073703E" w:rsidP="00287451">
            <w:pPr>
              <w:jc w:val="center"/>
              <w:rPr>
                <w:sz w:val="20"/>
                <w:szCs w:val="20"/>
              </w:rPr>
            </w:pPr>
            <w:r w:rsidRPr="005A2545">
              <w:rPr>
                <w:sz w:val="20"/>
                <w:szCs w:val="20"/>
              </w:rPr>
              <w:t>n.s.</w:t>
            </w:r>
          </w:p>
        </w:tc>
        <w:tc>
          <w:tcPr>
            <w:tcW w:w="1260" w:type="dxa"/>
            <w:vAlign w:val="center"/>
          </w:tcPr>
          <w:p w14:paraId="7492B114" w14:textId="77777777" w:rsidR="0073703E" w:rsidRPr="005A2545" w:rsidRDefault="0073703E" w:rsidP="00287451">
            <w:pPr>
              <w:jc w:val="center"/>
              <w:rPr>
                <w:sz w:val="20"/>
                <w:szCs w:val="20"/>
              </w:rPr>
            </w:pPr>
            <w:r w:rsidRPr="005A2545">
              <w:rPr>
                <w:sz w:val="20"/>
                <w:szCs w:val="20"/>
              </w:rPr>
              <w:t>n.s.</w:t>
            </w:r>
          </w:p>
        </w:tc>
        <w:tc>
          <w:tcPr>
            <w:tcW w:w="1260" w:type="dxa"/>
            <w:vAlign w:val="center"/>
          </w:tcPr>
          <w:p w14:paraId="3AA02FB2" w14:textId="77777777" w:rsidR="0073703E" w:rsidRPr="005A2545" w:rsidRDefault="0073703E" w:rsidP="00287451">
            <w:pPr>
              <w:jc w:val="center"/>
              <w:rPr>
                <w:sz w:val="20"/>
                <w:szCs w:val="20"/>
              </w:rPr>
            </w:pPr>
            <w:r w:rsidRPr="005A2545">
              <w:rPr>
                <w:sz w:val="20"/>
                <w:szCs w:val="20"/>
              </w:rPr>
              <w:t>n.s.</w:t>
            </w:r>
          </w:p>
        </w:tc>
      </w:tr>
      <w:tr w:rsidR="0073703E" w:rsidRPr="005A2545" w14:paraId="259D1A83" w14:textId="77777777" w:rsidTr="00287451">
        <w:tc>
          <w:tcPr>
            <w:tcW w:w="1944" w:type="dxa"/>
            <w:vAlign w:val="center"/>
          </w:tcPr>
          <w:p w14:paraId="321138F3" w14:textId="77777777" w:rsidR="0073703E" w:rsidRPr="005A2545" w:rsidRDefault="0073703E" w:rsidP="00287451">
            <w:pPr>
              <w:rPr>
                <w:sz w:val="20"/>
                <w:szCs w:val="20"/>
              </w:rPr>
            </w:pPr>
            <w:r w:rsidRPr="005A2545">
              <w:rPr>
                <w:b/>
                <w:sz w:val="20"/>
                <w:szCs w:val="20"/>
              </w:rPr>
              <w:t>CPC - Pr(non-AI)</w:t>
            </w:r>
          </w:p>
        </w:tc>
        <w:tc>
          <w:tcPr>
            <w:tcW w:w="1224" w:type="dxa"/>
            <w:vAlign w:val="center"/>
          </w:tcPr>
          <w:p w14:paraId="59C295F9" w14:textId="77777777" w:rsidR="0073703E" w:rsidRPr="005A2545" w:rsidRDefault="0073703E" w:rsidP="00287451">
            <w:pPr>
              <w:jc w:val="center"/>
              <w:rPr>
                <w:sz w:val="20"/>
                <w:szCs w:val="20"/>
              </w:rPr>
            </w:pPr>
            <w:r w:rsidRPr="005A2545">
              <w:rPr>
                <w:sz w:val="20"/>
                <w:szCs w:val="20"/>
              </w:rPr>
              <w:t>23.2%</w:t>
            </w:r>
          </w:p>
        </w:tc>
        <w:tc>
          <w:tcPr>
            <w:tcW w:w="1224" w:type="dxa"/>
            <w:vAlign w:val="center"/>
          </w:tcPr>
          <w:p w14:paraId="1900472D" w14:textId="77777777" w:rsidR="0073703E" w:rsidRPr="005A2545" w:rsidRDefault="0073703E" w:rsidP="00287451">
            <w:pPr>
              <w:jc w:val="center"/>
              <w:rPr>
                <w:sz w:val="20"/>
                <w:szCs w:val="20"/>
              </w:rPr>
            </w:pPr>
            <w:r w:rsidRPr="005A2545">
              <w:rPr>
                <w:sz w:val="20"/>
                <w:szCs w:val="20"/>
              </w:rPr>
              <w:t>26.2%</w:t>
            </w:r>
          </w:p>
        </w:tc>
        <w:tc>
          <w:tcPr>
            <w:tcW w:w="1224" w:type="dxa"/>
            <w:vAlign w:val="center"/>
          </w:tcPr>
          <w:p w14:paraId="3AB75B65" w14:textId="77777777" w:rsidR="0073703E" w:rsidRPr="005A2545" w:rsidRDefault="0073703E" w:rsidP="00287451">
            <w:pPr>
              <w:jc w:val="center"/>
              <w:rPr>
                <w:sz w:val="20"/>
                <w:szCs w:val="20"/>
              </w:rPr>
            </w:pPr>
            <w:r w:rsidRPr="005A2545">
              <w:rPr>
                <w:sz w:val="20"/>
                <w:szCs w:val="20"/>
              </w:rPr>
              <w:t>26.7%</w:t>
            </w:r>
          </w:p>
        </w:tc>
        <w:tc>
          <w:tcPr>
            <w:tcW w:w="1224" w:type="dxa"/>
            <w:vAlign w:val="center"/>
          </w:tcPr>
          <w:p w14:paraId="273A0790" w14:textId="77777777" w:rsidR="0073703E" w:rsidRPr="005A2545" w:rsidRDefault="0073703E" w:rsidP="00287451">
            <w:pPr>
              <w:jc w:val="center"/>
              <w:rPr>
                <w:sz w:val="20"/>
                <w:szCs w:val="20"/>
              </w:rPr>
            </w:pPr>
            <w:r w:rsidRPr="005A2545">
              <w:rPr>
                <w:sz w:val="20"/>
                <w:szCs w:val="20"/>
              </w:rPr>
              <w:t>7.0%</w:t>
            </w:r>
          </w:p>
        </w:tc>
        <w:tc>
          <w:tcPr>
            <w:tcW w:w="1260" w:type="dxa"/>
            <w:vAlign w:val="center"/>
          </w:tcPr>
          <w:p w14:paraId="7840D8EE" w14:textId="77777777" w:rsidR="0073703E" w:rsidRPr="005A2545" w:rsidRDefault="0073703E" w:rsidP="00287451">
            <w:pPr>
              <w:jc w:val="center"/>
              <w:rPr>
                <w:sz w:val="20"/>
                <w:szCs w:val="20"/>
              </w:rPr>
            </w:pPr>
            <w:r w:rsidRPr="005A2545">
              <w:rPr>
                <w:sz w:val="20"/>
                <w:szCs w:val="20"/>
              </w:rPr>
              <w:t>4.7%</w:t>
            </w:r>
          </w:p>
        </w:tc>
        <w:tc>
          <w:tcPr>
            <w:tcW w:w="1260" w:type="dxa"/>
            <w:vAlign w:val="center"/>
          </w:tcPr>
          <w:p w14:paraId="6ACF1673" w14:textId="77777777" w:rsidR="0073703E" w:rsidRPr="005A2545" w:rsidRDefault="0073703E" w:rsidP="00287451">
            <w:pPr>
              <w:jc w:val="center"/>
              <w:rPr>
                <w:sz w:val="20"/>
                <w:szCs w:val="20"/>
              </w:rPr>
            </w:pPr>
            <w:r w:rsidRPr="005A2545">
              <w:rPr>
                <w:sz w:val="20"/>
                <w:szCs w:val="20"/>
              </w:rPr>
              <w:t>23.3%</w:t>
            </w:r>
          </w:p>
        </w:tc>
      </w:tr>
      <w:tr w:rsidR="0073703E" w:rsidRPr="005A2545" w14:paraId="20E93850" w14:textId="77777777" w:rsidTr="00287451">
        <w:tc>
          <w:tcPr>
            <w:tcW w:w="1944" w:type="dxa"/>
            <w:vAlign w:val="center"/>
          </w:tcPr>
          <w:p w14:paraId="170EDA40" w14:textId="77777777" w:rsidR="0073703E" w:rsidRPr="005A2545" w:rsidRDefault="0073703E" w:rsidP="00287451">
            <w:pPr>
              <w:rPr>
                <w:sz w:val="20"/>
                <w:szCs w:val="20"/>
              </w:rPr>
            </w:pPr>
            <w:r w:rsidRPr="005A2545">
              <w:rPr>
                <w:b/>
                <w:sz w:val="20"/>
                <w:szCs w:val="20"/>
              </w:rPr>
              <w:t>CPC - Pr(AI)</w:t>
            </w:r>
          </w:p>
        </w:tc>
        <w:tc>
          <w:tcPr>
            <w:tcW w:w="1224" w:type="dxa"/>
            <w:vAlign w:val="center"/>
          </w:tcPr>
          <w:p w14:paraId="2FD787BE" w14:textId="77777777" w:rsidR="0073703E" w:rsidRPr="005A2545" w:rsidRDefault="0073703E" w:rsidP="00287451">
            <w:pPr>
              <w:jc w:val="center"/>
              <w:rPr>
                <w:sz w:val="20"/>
                <w:szCs w:val="20"/>
              </w:rPr>
            </w:pPr>
            <w:r w:rsidRPr="005A2545">
              <w:rPr>
                <w:sz w:val="20"/>
                <w:szCs w:val="20"/>
              </w:rPr>
              <w:t>34.0%</w:t>
            </w:r>
          </w:p>
        </w:tc>
        <w:tc>
          <w:tcPr>
            <w:tcW w:w="1224" w:type="dxa"/>
            <w:vAlign w:val="center"/>
          </w:tcPr>
          <w:p w14:paraId="7A7F4A3A" w14:textId="77777777" w:rsidR="0073703E" w:rsidRPr="005A2545" w:rsidRDefault="0073703E" w:rsidP="00287451">
            <w:pPr>
              <w:jc w:val="center"/>
              <w:rPr>
                <w:sz w:val="20"/>
                <w:szCs w:val="20"/>
              </w:rPr>
            </w:pPr>
            <w:r w:rsidRPr="005A2545">
              <w:rPr>
                <w:sz w:val="20"/>
                <w:szCs w:val="20"/>
              </w:rPr>
              <w:t>22.5%</w:t>
            </w:r>
          </w:p>
        </w:tc>
        <w:tc>
          <w:tcPr>
            <w:tcW w:w="1224" w:type="dxa"/>
            <w:vAlign w:val="center"/>
          </w:tcPr>
          <w:p w14:paraId="004F9AD8" w14:textId="77777777" w:rsidR="0073703E" w:rsidRPr="005A2545" w:rsidRDefault="0073703E" w:rsidP="00287451">
            <w:pPr>
              <w:jc w:val="center"/>
              <w:rPr>
                <w:sz w:val="20"/>
                <w:szCs w:val="20"/>
              </w:rPr>
            </w:pPr>
            <w:r w:rsidRPr="005A2545">
              <w:rPr>
                <w:sz w:val="20"/>
                <w:szCs w:val="20"/>
              </w:rPr>
              <w:t>19.1%</w:t>
            </w:r>
          </w:p>
        </w:tc>
        <w:tc>
          <w:tcPr>
            <w:tcW w:w="1224" w:type="dxa"/>
            <w:vAlign w:val="center"/>
          </w:tcPr>
          <w:p w14:paraId="08F4090B" w14:textId="77777777" w:rsidR="0073703E" w:rsidRPr="005A2545" w:rsidRDefault="0073703E" w:rsidP="00287451">
            <w:pPr>
              <w:jc w:val="center"/>
              <w:rPr>
                <w:sz w:val="20"/>
                <w:szCs w:val="20"/>
              </w:rPr>
            </w:pPr>
            <w:r w:rsidRPr="005A2545">
              <w:rPr>
                <w:sz w:val="20"/>
                <w:szCs w:val="20"/>
              </w:rPr>
              <w:t>8.4%</w:t>
            </w:r>
          </w:p>
        </w:tc>
        <w:tc>
          <w:tcPr>
            <w:tcW w:w="1260" w:type="dxa"/>
            <w:vAlign w:val="center"/>
          </w:tcPr>
          <w:p w14:paraId="150BA3CC" w14:textId="77777777" w:rsidR="0073703E" w:rsidRPr="005A2545" w:rsidRDefault="0073703E" w:rsidP="00287451">
            <w:pPr>
              <w:jc w:val="center"/>
              <w:rPr>
                <w:sz w:val="20"/>
                <w:szCs w:val="20"/>
              </w:rPr>
            </w:pPr>
            <w:r w:rsidRPr="005A2545">
              <w:rPr>
                <w:sz w:val="20"/>
                <w:szCs w:val="20"/>
              </w:rPr>
              <w:t>6.6%</w:t>
            </w:r>
          </w:p>
        </w:tc>
        <w:tc>
          <w:tcPr>
            <w:tcW w:w="1260" w:type="dxa"/>
            <w:vAlign w:val="center"/>
          </w:tcPr>
          <w:p w14:paraId="7A977ED2" w14:textId="77777777" w:rsidR="0073703E" w:rsidRPr="005A2545" w:rsidRDefault="0073703E" w:rsidP="00287451">
            <w:pPr>
              <w:jc w:val="center"/>
              <w:rPr>
                <w:sz w:val="20"/>
                <w:szCs w:val="20"/>
              </w:rPr>
            </w:pPr>
            <w:r w:rsidRPr="005A2545">
              <w:rPr>
                <w:sz w:val="20"/>
                <w:szCs w:val="20"/>
              </w:rPr>
              <w:t>23.6%</w:t>
            </w:r>
          </w:p>
        </w:tc>
      </w:tr>
      <w:tr w:rsidR="0073703E" w:rsidRPr="005A2545" w14:paraId="306C5441" w14:textId="77777777" w:rsidTr="00287451">
        <w:tc>
          <w:tcPr>
            <w:tcW w:w="1944" w:type="dxa"/>
            <w:vAlign w:val="center"/>
          </w:tcPr>
          <w:p w14:paraId="2E221414" w14:textId="77777777" w:rsidR="0073703E" w:rsidRPr="005A2545" w:rsidRDefault="0073703E" w:rsidP="00287451">
            <w:pPr>
              <w:rPr>
                <w:sz w:val="20"/>
                <w:szCs w:val="20"/>
              </w:rPr>
            </w:pPr>
            <w:r w:rsidRPr="005A2545">
              <w:rPr>
                <w:b/>
                <w:sz w:val="20"/>
                <w:szCs w:val="20"/>
              </w:rPr>
              <w:t>CPC - N</w:t>
            </w:r>
          </w:p>
        </w:tc>
        <w:tc>
          <w:tcPr>
            <w:tcW w:w="1224" w:type="dxa"/>
            <w:vAlign w:val="center"/>
          </w:tcPr>
          <w:p w14:paraId="6C6913E3" w14:textId="77777777" w:rsidR="0073703E" w:rsidRPr="005A2545" w:rsidRDefault="0073703E" w:rsidP="00287451">
            <w:pPr>
              <w:jc w:val="center"/>
              <w:rPr>
                <w:sz w:val="20"/>
                <w:szCs w:val="20"/>
              </w:rPr>
            </w:pPr>
            <w:r w:rsidRPr="005A2545">
              <w:rPr>
                <w:sz w:val="20"/>
                <w:szCs w:val="20"/>
              </w:rPr>
              <w:t>1,878</w:t>
            </w:r>
          </w:p>
        </w:tc>
        <w:tc>
          <w:tcPr>
            <w:tcW w:w="1224" w:type="dxa"/>
            <w:vAlign w:val="center"/>
          </w:tcPr>
          <w:p w14:paraId="162CD664" w14:textId="77777777" w:rsidR="0073703E" w:rsidRPr="005A2545" w:rsidRDefault="0073703E" w:rsidP="00287451">
            <w:pPr>
              <w:jc w:val="center"/>
              <w:rPr>
                <w:sz w:val="20"/>
                <w:szCs w:val="20"/>
              </w:rPr>
            </w:pPr>
            <w:r w:rsidRPr="005A2545">
              <w:rPr>
                <w:sz w:val="20"/>
                <w:szCs w:val="20"/>
              </w:rPr>
              <w:t>1,878</w:t>
            </w:r>
          </w:p>
        </w:tc>
        <w:tc>
          <w:tcPr>
            <w:tcW w:w="1224" w:type="dxa"/>
            <w:vAlign w:val="center"/>
          </w:tcPr>
          <w:p w14:paraId="51297598" w14:textId="77777777" w:rsidR="0073703E" w:rsidRPr="005A2545" w:rsidRDefault="0073703E" w:rsidP="00287451">
            <w:pPr>
              <w:jc w:val="center"/>
              <w:rPr>
                <w:sz w:val="20"/>
                <w:szCs w:val="20"/>
              </w:rPr>
            </w:pPr>
            <w:r w:rsidRPr="005A2545">
              <w:rPr>
                <w:sz w:val="20"/>
                <w:szCs w:val="20"/>
              </w:rPr>
              <w:t>1,878</w:t>
            </w:r>
          </w:p>
        </w:tc>
        <w:tc>
          <w:tcPr>
            <w:tcW w:w="1224" w:type="dxa"/>
            <w:vAlign w:val="center"/>
          </w:tcPr>
          <w:p w14:paraId="3E913C0F" w14:textId="77777777" w:rsidR="0073703E" w:rsidRPr="005A2545" w:rsidRDefault="0073703E" w:rsidP="00287451">
            <w:pPr>
              <w:jc w:val="center"/>
              <w:rPr>
                <w:sz w:val="20"/>
                <w:szCs w:val="20"/>
              </w:rPr>
            </w:pPr>
            <w:r w:rsidRPr="005A2545">
              <w:rPr>
                <w:sz w:val="20"/>
                <w:szCs w:val="20"/>
              </w:rPr>
              <w:t>1,878</w:t>
            </w:r>
          </w:p>
        </w:tc>
        <w:tc>
          <w:tcPr>
            <w:tcW w:w="1260" w:type="dxa"/>
            <w:vAlign w:val="center"/>
          </w:tcPr>
          <w:p w14:paraId="64B9DE3E" w14:textId="77777777" w:rsidR="0073703E" w:rsidRPr="005A2545" w:rsidRDefault="0073703E" w:rsidP="00287451">
            <w:pPr>
              <w:jc w:val="center"/>
              <w:rPr>
                <w:sz w:val="20"/>
                <w:szCs w:val="20"/>
              </w:rPr>
            </w:pPr>
            <w:r w:rsidRPr="005A2545">
              <w:rPr>
                <w:sz w:val="20"/>
                <w:szCs w:val="20"/>
              </w:rPr>
              <w:t>1,878</w:t>
            </w:r>
          </w:p>
        </w:tc>
        <w:tc>
          <w:tcPr>
            <w:tcW w:w="1260" w:type="dxa"/>
            <w:vAlign w:val="center"/>
          </w:tcPr>
          <w:p w14:paraId="498FE5B6" w14:textId="77777777" w:rsidR="0073703E" w:rsidRPr="005A2545" w:rsidRDefault="0073703E" w:rsidP="00287451">
            <w:pPr>
              <w:jc w:val="center"/>
              <w:rPr>
                <w:sz w:val="20"/>
                <w:szCs w:val="20"/>
              </w:rPr>
            </w:pPr>
            <w:r w:rsidRPr="005A2545">
              <w:rPr>
                <w:sz w:val="20"/>
                <w:szCs w:val="20"/>
              </w:rPr>
              <w:t>1,878</w:t>
            </w:r>
          </w:p>
        </w:tc>
      </w:tr>
      <w:tr w:rsidR="0073703E" w:rsidRPr="005A2545" w14:paraId="469CE59C" w14:textId="77777777" w:rsidTr="00287451">
        <w:tc>
          <w:tcPr>
            <w:tcW w:w="1944" w:type="dxa"/>
            <w:vAlign w:val="center"/>
          </w:tcPr>
          <w:p w14:paraId="46E912FC" w14:textId="77777777" w:rsidR="0073703E" w:rsidRPr="005A2545" w:rsidRDefault="0073703E" w:rsidP="00287451">
            <w:pPr>
              <w:rPr>
                <w:sz w:val="20"/>
                <w:szCs w:val="20"/>
              </w:rPr>
            </w:pPr>
            <w:r w:rsidRPr="005A2545">
              <w:rPr>
                <w:b/>
                <w:sz w:val="20"/>
                <w:szCs w:val="20"/>
              </w:rPr>
              <w:t>CPC - R2</w:t>
            </w:r>
          </w:p>
        </w:tc>
        <w:tc>
          <w:tcPr>
            <w:tcW w:w="1224" w:type="dxa"/>
            <w:vAlign w:val="center"/>
          </w:tcPr>
          <w:p w14:paraId="768A316C" w14:textId="77777777" w:rsidR="0073703E" w:rsidRPr="005A2545" w:rsidRDefault="0073703E" w:rsidP="00287451">
            <w:pPr>
              <w:jc w:val="center"/>
              <w:rPr>
                <w:sz w:val="20"/>
                <w:szCs w:val="20"/>
              </w:rPr>
            </w:pPr>
            <w:r w:rsidRPr="005A2545">
              <w:rPr>
                <w:sz w:val="20"/>
                <w:szCs w:val="20"/>
              </w:rPr>
              <w:t>0.684</w:t>
            </w:r>
          </w:p>
        </w:tc>
        <w:tc>
          <w:tcPr>
            <w:tcW w:w="1224" w:type="dxa"/>
            <w:vAlign w:val="center"/>
          </w:tcPr>
          <w:p w14:paraId="2E97014F" w14:textId="77777777" w:rsidR="0073703E" w:rsidRPr="005A2545" w:rsidRDefault="0073703E" w:rsidP="00287451">
            <w:pPr>
              <w:jc w:val="center"/>
              <w:rPr>
                <w:sz w:val="20"/>
                <w:szCs w:val="20"/>
              </w:rPr>
            </w:pPr>
            <w:r w:rsidRPr="005A2545">
              <w:rPr>
                <w:sz w:val="20"/>
                <w:szCs w:val="20"/>
              </w:rPr>
              <w:t>0.275</w:t>
            </w:r>
          </w:p>
        </w:tc>
        <w:tc>
          <w:tcPr>
            <w:tcW w:w="1224" w:type="dxa"/>
            <w:vAlign w:val="center"/>
          </w:tcPr>
          <w:p w14:paraId="7219FDF3" w14:textId="77777777" w:rsidR="0073703E" w:rsidRPr="005A2545" w:rsidRDefault="0073703E" w:rsidP="00287451">
            <w:pPr>
              <w:jc w:val="center"/>
              <w:rPr>
                <w:sz w:val="20"/>
                <w:szCs w:val="20"/>
              </w:rPr>
            </w:pPr>
            <w:r w:rsidRPr="005A2545">
              <w:rPr>
                <w:sz w:val="20"/>
                <w:szCs w:val="20"/>
              </w:rPr>
              <w:t>0.351</w:t>
            </w:r>
          </w:p>
        </w:tc>
        <w:tc>
          <w:tcPr>
            <w:tcW w:w="1224" w:type="dxa"/>
            <w:vAlign w:val="center"/>
          </w:tcPr>
          <w:p w14:paraId="6A3053B4" w14:textId="77777777" w:rsidR="0073703E" w:rsidRPr="005A2545" w:rsidRDefault="0073703E" w:rsidP="00287451">
            <w:pPr>
              <w:jc w:val="center"/>
              <w:rPr>
                <w:sz w:val="20"/>
                <w:szCs w:val="20"/>
              </w:rPr>
            </w:pPr>
            <w:r w:rsidRPr="005A2545">
              <w:rPr>
                <w:sz w:val="20"/>
                <w:szCs w:val="20"/>
              </w:rPr>
              <w:t>0.170</w:t>
            </w:r>
          </w:p>
        </w:tc>
        <w:tc>
          <w:tcPr>
            <w:tcW w:w="1260" w:type="dxa"/>
            <w:vAlign w:val="center"/>
          </w:tcPr>
          <w:p w14:paraId="5B0806F7" w14:textId="77777777" w:rsidR="0073703E" w:rsidRPr="005A2545" w:rsidRDefault="0073703E" w:rsidP="00287451">
            <w:pPr>
              <w:jc w:val="center"/>
              <w:rPr>
                <w:sz w:val="20"/>
                <w:szCs w:val="20"/>
              </w:rPr>
            </w:pPr>
            <w:r w:rsidRPr="005A2545">
              <w:rPr>
                <w:sz w:val="20"/>
                <w:szCs w:val="20"/>
              </w:rPr>
              <w:t>0.175</w:t>
            </w:r>
          </w:p>
        </w:tc>
        <w:tc>
          <w:tcPr>
            <w:tcW w:w="1260" w:type="dxa"/>
            <w:vAlign w:val="center"/>
          </w:tcPr>
          <w:p w14:paraId="5E00251E" w14:textId="77777777" w:rsidR="0073703E" w:rsidRPr="005A2545" w:rsidRDefault="0073703E" w:rsidP="00287451">
            <w:pPr>
              <w:jc w:val="center"/>
              <w:rPr>
                <w:sz w:val="20"/>
                <w:szCs w:val="20"/>
              </w:rPr>
            </w:pPr>
            <w:r w:rsidRPr="005A2545">
              <w:rPr>
                <w:sz w:val="20"/>
                <w:szCs w:val="20"/>
              </w:rPr>
              <w:t>0.388</w:t>
            </w:r>
          </w:p>
        </w:tc>
      </w:tr>
      <w:tr w:rsidR="0073703E" w:rsidRPr="005A2545" w14:paraId="0D900915" w14:textId="77777777" w:rsidTr="00287451">
        <w:tc>
          <w:tcPr>
            <w:tcW w:w="1944" w:type="dxa"/>
            <w:vAlign w:val="center"/>
          </w:tcPr>
          <w:p w14:paraId="0C21793A" w14:textId="77777777" w:rsidR="0073703E" w:rsidRPr="005A2545" w:rsidRDefault="0073703E" w:rsidP="00287451">
            <w:pPr>
              <w:rPr>
                <w:sz w:val="20"/>
                <w:szCs w:val="20"/>
              </w:rPr>
            </w:pPr>
            <w:r w:rsidRPr="005A2545">
              <w:rPr>
                <w:b/>
                <w:sz w:val="20"/>
                <w:szCs w:val="20"/>
              </w:rPr>
              <w:t>WIPO - AI coefficient</w:t>
            </w:r>
          </w:p>
        </w:tc>
        <w:tc>
          <w:tcPr>
            <w:tcW w:w="1224" w:type="dxa"/>
            <w:vAlign w:val="center"/>
          </w:tcPr>
          <w:p w14:paraId="7B345A97" w14:textId="77777777" w:rsidR="0073703E" w:rsidRPr="005A2545" w:rsidRDefault="0073703E" w:rsidP="00287451">
            <w:pPr>
              <w:jc w:val="center"/>
              <w:rPr>
                <w:sz w:val="20"/>
                <w:szCs w:val="20"/>
              </w:rPr>
            </w:pPr>
            <w:r w:rsidRPr="005A2545">
              <w:rPr>
                <w:sz w:val="20"/>
                <w:szCs w:val="20"/>
              </w:rPr>
              <w:t>+14.38***</w:t>
            </w:r>
            <w:r w:rsidRPr="005A2545">
              <w:rPr>
                <w:sz w:val="20"/>
                <w:szCs w:val="20"/>
              </w:rPr>
              <w:br/>
              <w:t>(3.12)</w:t>
            </w:r>
          </w:p>
        </w:tc>
        <w:tc>
          <w:tcPr>
            <w:tcW w:w="1224" w:type="dxa"/>
            <w:vAlign w:val="center"/>
          </w:tcPr>
          <w:p w14:paraId="22845FB9" w14:textId="77777777" w:rsidR="0073703E" w:rsidRPr="005A2545" w:rsidRDefault="0073703E" w:rsidP="00287451">
            <w:pPr>
              <w:jc w:val="center"/>
              <w:rPr>
                <w:sz w:val="20"/>
                <w:szCs w:val="20"/>
              </w:rPr>
            </w:pPr>
            <w:r w:rsidRPr="005A2545">
              <w:rPr>
                <w:sz w:val="20"/>
                <w:szCs w:val="20"/>
              </w:rPr>
              <w:t>-3.77</w:t>
            </w:r>
            <w:r w:rsidRPr="005A2545">
              <w:rPr>
                <w:sz w:val="20"/>
                <w:szCs w:val="20"/>
              </w:rPr>
              <w:br/>
              <w:t>(3.38)</w:t>
            </w:r>
          </w:p>
        </w:tc>
        <w:tc>
          <w:tcPr>
            <w:tcW w:w="1224" w:type="dxa"/>
            <w:vAlign w:val="center"/>
          </w:tcPr>
          <w:p w14:paraId="4B590244" w14:textId="77777777" w:rsidR="0073703E" w:rsidRPr="005A2545" w:rsidRDefault="0073703E" w:rsidP="00287451">
            <w:pPr>
              <w:jc w:val="center"/>
              <w:rPr>
                <w:sz w:val="20"/>
                <w:szCs w:val="20"/>
              </w:rPr>
            </w:pPr>
            <w:r w:rsidRPr="005A2545">
              <w:rPr>
                <w:sz w:val="20"/>
                <w:szCs w:val="20"/>
              </w:rPr>
              <w:t>-9.33***</w:t>
            </w:r>
            <w:r w:rsidRPr="005A2545">
              <w:rPr>
                <w:sz w:val="20"/>
                <w:szCs w:val="20"/>
              </w:rPr>
              <w:br/>
              <w:t>(3.00)</w:t>
            </w:r>
          </w:p>
        </w:tc>
        <w:tc>
          <w:tcPr>
            <w:tcW w:w="1224" w:type="dxa"/>
            <w:vAlign w:val="center"/>
          </w:tcPr>
          <w:p w14:paraId="30B8BE2D" w14:textId="77777777" w:rsidR="0073703E" w:rsidRPr="005A2545" w:rsidRDefault="0073703E" w:rsidP="00287451">
            <w:pPr>
              <w:jc w:val="center"/>
              <w:rPr>
                <w:sz w:val="20"/>
                <w:szCs w:val="20"/>
              </w:rPr>
            </w:pPr>
            <w:r w:rsidRPr="005A2545">
              <w:rPr>
                <w:sz w:val="20"/>
                <w:szCs w:val="20"/>
              </w:rPr>
              <w:t>-1.73</w:t>
            </w:r>
            <w:r w:rsidRPr="005A2545">
              <w:rPr>
                <w:sz w:val="20"/>
                <w:szCs w:val="20"/>
              </w:rPr>
              <w:br/>
              <w:t>(2.02)</w:t>
            </w:r>
          </w:p>
        </w:tc>
        <w:tc>
          <w:tcPr>
            <w:tcW w:w="1260" w:type="dxa"/>
            <w:vAlign w:val="center"/>
          </w:tcPr>
          <w:p w14:paraId="3A648529" w14:textId="77777777" w:rsidR="0073703E" w:rsidRPr="005A2545" w:rsidRDefault="0073703E" w:rsidP="00287451">
            <w:pPr>
              <w:jc w:val="center"/>
              <w:rPr>
                <w:sz w:val="20"/>
                <w:szCs w:val="20"/>
              </w:rPr>
            </w:pPr>
            <w:r w:rsidRPr="005A2545">
              <w:rPr>
                <w:sz w:val="20"/>
                <w:szCs w:val="20"/>
              </w:rPr>
              <w:t>-1.11</w:t>
            </w:r>
            <w:r w:rsidRPr="005A2545">
              <w:rPr>
                <w:sz w:val="20"/>
                <w:szCs w:val="20"/>
              </w:rPr>
              <w:br/>
              <w:t>(1.71)</w:t>
            </w:r>
          </w:p>
        </w:tc>
        <w:tc>
          <w:tcPr>
            <w:tcW w:w="1260" w:type="dxa"/>
            <w:vAlign w:val="center"/>
          </w:tcPr>
          <w:p w14:paraId="3D55544E" w14:textId="77777777" w:rsidR="0073703E" w:rsidRPr="005A2545" w:rsidRDefault="0073703E" w:rsidP="00287451">
            <w:pPr>
              <w:jc w:val="center"/>
              <w:rPr>
                <w:sz w:val="20"/>
                <w:szCs w:val="20"/>
              </w:rPr>
            </w:pPr>
            <w:r w:rsidRPr="005A2545">
              <w:rPr>
                <w:sz w:val="20"/>
                <w:szCs w:val="20"/>
              </w:rPr>
              <w:t>-0.41</w:t>
            </w:r>
            <w:r w:rsidRPr="005A2545">
              <w:rPr>
                <w:sz w:val="20"/>
                <w:szCs w:val="20"/>
              </w:rPr>
              <w:br/>
              <w:t>(3.45)</w:t>
            </w:r>
          </w:p>
        </w:tc>
      </w:tr>
      <w:tr w:rsidR="0073703E" w:rsidRPr="005A2545" w14:paraId="6F45DFEF" w14:textId="77777777" w:rsidTr="00287451">
        <w:tc>
          <w:tcPr>
            <w:tcW w:w="1944" w:type="dxa"/>
            <w:vAlign w:val="center"/>
          </w:tcPr>
          <w:p w14:paraId="69B92ED0" w14:textId="77777777" w:rsidR="0073703E" w:rsidRPr="005A2545" w:rsidRDefault="0073703E" w:rsidP="00287451">
            <w:pPr>
              <w:rPr>
                <w:sz w:val="20"/>
                <w:szCs w:val="20"/>
              </w:rPr>
            </w:pPr>
            <w:r w:rsidRPr="005A2545">
              <w:rPr>
                <w:b/>
                <w:sz w:val="20"/>
                <w:szCs w:val="20"/>
              </w:rPr>
              <w:t>WIPO - Alpha</w:t>
            </w:r>
          </w:p>
        </w:tc>
        <w:tc>
          <w:tcPr>
            <w:tcW w:w="1224" w:type="dxa"/>
            <w:vAlign w:val="center"/>
          </w:tcPr>
          <w:p w14:paraId="0045C6A5" w14:textId="77777777" w:rsidR="0073703E" w:rsidRPr="005A2545" w:rsidRDefault="0073703E" w:rsidP="00287451">
            <w:pPr>
              <w:jc w:val="center"/>
              <w:rPr>
                <w:sz w:val="20"/>
                <w:szCs w:val="20"/>
              </w:rPr>
            </w:pPr>
            <w:r w:rsidRPr="005A2545">
              <w:rPr>
                <w:sz w:val="20"/>
                <w:szCs w:val="20"/>
              </w:rPr>
              <w:t>0.01</w:t>
            </w:r>
          </w:p>
        </w:tc>
        <w:tc>
          <w:tcPr>
            <w:tcW w:w="1224" w:type="dxa"/>
            <w:vAlign w:val="center"/>
          </w:tcPr>
          <w:p w14:paraId="0FE25CB2" w14:textId="77777777" w:rsidR="0073703E" w:rsidRPr="005A2545" w:rsidRDefault="0073703E" w:rsidP="00287451">
            <w:pPr>
              <w:jc w:val="center"/>
              <w:rPr>
                <w:sz w:val="20"/>
                <w:szCs w:val="20"/>
              </w:rPr>
            </w:pPr>
            <w:r w:rsidRPr="005A2545">
              <w:rPr>
                <w:sz w:val="20"/>
                <w:szCs w:val="20"/>
              </w:rPr>
              <w:t>n.s.</w:t>
            </w:r>
          </w:p>
        </w:tc>
        <w:tc>
          <w:tcPr>
            <w:tcW w:w="1224" w:type="dxa"/>
            <w:vAlign w:val="center"/>
          </w:tcPr>
          <w:p w14:paraId="7A0AC758" w14:textId="77777777" w:rsidR="0073703E" w:rsidRPr="005A2545" w:rsidRDefault="0073703E" w:rsidP="00287451">
            <w:pPr>
              <w:jc w:val="center"/>
              <w:rPr>
                <w:sz w:val="20"/>
                <w:szCs w:val="20"/>
              </w:rPr>
            </w:pPr>
            <w:r w:rsidRPr="005A2545">
              <w:rPr>
                <w:sz w:val="20"/>
                <w:szCs w:val="20"/>
              </w:rPr>
              <w:t>0.01</w:t>
            </w:r>
          </w:p>
        </w:tc>
        <w:tc>
          <w:tcPr>
            <w:tcW w:w="1224" w:type="dxa"/>
            <w:vAlign w:val="center"/>
          </w:tcPr>
          <w:p w14:paraId="0A8E6966" w14:textId="77777777" w:rsidR="0073703E" w:rsidRPr="005A2545" w:rsidRDefault="0073703E" w:rsidP="00287451">
            <w:pPr>
              <w:jc w:val="center"/>
              <w:rPr>
                <w:sz w:val="20"/>
                <w:szCs w:val="20"/>
              </w:rPr>
            </w:pPr>
            <w:r w:rsidRPr="005A2545">
              <w:rPr>
                <w:sz w:val="20"/>
                <w:szCs w:val="20"/>
              </w:rPr>
              <w:t>n.s.</w:t>
            </w:r>
          </w:p>
        </w:tc>
        <w:tc>
          <w:tcPr>
            <w:tcW w:w="1260" w:type="dxa"/>
            <w:vAlign w:val="center"/>
          </w:tcPr>
          <w:p w14:paraId="146E1F49" w14:textId="77777777" w:rsidR="0073703E" w:rsidRPr="005A2545" w:rsidRDefault="0073703E" w:rsidP="00287451">
            <w:pPr>
              <w:jc w:val="center"/>
              <w:rPr>
                <w:sz w:val="20"/>
                <w:szCs w:val="20"/>
              </w:rPr>
            </w:pPr>
            <w:r w:rsidRPr="005A2545">
              <w:rPr>
                <w:sz w:val="20"/>
                <w:szCs w:val="20"/>
              </w:rPr>
              <w:t>n.s.</w:t>
            </w:r>
          </w:p>
        </w:tc>
        <w:tc>
          <w:tcPr>
            <w:tcW w:w="1260" w:type="dxa"/>
            <w:vAlign w:val="center"/>
          </w:tcPr>
          <w:p w14:paraId="5FB2F3F5" w14:textId="77777777" w:rsidR="0073703E" w:rsidRPr="005A2545" w:rsidRDefault="0073703E" w:rsidP="00287451">
            <w:pPr>
              <w:jc w:val="center"/>
              <w:rPr>
                <w:sz w:val="20"/>
                <w:szCs w:val="20"/>
              </w:rPr>
            </w:pPr>
            <w:r w:rsidRPr="005A2545">
              <w:rPr>
                <w:sz w:val="20"/>
                <w:szCs w:val="20"/>
              </w:rPr>
              <w:t>n.s.</w:t>
            </w:r>
          </w:p>
        </w:tc>
      </w:tr>
      <w:tr w:rsidR="0073703E" w:rsidRPr="005A2545" w14:paraId="53AB05B6" w14:textId="77777777" w:rsidTr="00287451">
        <w:tc>
          <w:tcPr>
            <w:tcW w:w="1944" w:type="dxa"/>
            <w:vAlign w:val="center"/>
          </w:tcPr>
          <w:p w14:paraId="66ACBD2C" w14:textId="77777777" w:rsidR="0073703E" w:rsidRPr="005A2545" w:rsidRDefault="0073703E" w:rsidP="00287451">
            <w:pPr>
              <w:rPr>
                <w:sz w:val="20"/>
                <w:szCs w:val="20"/>
              </w:rPr>
            </w:pPr>
            <w:r w:rsidRPr="005A2545">
              <w:rPr>
                <w:b/>
                <w:sz w:val="20"/>
                <w:szCs w:val="20"/>
              </w:rPr>
              <w:t>WIPO - Pr(non-AI)</w:t>
            </w:r>
          </w:p>
        </w:tc>
        <w:tc>
          <w:tcPr>
            <w:tcW w:w="1224" w:type="dxa"/>
            <w:vAlign w:val="center"/>
          </w:tcPr>
          <w:p w14:paraId="0BE229AA" w14:textId="77777777" w:rsidR="0073703E" w:rsidRPr="005A2545" w:rsidRDefault="0073703E" w:rsidP="00287451">
            <w:pPr>
              <w:jc w:val="center"/>
              <w:rPr>
                <w:sz w:val="20"/>
                <w:szCs w:val="20"/>
              </w:rPr>
            </w:pPr>
            <w:r w:rsidRPr="005A2545">
              <w:rPr>
                <w:sz w:val="20"/>
                <w:szCs w:val="20"/>
              </w:rPr>
              <w:t>15.4%</w:t>
            </w:r>
          </w:p>
        </w:tc>
        <w:tc>
          <w:tcPr>
            <w:tcW w:w="1224" w:type="dxa"/>
            <w:vAlign w:val="center"/>
          </w:tcPr>
          <w:p w14:paraId="7E6508B7" w14:textId="77777777" w:rsidR="0073703E" w:rsidRPr="005A2545" w:rsidRDefault="0073703E" w:rsidP="00287451">
            <w:pPr>
              <w:jc w:val="center"/>
              <w:rPr>
                <w:sz w:val="20"/>
                <w:szCs w:val="20"/>
              </w:rPr>
            </w:pPr>
            <w:r w:rsidRPr="005A2545">
              <w:rPr>
                <w:sz w:val="20"/>
                <w:szCs w:val="20"/>
              </w:rPr>
              <w:t>30.0%</w:t>
            </w:r>
          </w:p>
        </w:tc>
        <w:tc>
          <w:tcPr>
            <w:tcW w:w="1224" w:type="dxa"/>
            <w:vAlign w:val="center"/>
          </w:tcPr>
          <w:p w14:paraId="050C49E6" w14:textId="77777777" w:rsidR="0073703E" w:rsidRPr="005A2545" w:rsidRDefault="0073703E" w:rsidP="00287451">
            <w:pPr>
              <w:jc w:val="center"/>
              <w:rPr>
                <w:sz w:val="20"/>
                <w:szCs w:val="20"/>
              </w:rPr>
            </w:pPr>
            <w:r w:rsidRPr="005A2545">
              <w:rPr>
                <w:sz w:val="20"/>
                <w:szCs w:val="20"/>
              </w:rPr>
              <w:t>31.3%</w:t>
            </w:r>
          </w:p>
        </w:tc>
        <w:tc>
          <w:tcPr>
            <w:tcW w:w="1224" w:type="dxa"/>
            <w:vAlign w:val="center"/>
          </w:tcPr>
          <w:p w14:paraId="437BA1F2" w14:textId="77777777" w:rsidR="0073703E" w:rsidRPr="005A2545" w:rsidRDefault="0073703E" w:rsidP="00287451">
            <w:pPr>
              <w:jc w:val="center"/>
              <w:rPr>
                <w:sz w:val="20"/>
                <w:szCs w:val="20"/>
              </w:rPr>
            </w:pPr>
            <w:r w:rsidRPr="005A2545">
              <w:rPr>
                <w:sz w:val="20"/>
                <w:szCs w:val="20"/>
              </w:rPr>
              <w:t>8.3%</w:t>
            </w:r>
          </w:p>
        </w:tc>
        <w:tc>
          <w:tcPr>
            <w:tcW w:w="1260" w:type="dxa"/>
            <w:vAlign w:val="center"/>
          </w:tcPr>
          <w:p w14:paraId="79008CE3" w14:textId="77777777" w:rsidR="0073703E" w:rsidRPr="005A2545" w:rsidRDefault="0073703E" w:rsidP="00287451">
            <w:pPr>
              <w:jc w:val="center"/>
              <w:rPr>
                <w:sz w:val="20"/>
                <w:szCs w:val="20"/>
              </w:rPr>
            </w:pPr>
            <w:r w:rsidRPr="005A2545">
              <w:rPr>
                <w:sz w:val="20"/>
                <w:szCs w:val="20"/>
              </w:rPr>
              <w:t>5.9%</w:t>
            </w:r>
          </w:p>
        </w:tc>
        <w:tc>
          <w:tcPr>
            <w:tcW w:w="1260" w:type="dxa"/>
            <w:vAlign w:val="center"/>
          </w:tcPr>
          <w:p w14:paraId="2529E7B6" w14:textId="77777777" w:rsidR="0073703E" w:rsidRPr="005A2545" w:rsidRDefault="0073703E" w:rsidP="00287451">
            <w:pPr>
              <w:jc w:val="center"/>
              <w:rPr>
                <w:sz w:val="20"/>
                <w:szCs w:val="20"/>
              </w:rPr>
            </w:pPr>
            <w:r w:rsidRPr="005A2545">
              <w:rPr>
                <w:sz w:val="20"/>
                <w:szCs w:val="20"/>
              </w:rPr>
              <w:t>22.4%</w:t>
            </w:r>
          </w:p>
        </w:tc>
      </w:tr>
      <w:tr w:rsidR="0073703E" w:rsidRPr="005A2545" w14:paraId="2EA18AA9" w14:textId="77777777" w:rsidTr="00287451">
        <w:tc>
          <w:tcPr>
            <w:tcW w:w="1944" w:type="dxa"/>
            <w:vAlign w:val="center"/>
          </w:tcPr>
          <w:p w14:paraId="6306F3BA" w14:textId="77777777" w:rsidR="0073703E" w:rsidRPr="005A2545" w:rsidRDefault="0073703E" w:rsidP="00287451">
            <w:pPr>
              <w:rPr>
                <w:sz w:val="20"/>
                <w:szCs w:val="20"/>
              </w:rPr>
            </w:pPr>
            <w:r w:rsidRPr="005A2545">
              <w:rPr>
                <w:b/>
                <w:sz w:val="20"/>
                <w:szCs w:val="20"/>
              </w:rPr>
              <w:t>WIPO - Pr(AI)</w:t>
            </w:r>
          </w:p>
        </w:tc>
        <w:tc>
          <w:tcPr>
            <w:tcW w:w="1224" w:type="dxa"/>
            <w:vAlign w:val="center"/>
          </w:tcPr>
          <w:p w14:paraId="1CC113E5" w14:textId="77777777" w:rsidR="0073703E" w:rsidRPr="005A2545" w:rsidRDefault="0073703E" w:rsidP="00287451">
            <w:pPr>
              <w:jc w:val="center"/>
              <w:rPr>
                <w:sz w:val="20"/>
                <w:szCs w:val="20"/>
              </w:rPr>
            </w:pPr>
            <w:r w:rsidRPr="005A2545">
              <w:rPr>
                <w:sz w:val="20"/>
                <w:szCs w:val="20"/>
              </w:rPr>
              <w:t>29.7%</w:t>
            </w:r>
          </w:p>
        </w:tc>
        <w:tc>
          <w:tcPr>
            <w:tcW w:w="1224" w:type="dxa"/>
            <w:vAlign w:val="center"/>
          </w:tcPr>
          <w:p w14:paraId="3624EC31" w14:textId="77777777" w:rsidR="0073703E" w:rsidRPr="005A2545" w:rsidRDefault="0073703E" w:rsidP="00287451">
            <w:pPr>
              <w:jc w:val="center"/>
              <w:rPr>
                <w:sz w:val="20"/>
                <w:szCs w:val="20"/>
              </w:rPr>
            </w:pPr>
            <w:r w:rsidRPr="005A2545">
              <w:rPr>
                <w:sz w:val="20"/>
                <w:szCs w:val="20"/>
              </w:rPr>
              <w:t>26.2%</w:t>
            </w:r>
          </w:p>
        </w:tc>
        <w:tc>
          <w:tcPr>
            <w:tcW w:w="1224" w:type="dxa"/>
            <w:vAlign w:val="center"/>
          </w:tcPr>
          <w:p w14:paraId="4185EFE3" w14:textId="77777777" w:rsidR="0073703E" w:rsidRPr="005A2545" w:rsidRDefault="0073703E" w:rsidP="00287451">
            <w:pPr>
              <w:jc w:val="center"/>
              <w:rPr>
                <w:sz w:val="20"/>
                <w:szCs w:val="20"/>
              </w:rPr>
            </w:pPr>
            <w:r w:rsidRPr="005A2545">
              <w:rPr>
                <w:sz w:val="20"/>
                <w:szCs w:val="20"/>
              </w:rPr>
              <w:t>22.0%</w:t>
            </w:r>
          </w:p>
        </w:tc>
        <w:tc>
          <w:tcPr>
            <w:tcW w:w="1224" w:type="dxa"/>
            <w:vAlign w:val="center"/>
          </w:tcPr>
          <w:p w14:paraId="4A50BA5F" w14:textId="77777777" w:rsidR="0073703E" w:rsidRPr="005A2545" w:rsidRDefault="0073703E" w:rsidP="00287451">
            <w:pPr>
              <w:jc w:val="center"/>
              <w:rPr>
                <w:sz w:val="20"/>
                <w:szCs w:val="20"/>
              </w:rPr>
            </w:pPr>
            <w:r w:rsidRPr="005A2545">
              <w:rPr>
                <w:sz w:val="20"/>
                <w:szCs w:val="20"/>
              </w:rPr>
              <w:t>6.5%</w:t>
            </w:r>
          </w:p>
        </w:tc>
        <w:tc>
          <w:tcPr>
            <w:tcW w:w="1260" w:type="dxa"/>
            <w:vAlign w:val="center"/>
          </w:tcPr>
          <w:p w14:paraId="160A9F5D" w14:textId="77777777" w:rsidR="0073703E" w:rsidRPr="005A2545" w:rsidRDefault="0073703E" w:rsidP="00287451">
            <w:pPr>
              <w:jc w:val="center"/>
              <w:rPr>
                <w:sz w:val="20"/>
                <w:szCs w:val="20"/>
              </w:rPr>
            </w:pPr>
            <w:r w:rsidRPr="005A2545">
              <w:rPr>
                <w:sz w:val="20"/>
                <w:szCs w:val="20"/>
              </w:rPr>
              <w:t>4.8%</w:t>
            </w:r>
          </w:p>
        </w:tc>
        <w:tc>
          <w:tcPr>
            <w:tcW w:w="1260" w:type="dxa"/>
            <w:vAlign w:val="center"/>
          </w:tcPr>
          <w:p w14:paraId="309065E3" w14:textId="77777777" w:rsidR="0073703E" w:rsidRPr="005A2545" w:rsidRDefault="0073703E" w:rsidP="00287451">
            <w:pPr>
              <w:jc w:val="center"/>
              <w:rPr>
                <w:sz w:val="20"/>
                <w:szCs w:val="20"/>
              </w:rPr>
            </w:pPr>
            <w:r w:rsidRPr="005A2545">
              <w:rPr>
                <w:sz w:val="20"/>
                <w:szCs w:val="20"/>
              </w:rPr>
              <w:t>22.0%</w:t>
            </w:r>
          </w:p>
        </w:tc>
      </w:tr>
      <w:tr w:rsidR="0073703E" w:rsidRPr="005A2545" w14:paraId="61C0C71B" w14:textId="77777777" w:rsidTr="00287451">
        <w:tc>
          <w:tcPr>
            <w:tcW w:w="1944" w:type="dxa"/>
            <w:vAlign w:val="center"/>
          </w:tcPr>
          <w:p w14:paraId="06513D08" w14:textId="77777777" w:rsidR="0073703E" w:rsidRPr="005A2545" w:rsidRDefault="0073703E" w:rsidP="00287451">
            <w:pPr>
              <w:rPr>
                <w:sz w:val="20"/>
                <w:szCs w:val="20"/>
              </w:rPr>
            </w:pPr>
            <w:r w:rsidRPr="005A2545">
              <w:rPr>
                <w:b/>
                <w:sz w:val="20"/>
                <w:szCs w:val="20"/>
              </w:rPr>
              <w:t>WIPO - N</w:t>
            </w:r>
          </w:p>
        </w:tc>
        <w:tc>
          <w:tcPr>
            <w:tcW w:w="1224" w:type="dxa"/>
            <w:vAlign w:val="center"/>
          </w:tcPr>
          <w:p w14:paraId="759F01E4" w14:textId="77777777" w:rsidR="0073703E" w:rsidRPr="005A2545" w:rsidRDefault="0073703E" w:rsidP="00287451">
            <w:pPr>
              <w:jc w:val="center"/>
              <w:rPr>
                <w:sz w:val="20"/>
                <w:szCs w:val="20"/>
              </w:rPr>
            </w:pPr>
            <w:r w:rsidRPr="005A2545">
              <w:rPr>
                <w:sz w:val="20"/>
                <w:szCs w:val="20"/>
              </w:rPr>
              <w:t>1,315</w:t>
            </w:r>
          </w:p>
        </w:tc>
        <w:tc>
          <w:tcPr>
            <w:tcW w:w="1224" w:type="dxa"/>
            <w:vAlign w:val="center"/>
          </w:tcPr>
          <w:p w14:paraId="70188B8D" w14:textId="77777777" w:rsidR="0073703E" w:rsidRPr="005A2545" w:rsidRDefault="0073703E" w:rsidP="00287451">
            <w:pPr>
              <w:jc w:val="center"/>
              <w:rPr>
                <w:sz w:val="20"/>
                <w:szCs w:val="20"/>
              </w:rPr>
            </w:pPr>
            <w:r w:rsidRPr="005A2545">
              <w:rPr>
                <w:sz w:val="20"/>
                <w:szCs w:val="20"/>
              </w:rPr>
              <w:t>1,315</w:t>
            </w:r>
          </w:p>
        </w:tc>
        <w:tc>
          <w:tcPr>
            <w:tcW w:w="1224" w:type="dxa"/>
            <w:vAlign w:val="center"/>
          </w:tcPr>
          <w:p w14:paraId="78AE867F" w14:textId="77777777" w:rsidR="0073703E" w:rsidRPr="005A2545" w:rsidRDefault="0073703E" w:rsidP="00287451">
            <w:pPr>
              <w:jc w:val="center"/>
              <w:rPr>
                <w:sz w:val="20"/>
                <w:szCs w:val="20"/>
              </w:rPr>
            </w:pPr>
            <w:r w:rsidRPr="005A2545">
              <w:rPr>
                <w:sz w:val="20"/>
                <w:szCs w:val="20"/>
              </w:rPr>
              <w:t>1,315</w:t>
            </w:r>
          </w:p>
        </w:tc>
        <w:tc>
          <w:tcPr>
            <w:tcW w:w="1224" w:type="dxa"/>
            <w:vAlign w:val="center"/>
          </w:tcPr>
          <w:p w14:paraId="5A6AB417" w14:textId="77777777" w:rsidR="0073703E" w:rsidRPr="005A2545" w:rsidRDefault="0073703E" w:rsidP="00287451">
            <w:pPr>
              <w:jc w:val="center"/>
              <w:rPr>
                <w:sz w:val="20"/>
                <w:szCs w:val="20"/>
              </w:rPr>
            </w:pPr>
            <w:r w:rsidRPr="005A2545">
              <w:rPr>
                <w:sz w:val="20"/>
                <w:szCs w:val="20"/>
              </w:rPr>
              <w:t>1,315</w:t>
            </w:r>
          </w:p>
        </w:tc>
        <w:tc>
          <w:tcPr>
            <w:tcW w:w="1260" w:type="dxa"/>
            <w:vAlign w:val="center"/>
          </w:tcPr>
          <w:p w14:paraId="4A8BBD3B" w14:textId="77777777" w:rsidR="0073703E" w:rsidRPr="005A2545" w:rsidRDefault="0073703E" w:rsidP="00287451">
            <w:pPr>
              <w:jc w:val="center"/>
              <w:rPr>
                <w:sz w:val="20"/>
                <w:szCs w:val="20"/>
              </w:rPr>
            </w:pPr>
            <w:r w:rsidRPr="005A2545">
              <w:rPr>
                <w:sz w:val="20"/>
                <w:szCs w:val="20"/>
              </w:rPr>
              <w:t>1,315</w:t>
            </w:r>
          </w:p>
        </w:tc>
        <w:tc>
          <w:tcPr>
            <w:tcW w:w="1260" w:type="dxa"/>
            <w:vAlign w:val="center"/>
          </w:tcPr>
          <w:p w14:paraId="6DE76955" w14:textId="77777777" w:rsidR="0073703E" w:rsidRPr="005A2545" w:rsidRDefault="0073703E" w:rsidP="00287451">
            <w:pPr>
              <w:jc w:val="center"/>
              <w:rPr>
                <w:sz w:val="20"/>
                <w:szCs w:val="20"/>
              </w:rPr>
            </w:pPr>
            <w:r w:rsidRPr="005A2545">
              <w:rPr>
                <w:sz w:val="20"/>
                <w:szCs w:val="20"/>
              </w:rPr>
              <w:t>1,315</w:t>
            </w:r>
          </w:p>
        </w:tc>
      </w:tr>
      <w:tr w:rsidR="0073703E" w:rsidRPr="005A2545" w14:paraId="1028A09A" w14:textId="77777777" w:rsidTr="00287451">
        <w:tc>
          <w:tcPr>
            <w:tcW w:w="1944" w:type="dxa"/>
            <w:vAlign w:val="center"/>
          </w:tcPr>
          <w:p w14:paraId="3BA33FEF" w14:textId="77777777" w:rsidR="0073703E" w:rsidRPr="005A2545" w:rsidRDefault="0073703E" w:rsidP="00287451">
            <w:pPr>
              <w:rPr>
                <w:sz w:val="20"/>
                <w:szCs w:val="20"/>
              </w:rPr>
            </w:pPr>
            <w:r w:rsidRPr="005A2545">
              <w:rPr>
                <w:b/>
                <w:sz w:val="20"/>
                <w:szCs w:val="20"/>
              </w:rPr>
              <w:t>WIPO - R2</w:t>
            </w:r>
          </w:p>
        </w:tc>
        <w:tc>
          <w:tcPr>
            <w:tcW w:w="1224" w:type="dxa"/>
            <w:vAlign w:val="center"/>
          </w:tcPr>
          <w:p w14:paraId="00D88799" w14:textId="77777777" w:rsidR="0073703E" w:rsidRPr="005A2545" w:rsidRDefault="0073703E" w:rsidP="00287451">
            <w:pPr>
              <w:jc w:val="center"/>
              <w:rPr>
                <w:sz w:val="20"/>
                <w:szCs w:val="20"/>
              </w:rPr>
            </w:pPr>
            <w:r w:rsidRPr="005A2545">
              <w:rPr>
                <w:sz w:val="20"/>
                <w:szCs w:val="20"/>
              </w:rPr>
              <w:t>0.620</w:t>
            </w:r>
          </w:p>
        </w:tc>
        <w:tc>
          <w:tcPr>
            <w:tcW w:w="1224" w:type="dxa"/>
            <w:vAlign w:val="center"/>
          </w:tcPr>
          <w:p w14:paraId="0DD6AEE9" w14:textId="77777777" w:rsidR="0073703E" w:rsidRPr="005A2545" w:rsidRDefault="0073703E" w:rsidP="00287451">
            <w:pPr>
              <w:jc w:val="center"/>
              <w:rPr>
                <w:sz w:val="20"/>
                <w:szCs w:val="20"/>
              </w:rPr>
            </w:pPr>
            <w:r w:rsidRPr="005A2545">
              <w:rPr>
                <w:sz w:val="20"/>
                <w:szCs w:val="20"/>
              </w:rPr>
              <w:t>0.277</w:t>
            </w:r>
          </w:p>
        </w:tc>
        <w:tc>
          <w:tcPr>
            <w:tcW w:w="1224" w:type="dxa"/>
            <w:vAlign w:val="center"/>
          </w:tcPr>
          <w:p w14:paraId="0000C836" w14:textId="77777777" w:rsidR="0073703E" w:rsidRPr="005A2545" w:rsidRDefault="0073703E" w:rsidP="00287451">
            <w:pPr>
              <w:jc w:val="center"/>
              <w:rPr>
                <w:sz w:val="20"/>
                <w:szCs w:val="20"/>
              </w:rPr>
            </w:pPr>
            <w:r w:rsidRPr="005A2545">
              <w:rPr>
                <w:sz w:val="20"/>
                <w:szCs w:val="20"/>
              </w:rPr>
              <w:t>0.336</w:t>
            </w:r>
          </w:p>
        </w:tc>
        <w:tc>
          <w:tcPr>
            <w:tcW w:w="1224" w:type="dxa"/>
            <w:vAlign w:val="center"/>
          </w:tcPr>
          <w:p w14:paraId="390D7B00" w14:textId="77777777" w:rsidR="0073703E" w:rsidRPr="005A2545" w:rsidRDefault="0073703E" w:rsidP="00287451">
            <w:pPr>
              <w:jc w:val="center"/>
              <w:rPr>
                <w:sz w:val="20"/>
                <w:szCs w:val="20"/>
              </w:rPr>
            </w:pPr>
            <w:r w:rsidRPr="005A2545">
              <w:rPr>
                <w:sz w:val="20"/>
                <w:szCs w:val="20"/>
              </w:rPr>
              <w:t>0.165</w:t>
            </w:r>
          </w:p>
        </w:tc>
        <w:tc>
          <w:tcPr>
            <w:tcW w:w="1260" w:type="dxa"/>
            <w:vAlign w:val="center"/>
          </w:tcPr>
          <w:p w14:paraId="553473BF" w14:textId="77777777" w:rsidR="0073703E" w:rsidRPr="005A2545" w:rsidRDefault="0073703E" w:rsidP="00287451">
            <w:pPr>
              <w:jc w:val="center"/>
              <w:rPr>
                <w:sz w:val="20"/>
                <w:szCs w:val="20"/>
              </w:rPr>
            </w:pPr>
            <w:r w:rsidRPr="005A2545">
              <w:rPr>
                <w:sz w:val="20"/>
                <w:szCs w:val="20"/>
              </w:rPr>
              <w:t>0.178</w:t>
            </w:r>
          </w:p>
        </w:tc>
        <w:tc>
          <w:tcPr>
            <w:tcW w:w="1260" w:type="dxa"/>
            <w:vAlign w:val="center"/>
          </w:tcPr>
          <w:p w14:paraId="58495401" w14:textId="77777777" w:rsidR="0073703E" w:rsidRPr="005A2545" w:rsidRDefault="0073703E" w:rsidP="00287451">
            <w:pPr>
              <w:jc w:val="center"/>
              <w:rPr>
                <w:sz w:val="20"/>
                <w:szCs w:val="20"/>
              </w:rPr>
            </w:pPr>
            <w:r w:rsidRPr="005A2545">
              <w:rPr>
                <w:sz w:val="20"/>
                <w:szCs w:val="20"/>
              </w:rPr>
              <w:t>0.392</w:t>
            </w:r>
          </w:p>
        </w:tc>
      </w:tr>
    </w:tbl>
    <w:p w14:paraId="49B27C09" w14:textId="1ADD54F7" w:rsidR="0073703E" w:rsidRPr="0073703E" w:rsidRDefault="0073703E" w:rsidP="0073703E">
      <w:pPr>
        <w:pStyle w:val="Caption"/>
        <w:rPr>
          <w:rFonts w:ascii="Times New Roman" w:hAnsi="Times New Roman" w:cs="Times New Roman"/>
          <w:sz w:val="20"/>
          <w:szCs w:val="20"/>
        </w:rPr>
      </w:pPr>
      <w:r w:rsidRPr="005A2545">
        <w:rPr>
          <w:rFonts w:ascii="Times New Roman" w:hAnsi="Times New Roman" w:cs="Times New Roman"/>
          <w:color w:val="505050"/>
          <w:sz w:val="20"/>
          <w:szCs w:val="20"/>
        </w:rPr>
        <w:t>The statutory sections are the columns. Rows identify the CPC or WIPO taxonomy reference and the reported statistic. Coefficients are percentage points with patent-clustered standard errors in parentheses.</w:t>
      </w:r>
    </w:p>
    <w:p w14:paraId="28958EF7" w14:textId="726F26F8" w:rsidR="008B7DCE" w:rsidRDefault="008B7DCE" w:rsidP="00A40A61">
      <w:pPr>
        <w:spacing w:line="480" w:lineRule="auto"/>
        <w:ind w:firstLine="720"/>
        <w:rPr>
          <w:color w:val="000000"/>
        </w:rPr>
      </w:pPr>
      <w:r>
        <w:rPr>
          <w:color w:val="000000"/>
        </w:rPr>
        <w:t>Figure 13 displays the data in the non-software sample</w:t>
      </w:r>
    </w:p>
    <w:p w14:paraId="47CB6B14" w14:textId="77777777" w:rsidR="008B7DCE" w:rsidRDefault="008B7DCE" w:rsidP="00A40A61">
      <w:pPr>
        <w:spacing w:line="480" w:lineRule="auto"/>
        <w:ind w:firstLine="720"/>
        <w:rPr>
          <w:color w:val="000000"/>
        </w:rPr>
      </w:pPr>
    </w:p>
    <w:p w14:paraId="2CE6C829" w14:textId="77777777" w:rsidR="008B7DCE" w:rsidRDefault="008B7DCE" w:rsidP="00A40A61">
      <w:pPr>
        <w:spacing w:line="480" w:lineRule="auto"/>
        <w:ind w:firstLine="720"/>
        <w:rPr>
          <w:color w:val="000000"/>
        </w:rPr>
      </w:pPr>
    </w:p>
    <w:p w14:paraId="4CBC37EE" w14:textId="77777777" w:rsidR="008B7DCE" w:rsidRDefault="008B7DCE" w:rsidP="00A40A61">
      <w:pPr>
        <w:spacing w:line="480" w:lineRule="auto"/>
        <w:ind w:firstLine="720"/>
        <w:rPr>
          <w:color w:val="000000"/>
        </w:rPr>
      </w:pPr>
    </w:p>
    <w:p w14:paraId="23AECE0D" w14:textId="77777777" w:rsidR="008B7DCE" w:rsidRPr="00E333AB" w:rsidRDefault="008B7DCE" w:rsidP="008B7DCE">
      <w:pPr>
        <w:jc w:val="center"/>
        <w:rPr>
          <w:b/>
          <w:bCs/>
        </w:rPr>
      </w:pPr>
      <w:r w:rsidRPr="00E333AB">
        <w:rPr>
          <w:b/>
          <w:bCs/>
        </w:rPr>
        <w:lastRenderedPageBreak/>
        <w:t>Figure 11: Merits and Statutory Outcomes: Non-Software Sample</w:t>
      </w:r>
    </w:p>
    <w:p w14:paraId="042387BE" w14:textId="77777777" w:rsidR="008B7DCE" w:rsidRPr="0073703E" w:rsidRDefault="008B7DCE" w:rsidP="008B7DCE">
      <w:pPr>
        <w:ind w:firstLine="720"/>
      </w:pPr>
    </w:p>
    <w:p w14:paraId="047BFD3D" w14:textId="77777777" w:rsidR="008B7DCE" w:rsidRDefault="008B7DCE" w:rsidP="00A40A61">
      <w:pPr>
        <w:spacing w:line="480" w:lineRule="auto"/>
        <w:ind w:firstLine="720"/>
        <w:rPr>
          <w:color w:val="000000"/>
        </w:rPr>
      </w:pPr>
    </w:p>
    <w:p w14:paraId="31C922CF" w14:textId="0C491DB1" w:rsidR="008B7DCE" w:rsidRDefault="008B7DCE" w:rsidP="00A40A61">
      <w:pPr>
        <w:spacing w:line="480" w:lineRule="auto"/>
        <w:ind w:firstLine="720"/>
        <w:rPr>
          <w:color w:val="000000"/>
        </w:rPr>
      </w:pPr>
      <w:r w:rsidRPr="005A2545">
        <w:rPr>
          <w:noProof/>
          <w:sz w:val="20"/>
          <w:szCs w:val="20"/>
        </w:rPr>
        <w:drawing>
          <wp:inline distT="0" distB="0" distL="0" distR="0" wp14:anchorId="6C04D582" wp14:editId="7AEDC1D8">
            <wp:extent cx="5943600" cy="309308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nsoftware_all_ai50_ai93.png"/>
                    <pic:cNvPicPr/>
                  </pic:nvPicPr>
                  <pic:blipFill>
                    <a:blip r:embed="rId16"/>
                    <a:stretch>
                      <a:fillRect/>
                    </a:stretch>
                  </pic:blipFill>
                  <pic:spPr>
                    <a:xfrm>
                      <a:off x="0" y="0"/>
                      <a:ext cx="5943600" cy="3093085"/>
                    </a:xfrm>
                    <a:prstGeom prst="rect">
                      <a:avLst/>
                    </a:prstGeom>
                  </pic:spPr>
                </pic:pic>
              </a:graphicData>
            </a:graphic>
          </wp:inline>
        </w:drawing>
      </w:r>
    </w:p>
    <w:p w14:paraId="57406AB8" w14:textId="6E90157F" w:rsidR="007019B5" w:rsidRDefault="00893889" w:rsidP="00A40A61">
      <w:pPr>
        <w:spacing w:line="480" w:lineRule="auto"/>
        <w:ind w:firstLine="720"/>
        <w:rPr>
          <w:color w:val="000000"/>
        </w:rPr>
      </w:pPr>
      <w:r>
        <w:rPr>
          <w:color w:val="000000"/>
        </w:rPr>
        <w:t>When software patents are removed from the sample, the AI infringement gap gets larger and more statistically significant</w:t>
      </w:r>
      <w:r w:rsidR="00981003">
        <w:rPr>
          <w:color w:val="000000"/>
        </w:rPr>
        <w:t>.</w:t>
      </w:r>
      <w:r w:rsidR="00A40A61">
        <w:rPr>
          <w:color w:val="000000"/>
        </w:rPr>
        <w:t xml:space="preserve"> In contrast to the software-only sample where the AI indicator on infringement is not statistically significant, Table </w:t>
      </w:r>
      <w:r w:rsidR="008B7DCE">
        <w:rPr>
          <w:color w:val="000000"/>
        </w:rPr>
        <w:t>13</w:t>
      </w:r>
      <w:r w:rsidR="00A40A61">
        <w:rPr>
          <w:color w:val="000000"/>
        </w:rPr>
        <w:t xml:space="preserve"> makes plain that when the sample is expressly limited to non-software patents, AI inventions are in fact less likely to be proved infringed than non-AI patents.</w:t>
      </w:r>
      <w:r w:rsidR="00981003">
        <w:rPr>
          <w:color w:val="000000"/>
        </w:rPr>
        <w:t xml:space="preserve"> </w:t>
      </w:r>
      <w:r>
        <w:rPr>
          <w:color w:val="000000"/>
        </w:rPr>
        <w:t>T</w:t>
      </w:r>
      <w:r w:rsidR="00981003">
        <w:rPr>
          <w:color w:val="000000"/>
        </w:rPr>
        <w:t>he predicted infringement falls from 3</w:t>
      </w:r>
      <w:r w:rsidR="00A40A61">
        <w:rPr>
          <w:color w:val="000000"/>
        </w:rPr>
        <w:t>6.3</w:t>
      </w:r>
      <w:r w:rsidR="00981003">
        <w:rPr>
          <w:color w:val="000000"/>
        </w:rPr>
        <w:t xml:space="preserve">% for non-AI to </w:t>
      </w:r>
      <w:r w:rsidR="00A40A61">
        <w:rPr>
          <w:color w:val="000000"/>
        </w:rPr>
        <w:t>26.3</w:t>
      </w:r>
      <w:r w:rsidR="00981003">
        <w:rPr>
          <w:color w:val="000000"/>
        </w:rPr>
        <w:t>% for AI</w:t>
      </w:r>
      <w:r w:rsidR="00032302">
        <w:rPr>
          <w:color w:val="000000"/>
        </w:rPr>
        <w:t xml:space="preserve"> inventions at the 50% confidence tier</w:t>
      </w:r>
      <w:r w:rsidR="00A40A61">
        <w:rPr>
          <w:color w:val="000000"/>
        </w:rPr>
        <w:t xml:space="preserve"> on the CPC definition</w:t>
      </w:r>
      <w:r w:rsidR="00981003">
        <w:rPr>
          <w:color w:val="000000"/>
        </w:rPr>
        <w:t>.</w:t>
      </w:r>
      <w:r w:rsidR="00032302">
        <w:rPr>
          <w:color w:val="000000"/>
        </w:rPr>
        <w:t xml:space="preserve"> The difference is even steeper for higher-confidence AI inventions. At the 93% confidence tier, the adjusted probability falls from 3</w:t>
      </w:r>
      <w:r w:rsidR="00A40A61">
        <w:rPr>
          <w:color w:val="000000"/>
        </w:rPr>
        <w:t>6.1</w:t>
      </w:r>
      <w:r w:rsidR="00032302">
        <w:rPr>
          <w:color w:val="000000"/>
        </w:rPr>
        <w:t xml:space="preserve">% for non-AI inventions to just </w:t>
      </w:r>
      <w:r w:rsidR="00A40A61">
        <w:rPr>
          <w:color w:val="000000"/>
        </w:rPr>
        <w:t>22.2</w:t>
      </w:r>
      <w:r w:rsidR="00032302">
        <w:rPr>
          <w:color w:val="000000"/>
        </w:rPr>
        <w:t>% for AI inventions.</w:t>
      </w:r>
      <w:r w:rsidR="00981003">
        <w:rPr>
          <w:color w:val="000000"/>
        </w:rPr>
        <w:t xml:space="preserve"> </w:t>
      </w:r>
      <w:r w:rsidR="00A40A61">
        <w:rPr>
          <w:color w:val="000000"/>
        </w:rPr>
        <w:t xml:space="preserve">Results are similar but with a smaller gap using the WIPO definition of software. </w:t>
      </w:r>
      <w:r w:rsidR="00981003">
        <w:rPr>
          <w:color w:val="000000"/>
        </w:rPr>
        <w:t xml:space="preserve">As noted above, however, this just merely reflects that the </w:t>
      </w:r>
      <w:r w:rsidR="00CA76CF">
        <w:rPr>
          <w:color w:val="000000"/>
        </w:rPr>
        <w:t>infringement penalty for AI inventions is not a software/</w:t>
      </w:r>
      <w:r w:rsidR="00CA76CF" w:rsidRPr="00A40A61">
        <w:rPr>
          <w:i/>
          <w:iCs/>
          <w:color w:val="000000"/>
        </w:rPr>
        <w:t>Alice</w:t>
      </w:r>
      <w:r w:rsidR="00CA76CF">
        <w:rPr>
          <w:color w:val="000000"/>
        </w:rPr>
        <w:t xml:space="preserve"> story; rather it is concentrated in non-software fields which is </w:t>
      </w:r>
      <w:r w:rsidR="00032302">
        <w:rPr>
          <w:color w:val="000000"/>
        </w:rPr>
        <w:t xml:space="preserve">what one might expect. </w:t>
      </w:r>
    </w:p>
    <w:p w14:paraId="7D32B4A2" w14:textId="288EFC24" w:rsidR="0073703E" w:rsidRPr="00E93EC8" w:rsidRDefault="0073703E" w:rsidP="00E93EC8">
      <w:pPr>
        <w:pStyle w:val="Heading3"/>
        <w:jc w:val="center"/>
        <w:rPr>
          <w:rFonts w:cs="Times New Roman"/>
          <w:b/>
          <w:bCs/>
          <w:color w:val="auto"/>
          <w:sz w:val="24"/>
          <w:szCs w:val="24"/>
        </w:rPr>
      </w:pPr>
      <w:r w:rsidRPr="00E93EC8">
        <w:rPr>
          <w:rFonts w:cs="Times New Roman"/>
          <w:b/>
          <w:bCs/>
          <w:color w:val="auto"/>
          <w:sz w:val="24"/>
          <w:szCs w:val="24"/>
        </w:rPr>
        <w:lastRenderedPageBreak/>
        <w:t>Table 13: Infringement in Non</w:t>
      </w:r>
      <w:r w:rsidR="00E93EC8" w:rsidRPr="00E93EC8">
        <w:rPr>
          <w:rFonts w:cs="Times New Roman"/>
          <w:b/>
          <w:bCs/>
          <w:color w:val="auto"/>
          <w:sz w:val="24"/>
          <w:szCs w:val="24"/>
        </w:rPr>
        <w:t>-</w:t>
      </w:r>
      <w:r w:rsidRPr="00E93EC8">
        <w:rPr>
          <w:rFonts w:cs="Times New Roman"/>
          <w:b/>
          <w:bCs/>
          <w:color w:val="auto"/>
          <w:sz w:val="24"/>
          <w:szCs w:val="24"/>
        </w:rPr>
        <w:t>software Samples</w:t>
      </w:r>
    </w:p>
    <w:tbl>
      <w:tblPr>
        <w:tblStyle w:val="TableGrid"/>
        <w:tblW w:w="9360" w:type="dxa"/>
        <w:tblLayout w:type="fixed"/>
        <w:tblLook w:val="04A0" w:firstRow="1" w:lastRow="0" w:firstColumn="1" w:lastColumn="0" w:noHBand="0" w:noVBand="1"/>
      </w:tblPr>
      <w:tblGrid>
        <w:gridCol w:w="1700"/>
        <w:gridCol w:w="1278"/>
        <w:gridCol w:w="1277"/>
        <w:gridCol w:w="1277"/>
        <w:gridCol w:w="1277"/>
        <w:gridCol w:w="1277"/>
        <w:gridCol w:w="1274"/>
      </w:tblGrid>
      <w:tr w:rsidR="0073703E" w:rsidRPr="005A2545" w14:paraId="738AB0C7" w14:textId="77777777" w:rsidTr="00287451">
        <w:tc>
          <w:tcPr>
            <w:tcW w:w="1699" w:type="dxa"/>
            <w:shd w:val="clear" w:color="auto" w:fill="F2F2F2"/>
            <w:vAlign w:val="center"/>
          </w:tcPr>
          <w:p w14:paraId="1D48A117" w14:textId="77777777" w:rsidR="0073703E" w:rsidRPr="005A2545" w:rsidRDefault="0073703E" w:rsidP="00287451">
            <w:pPr>
              <w:jc w:val="center"/>
              <w:rPr>
                <w:sz w:val="20"/>
                <w:szCs w:val="20"/>
              </w:rPr>
            </w:pPr>
            <w:r w:rsidRPr="005A2545">
              <w:rPr>
                <w:b/>
                <w:sz w:val="20"/>
                <w:szCs w:val="20"/>
              </w:rPr>
              <w:t>Statistic</w:t>
            </w:r>
          </w:p>
        </w:tc>
        <w:tc>
          <w:tcPr>
            <w:tcW w:w="1277" w:type="dxa"/>
            <w:shd w:val="clear" w:color="auto" w:fill="F2F2F2"/>
            <w:vAlign w:val="center"/>
          </w:tcPr>
          <w:p w14:paraId="0658BAF6" w14:textId="77777777" w:rsidR="0073703E" w:rsidRPr="005A2545" w:rsidRDefault="0073703E" w:rsidP="00287451">
            <w:pPr>
              <w:jc w:val="center"/>
              <w:rPr>
                <w:sz w:val="20"/>
                <w:szCs w:val="20"/>
              </w:rPr>
            </w:pPr>
            <w:r w:rsidRPr="005A2545">
              <w:rPr>
                <w:b/>
                <w:sz w:val="20"/>
                <w:szCs w:val="20"/>
              </w:rPr>
              <w:t>CPC 50%</w:t>
            </w:r>
          </w:p>
        </w:tc>
        <w:tc>
          <w:tcPr>
            <w:tcW w:w="1277" w:type="dxa"/>
            <w:shd w:val="clear" w:color="auto" w:fill="F2F2F2"/>
            <w:vAlign w:val="center"/>
          </w:tcPr>
          <w:p w14:paraId="15092D69" w14:textId="77777777" w:rsidR="0073703E" w:rsidRPr="005A2545" w:rsidRDefault="0073703E" w:rsidP="00287451">
            <w:pPr>
              <w:jc w:val="center"/>
              <w:rPr>
                <w:sz w:val="20"/>
                <w:szCs w:val="20"/>
              </w:rPr>
            </w:pPr>
            <w:r w:rsidRPr="005A2545">
              <w:rPr>
                <w:b/>
                <w:sz w:val="20"/>
                <w:szCs w:val="20"/>
              </w:rPr>
              <w:t>CPC 86%</w:t>
            </w:r>
          </w:p>
        </w:tc>
        <w:tc>
          <w:tcPr>
            <w:tcW w:w="1277" w:type="dxa"/>
            <w:shd w:val="clear" w:color="auto" w:fill="F2F2F2"/>
            <w:vAlign w:val="center"/>
          </w:tcPr>
          <w:p w14:paraId="1C1FD7E8" w14:textId="77777777" w:rsidR="0073703E" w:rsidRPr="005A2545" w:rsidRDefault="0073703E" w:rsidP="00287451">
            <w:pPr>
              <w:jc w:val="center"/>
              <w:rPr>
                <w:sz w:val="20"/>
                <w:szCs w:val="20"/>
              </w:rPr>
            </w:pPr>
            <w:r w:rsidRPr="005A2545">
              <w:rPr>
                <w:b/>
                <w:sz w:val="20"/>
                <w:szCs w:val="20"/>
              </w:rPr>
              <w:t>CPC 93%</w:t>
            </w:r>
          </w:p>
        </w:tc>
        <w:tc>
          <w:tcPr>
            <w:tcW w:w="1277" w:type="dxa"/>
            <w:shd w:val="clear" w:color="auto" w:fill="F2F2F2"/>
            <w:vAlign w:val="center"/>
          </w:tcPr>
          <w:p w14:paraId="0CAAB30E" w14:textId="77777777" w:rsidR="0073703E" w:rsidRPr="005A2545" w:rsidRDefault="0073703E" w:rsidP="00287451">
            <w:pPr>
              <w:jc w:val="center"/>
              <w:rPr>
                <w:sz w:val="20"/>
                <w:szCs w:val="20"/>
              </w:rPr>
            </w:pPr>
            <w:r w:rsidRPr="005A2545">
              <w:rPr>
                <w:b/>
                <w:sz w:val="20"/>
                <w:szCs w:val="20"/>
              </w:rPr>
              <w:t>WIPO 50%</w:t>
            </w:r>
          </w:p>
        </w:tc>
        <w:tc>
          <w:tcPr>
            <w:tcW w:w="1277" w:type="dxa"/>
            <w:shd w:val="clear" w:color="auto" w:fill="F2F2F2"/>
            <w:vAlign w:val="center"/>
          </w:tcPr>
          <w:p w14:paraId="0BA3D66A" w14:textId="77777777" w:rsidR="0073703E" w:rsidRPr="005A2545" w:rsidRDefault="0073703E" w:rsidP="00287451">
            <w:pPr>
              <w:jc w:val="center"/>
              <w:rPr>
                <w:sz w:val="20"/>
                <w:szCs w:val="20"/>
              </w:rPr>
            </w:pPr>
            <w:r w:rsidRPr="005A2545">
              <w:rPr>
                <w:b/>
                <w:sz w:val="20"/>
                <w:szCs w:val="20"/>
              </w:rPr>
              <w:t>WIPO 86%</w:t>
            </w:r>
          </w:p>
        </w:tc>
        <w:tc>
          <w:tcPr>
            <w:tcW w:w="1274" w:type="dxa"/>
            <w:shd w:val="clear" w:color="auto" w:fill="F2F2F2"/>
            <w:vAlign w:val="center"/>
          </w:tcPr>
          <w:p w14:paraId="27654812" w14:textId="77777777" w:rsidR="0073703E" w:rsidRPr="005A2545" w:rsidRDefault="0073703E" w:rsidP="00287451">
            <w:pPr>
              <w:jc w:val="center"/>
              <w:rPr>
                <w:sz w:val="20"/>
                <w:szCs w:val="20"/>
              </w:rPr>
            </w:pPr>
            <w:r w:rsidRPr="005A2545">
              <w:rPr>
                <w:b/>
                <w:sz w:val="20"/>
                <w:szCs w:val="20"/>
              </w:rPr>
              <w:t>WIPO 93%</w:t>
            </w:r>
          </w:p>
        </w:tc>
      </w:tr>
      <w:tr w:rsidR="0073703E" w:rsidRPr="005A2545" w14:paraId="03C5F723" w14:textId="77777777" w:rsidTr="00287451">
        <w:tc>
          <w:tcPr>
            <w:tcW w:w="1699" w:type="dxa"/>
            <w:vAlign w:val="center"/>
          </w:tcPr>
          <w:p w14:paraId="2AACC51F" w14:textId="77777777" w:rsidR="0073703E" w:rsidRPr="005A2545" w:rsidRDefault="0073703E" w:rsidP="00287451">
            <w:pPr>
              <w:rPr>
                <w:sz w:val="20"/>
                <w:szCs w:val="20"/>
              </w:rPr>
            </w:pPr>
            <w:r w:rsidRPr="005A2545">
              <w:rPr>
                <w:b/>
                <w:sz w:val="20"/>
                <w:szCs w:val="20"/>
              </w:rPr>
              <w:t>AI coefficient</w:t>
            </w:r>
          </w:p>
        </w:tc>
        <w:tc>
          <w:tcPr>
            <w:tcW w:w="1277" w:type="dxa"/>
            <w:vAlign w:val="center"/>
          </w:tcPr>
          <w:p w14:paraId="4112EF48" w14:textId="77777777" w:rsidR="0073703E" w:rsidRPr="005A2545" w:rsidRDefault="0073703E" w:rsidP="00287451">
            <w:pPr>
              <w:jc w:val="center"/>
              <w:rPr>
                <w:sz w:val="20"/>
                <w:szCs w:val="20"/>
              </w:rPr>
            </w:pPr>
            <w:r w:rsidRPr="005A2545">
              <w:rPr>
                <w:sz w:val="20"/>
                <w:szCs w:val="20"/>
              </w:rPr>
              <w:t>-10.07***</w:t>
            </w:r>
            <w:r w:rsidRPr="005A2545">
              <w:rPr>
                <w:sz w:val="20"/>
                <w:szCs w:val="20"/>
              </w:rPr>
              <w:br/>
              <w:t>(2.01)</w:t>
            </w:r>
          </w:p>
        </w:tc>
        <w:tc>
          <w:tcPr>
            <w:tcW w:w="1277" w:type="dxa"/>
            <w:vAlign w:val="center"/>
          </w:tcPr>
          <w:p w14:paraId="0E727FC4" w14:textId="77777777" w:rsidR="0073703E" w:rsidRPr="005A2545" w:rsidRDefault="0073703E" w:rsidP="00287451">
            <w:pPr>
              <w:jc w:val="center"/>
              <w:rPr>
                <w:sz w:val="20"/>
                <w:szCs w:val="20"/>
              </w:rPr>
            </w:pPr>
            <w:r w:rsidRPr="005A2545">
              <w:rPr>
                <w:sz w:val="20"/>
                <w:szCs w:val="20"/>
              </w:rPr>
              <w:t>-12.57***</w:t>
            </w:r>
            <w:r w:rsidRPr="005A2545">
              <w:rPr>
                <w:sz w:val="20"/>
                <w:szCs w:val="20"/>
              </w:rPr>
              <w:br/>
              <w:t>(2.47)</w:t>
            </w:r>
          </w:p>
        </w:tc>
        <w:tc>
          <w:tcPr>
            <w:tcW w:w="1277" w:type="dxa"/>
            <w:vAlign w:val="center"/>
          </w:tcPr>
          <w:p w14:paraId="599C372D" w14:textId="77777777" w:rsidR="0073703E" w:rsidRPr="005A2545" w:rsidRDefault="0073703E" w:rsidP="00287451">
            <w:pPr>
              <w:jc w:val="center"/>
              <w:rPr>
                <w:sz w:val="20"/>
                <w:szCs w:val="20"/>
              </w:rPr>
            </w:pPr>
            <w:r w:rsidRPr="005A2545">
              <w:rPr>
                <w:sz w:val="20"/>
                <w:szCs w:val="20"/>
              </w:rPr>
              <w:t>-13.90***</w:t>
            </w:r>
            <w:r w:rsidRPr="005A2545">
              <w:rPr>
                <w:sz w:val="20"/>
                <w:szCs w:val="20"/>
              </w:rPr>
              <w:br/>
              <w:t>(2.61)</w:t>
            </w:r>
          </w:p>
        </w:tc>
        <w:tc>
          <w:tcPr>
            <w:tcW w:w="1277" w:type="dxa"/>
            <w:vAlign w:val="center"/>
          </w:tcPr>
          <w:p w14:paraId="58FDA34C" w14:textId="77777777" w:rsidR="0073703E" w:rsidRPr="005A2545" w:rsidRDefault="0073703E" w:rsidP="00287451">
            <w:pPr>
              <w:jc w:val="center"/>
              <w:rPr>
                <w:sz w:val="20"/>
                <w:szCs w:val="20"/>
              </w:rPr>
            </w:pPr>
            <w:r w:rsidRPr="005A2545">
              <w:rPr>
                <w:sz w:val="20"/>
                <w:szCs w:val="20"/>
              </w:rPr>
              <w:t>-5.61**</w:t>
            </w:r>
            <w:r w:rsidRPr="005A2545">
              <w:rPr>
                <w:sz w:val="20"/>
                <w:szCs w:val="20"/>
              </w:rPr>
              <w:br/>
              <w:t>(2.83)</w:t>
            </w:r>
          </w:p>
        </w:tc>
        <w:tc>
          <w:tcPr>
            <w:tcW w:w="1277" w:type="dxa"/>
            <w:vAlign w:val="center"/>
          </w:tcPr>
          <w:p w14:paraId="156E6E4F" w14:textId="77777777" w:rsidR="0073703E" w:rsidRPr="005A2545" w:rsidRDefault="0073703E" w:rsidP="00287451">
            <w:pPr>
              <w:jc w:val="center"/>
              <w:rPr>
                <w:sz w:val="20"/>
                <w:szCs w:val="20"/>
              </w:rPr>
            </w:pPr>
            <w:r w:rsidRPr="005A2545">
              <w:rPr>
                <w:sz w:val="20"/>
                <w:szCs w:val="20"/>
              </w:rPr>
              <w:t>-9.54**</w:t>
            </w:r>
            <w:r w:rsidRPr="005A2545">
              <w:rPr>
                <w:sz w:val="20"/>
                <w:szCs w:val="20"/>
              </w:rPr>
              <w:br/>
              <w:t>(3.77)</w:t>
            </w:r>
          </w:p>
        </w:tc>
        <w:tc>
          <w:tcPr>
            <w:tcW w:w="1274" w:type="dxa"/>
            <w:vAlign w:val="center"/>
          </w:tcPr>
          <w:p w14:paraId="488A7C0E" w14:textId="77777777" w:rsidR="0073703E" w:rsidRPr="005A2545" w:rsidRDefault="0073703E" w:rsidP="00287451">
            <w:pPr>
              <w:jc w:val="center"/>
              <w:rPr>
                <w:sz w:val="20"/>
                <w:szCs w:val="20"/>
              </w:rPr>
            </w:pPr>
            <w:r w:rsidRPr="005A2545">
              <w:rPr>
                <w:sz w:val="20"/>
                <w:szCs w:val="20"/>
              </w:rPr>
              <w:t>-10.16**</w:t>
            </w:r>
            <w:r w:rsidRPr="005A2545">
              <w:rPr>
                <w:sz w:val="20"/>
                <w:szCs w:val="20"/>
              </w:rPr>
              <w:br/>
              <w:t>(4.08)</w:t>
            </w:r>
          </w:p>
        </w:tc>
      </w:tr>
      <w:tr w:rsidR="0073703E" w:rsidRPr="005A2545" w14:paraId="42EBA386" w14:textId="77777777" w:rsidTr="00287451">
        <w:tc>
          <w:tcPr>
            <w:tcW w:w="1699" w:type="dxa"/>
            <w:vAlign w:val="center"/>
          </w:tcPr>
          <w:p w14:paraId="5CA6A938" w14:textId="77777777" w:rsidR="0073703E" w:rsidRPr="005A2545" w:rsidRDefault="0073703E" w:rsidP="00287451">
            <w:pPr>
              <w:rPr>
                <w:sz w:val="20"/>
                <w:szCs w:val="20"/>
              </w:rPr>
            </w:pPr>
            <w:r w:rsidRPr="005A2545">
              <w:rPr>
                <w:b/>
                <w:sz w:val="20"/>
                <w:szCs w:val="20"/>
              </w:rPr>
              <w:t>Alpha</w:t>
            </w:r>
          </w:p>
        </w:tc>
        <w:tc>
          <w:tcPr>
            <w:tcW w:w="1277" w:type="dxa"/>
            <w:vAlign w:val="center"/>
          </w:tcPr>
          <w:p w14:paraId="00B6A955" w14:textId="77777777" w:rsidR="0073703E" w:rsidRPr="005A2545" w:rsidRDefault="0073703E" w:rsidP="00287451">
            <w:pPr>
              <w:jc w:val="center"/>
              <w:rPr>
                <w:sz w:val="20"/>
                <w:szCs w:val="20"/>
              </w:rPr>
            </w:pPr>
            <w:r w:rsidRPr="005A2545">
              <w:rPr>
                <w:sz w:val="20"/>
                <w:szCs w:val="20"/>
              </w:rPr>
              <w:t>0.01</w:t>
            </w:r>
          </w:p>
        </w:tc>
        <w:tc>
          <w:tcPr>
            <w:tcW w:w="1277" w:type="dxa"/>
            <w:vAlign w:val="center"/>
          </w:tcPr>
          <w:p w14:paraId="7A8AC923" w14:textId="77777777" w:rsidR="0073703E" w:rsidRPr="005A2545" w:rsidRDefault="0073703E" w:rsidP="00287451">
            <w:pPr>
              <w:jc w:val="center"/>
              <w:rPr>
                <w:sz w:val="20"/>
                <w:szCs w:val="20"/>
              </w:rPr>
            </w:pPr>
            <w:r w:rsidRPr="005A2545">
              <w:rPr>
                <w:sz w:val="20"/>
                <w:szCs w:val="20"/>
              </w:rPr>
              <w:t>0.01</w:t>
            </w:r>
          </w:p>
        </w:tc>
        <w:tc>
          <w:tcPr>
            <w:tcW w:w="1277" w:type="dxa"/>
            <w:vAlign w:val="center"/>
          </w:tcPr>
          <w:p w14:paraId="39534AD0" w14:textId="77777777" w:rsidR="0073703E" w:rsidRPr="005A2545" w:rsidRDefault="0073703E" w:rsidP="00287451">
            <w:pPr>
              <w:jc w:val="center"/>
              <w:rPr>
                <w:sz w:val="20"/>
                <w:szCs w:val="20"/>
              </w:rPr>
            </w:pPr>
            <w:r w:rsidRPr="005A2545">
              <w:rPr>
                <w:sz w:val="20"/>
                <w:szCs w:val="20"/>
              </w:rPr>
              <w:t>0.01</w:t>
            </w:r>
          </w:p>
        </w:tc>
        <w:tc>
          <w:tcPr>
            <w:tcW w:w="1277" w:type="dxa"/>
            <w:vAlign w:val="center"/>
          </w:tcPr>
          <w:p w14:paraId="4B69DF9C" w14:textId="77777777" w:rsidR="0073703E" w:rsidRPr="005A2545" w:rsidRDefault="0073703E" w:rsidP="00287451">
            <w:pPr>
              <w:jc w:val="center"/>
              <w:rPr>
                <w:sz w:val="20"/>
                <w:szCs w:val="20"/>
              </w:rPr>
            </w:pPr>
            <w:r w:rsidRPr="005A2545">
              <w:rPr>
                <w:sz w:val="20"/>
                <w:szCs w:val="20"/>
              </w:rPr>
              <w:t>0.05</w:t>
            </w:r>
          </w:p>
        </w:tc>
        <w:tc>
          <w:tcPr>
            <w:tcW w:w="1277" w:type="dxa"/>
            <w:vAlign w:val="center"/>
          </w:tcPr>
          <w:p w14:paraId="37B4398A" w14:textId="77777777" w:rsidR="0073703E" w:rsidRPr="005A2545" w:rsidRDefault="0073703E" w:rsidP="00287451">
            <w:pPr>
              <w:jc w:val="center"/>
              <w:rPr>
                <w:sz w:val="20"/>
                <w:szCs w:val="20"/>
              </w:rPr>
            </w:pPr>
            <w:r w:rsidRPr="005A2545">
              <w:rPr>
                <w:sz w:val="20"/>
                <w:szCs w:val="20"/>
              </w:rPr>
              <w:t>0.05</w:t>
            </w:r>
          </w:p>
        </w:tc>
        <w:tc>
          <w:tcPr>
            <w:tcW w:w="1274" w:type="dxa"/>
            <w:vAlign w:val="center"/>
          </w:tcPr>
          <w:p w14:paraId="1810431E" w14:textId="77777777" w:rsidR="0073703E" w:rsidRPr="005A2545" w:rsidRDefault="0073703E" w:rsidP="00287451">
            <w:pPr>
              <w:jc w:val="center"/>
              <w:rPr>
                <w:sz w:val="20"/>
                <w:szCs w:val="20"/>
              </w:rPr>
            </w:pPr>
            <w:r w:rsidRPr="005A2545">
              <w:rPr>
                <w:sz w:val="20"/>
                <w:szCs w:val="20"/>
              </w:rPr>
              <w:t>0.05</w:t>
            </w:r>
          </w:p>
        </w:tc>
      </w:tr>
      <w:tr w:rsidR="0073703E" w:rsidRPr="005A2545" w14:paraId="5FBB489C" w14:textId="77777777" w:rsidTr="00287451">
        <w:tc>
          <w:tcPr>
            <w:tcW w:w="1699" w:type="dxa"/>
            <w:vAlign w:val="center"/>
          </w:tcPr>
          <w:p w14:paraId="64ED2C69" w14:textId="77777777" w:rsidR="0073703E" w:rsidRPr="005A2545" w:rsidRDefault="0073703E" w:rsidP="00287451">
            <w:pPr>
              <w:rPr>
                <w:sz w:val="20"/>
                <w:szCs w:val="20"/>
              </w:rPr>
            </w:pPr>
            <w:r w:rsidRPr="005A2545">
              <w:rPr>
                <w:b/>
                <w:sz w:val="20"/>
                <w:szCs w:val="20"/>
              </w:rPr>
              <w:t>Pr(non-AI)</w:t>
            </w:r>
          </w:p>
        </w:tc>
        <w:tc>
          <w:tcPr>
            <w:tcW w:w="1277" w:type="dxa"/>
            <w:vAlign w:val="center"/>
          </w:tcPr>
          <w:p w14:paraId="79CDA516" w14:textId="77777777" w:rsidR="0073703E" w:rsidRPr="005A2545" w:rsidRDefault="0073703E" w:rsidP="00287451">
            <w:pPr>
              <w:jc w:val="center"/>
              <w:rPr>
                <w:sz w:val="20"/>
                <w:szCs w:val="20"/>
              </w:rPr>
            </w:pPr>
            <w:r w:rsidRPr="005A2545">
              <w:rPr>
                <w:sz w:val="20"/>
                <w:szCs w:val="20"/>
              </w:rPr>
              <w:t>36.3%</w:t>
            </w:r>
          </w:p>
        </w:tc>
        <w:tc>
          <w:tcPr>
            <w:tcW w:w="1277" w:type="dxa"/>
            <w:vAlign w:val="center"/>
          </w:tcPr>
          <w:p w14:paraId="6143413D" w14:textId="77777777" w:rsidR="0073703E" w:rsidRPr="005A2545" w:rsidRDefault="0073703E" w:rsidP="00287451">
            <w:pPr>
              <w:jc w:val="center"/>
              <w:rPr>
                <w:sz w:val="20"/>
                <w:szCs w:val="20"/>
              </w:rPr>
            </w:pPr>
            <w:r w:rsidRPr="005A2545">
              <w:rPr>
                <w:sz w:val="20"/>
                <w:szCs w:val="20"/>
              </w:rPr>
              <w:t>36.1%</w:t>
            </w:r>
          </w:p>
        </w:tc>
        <w:tc>
          <w:tcPr>
            <w:tcW w:w="1277" w:type="dxa"/>
            <w:vAlign w:val="center"/>
          </w:tcPr>
          <w:p w14:paraId="6C2AB1ED" w14:textId="77777777" w:rsidR="0073703E" w:rsidRPr="005A2545" w:rsidRDefault="0073703E" w:rsidP="00287451">
            <w:pPr>
              <w:jc w:val="center"/>
              <w:rPr>
                <w:sz w:val="20"/>
                <w:szCs w:val="20"/>
              </w:rPr>
            </w:pPr>
            <w:r w:rsidRPr="005A2545">
              <w:rPr>
                <w:sz w:val="20"/>
                <w:szCs w:val="20"/>
              </w:rPr>
              <w:t>36.1%</w:t>
            </w:r>
          </w:p>
        </w:tc>
        <w:tc>
          <w:tcPr>
            <w:tcW w:w="1277" w:type="dxa"/>
            <w:vAlign w:val="center"/>
          </w:tcPr>
          <w:p w14:paraId="3CF8B919" w14:textId="77777777" w:rsidR="0073703E" w:rsidRPr="005A2545" w:rsidRDefault="0073703E" w:rsidP="00287451">
            <w:pPr>
              <w:jc w:val="center"/>
              <w:rPr>
                <w:sz w:val="20"/>
                <w:szCs w:val="20"/>
              </w:rPr>
            </w:pPr>
            <w:r w:rsidRPr="005A2545">
              <w:rPr>
                <w:sz w:val="20"/>
                <w:szCs w:val="20"/>
              </w:rPr>
              <w:t>38.4%</w:t>
            </w:r>
          </w:p>
        </w:tc>
        <w:tc>
          <w:tcPr>
            <w:tcW w:w="1277" w:type="dxa"/>
            <w:vAlign w:val="center"/>
          </w:tcPr>
          <w:p w14:paraId="2CE1D26B" w14:textId="77777777" w:rsidR="0073703E" w:rsidRPr="005A2545" w:rsidRDefault="0073703E" w:rsidP="00287451">
            <w:pPr>
              <w:jc w:val="center"/>
              <w:rPr>
                <w:sz w:val="20"/>
                <w:szCs w:val="20"/>
              </w:rPr>
            </w:pPr>
            <w:r w:rsidRPr="005A2545">
              <w:rPr>
                <w:sz w:val="20"/>
                <w:szCs w:val="20"/>
              </w:rPr>
              <w:t>38.3%</w:t>
            </w:r>
          </w:p>
        </w:tc>
        <w:tc>
          <w:tcPr>
            <w:tcW w:w="1274" w:type="dxa"/>
            <w:vAlign w:val="center"/>
          </w:tcPr>
          <w:p w14:paraId="6E5220A5" w14:textId="77777777" w:rsidR="0073703E" w:rsidRPr="005A2545" w:rsidRDefault="0073703E" w:rsidP="00287451">
            <w:pPr>
              <w:jc w:val="center"/>
              <w:rPr>
                <w:sz w:val="20"/>
                <w:szCs w:val="20"/>
              </w:rPr>
            </w:pPr>
            <w:r w:rsidRPr="005A2545">
              <w:rPr>
                <w:sz w:val="20"/>
                <w:szCs w:val="20"/>
              </w:rPr>
              <w:t>38.3%</w:t>
            </w:r>
          </w:p>
        </w:tc>
      </w:tr>
      <w:tr w:rsidR="0073703E" w:rsidRPr="005A2545" w14:paraId="1591254C" w14:textId="77777777" w:rsidTr="00287451">
        <w:tc>
          <w:tcPr>
            <w:tcW w:w="1699" w:type="dxa"/>
            <w:vAlign w:val="center"/>
          </w:tcPr>
          <w:p w14:paraId="2EDD6D74" w14:textId="77777777" w:rsidR="0073703E" w:rsidRPr="005A2545" w:rsidRDefault="0073703E" w:rsidP="00287451">
            <w:pPr>
              <w:rPr>
                <w:sz w:val="20"/>
                <w:szCs w:val="20"/>
              </w:rPr>
            </w:pPr>
            <w:r w:rsidRPr="005A2545">
              <w:rPr>
                <w:b/>
                <w:sz w:val="20"/>
                <w:szCs w:val="20"/>
              </w:rPr>
              <w:t>Pr(AI)</w:t>
            </w:r>
          </w:p>
        </w:tc>
        <w:tc>
          <w:tcPr>
            <w:tcW w:w="1277" w:type="dxa"/>
            <w:vAlign w:val="center"/>
          </w:tcPr>
          <w:p w14:paraId="7FBCBA60" w14:textId="77777777" w:rsidR="0073703E" w:rsidRPr="005A2545" w:rsidRDefault="0073703E" w:rsidP="00287451">
            <w:pPr>
              <w:jc w:val="center"/>
              <w:rPr>
                <w:sz w:val="20"/>
                <w:szCs w:val="20"/>
              </w:rPr>
            </w:pPr>
            <w:r w:rsidRPr="005A2545">
              <w:rPr>
                <w:sz w:val="20"/>
                <w:szCs w:val="20"/>
              </w:rPr>
              <w:t>26.3%</w:t>
            </w:r>
          </w:p>
        </w:tc>
        <w:tc>
          <w:tcPr>
            <w:tcW w:w="1277" w:type="dxa"/>
            <w:vAlign w:val="center"/>
          </w:tcPr>
          <w:p w14:paraId="064700C5" w14:textId="77777777" w:rsidR="0073703E" w:rsidRPr="005A2545" w:rsidRDefault="0073703E" w:rsidP="00287451">
            <w:pPr>
              <w:jc w:val="center"/>
              <w:rPr>
                <w:sz w:val="20"/>
                <w:szCs w:val="20"/>
              </w:rPr>
            </w:pPr>
            <w:r w:rsidRPr="005A2545">
              <w:rPr>
                <w:sz w:val="20"/>
                <w:szCs w:val="20"/>
              </w:rPr>
              <w:t>23.5%</w:t>
            </w:r>
          </w:p>
        </w:tc>
        <w:tc>
          <w:tcPr>
            <w:tcW w:w="1277" w:type="dxa"/>
            <w:vAlign w:val="center"/>
          </w:tcPr>
          <w:p w14:paraId="6CF53DD6" w14:textId="77777777" w:rsidR="0073703E" w:rsidRPr="005A2545" w:rsidRDefault="0073703E" w:rsidP="00287451">
            <w:pPr>
              <w:jc w:val="center"/>
              <w:rPr>
                <w:sz w:val="20"/>
                <w:szCs w:val="20"/>
              </w:rPr>
            </w:pPr>
            <w:r w:rsidRPr="005A2545">
              <w:rPr>
                <w:sz w:val="20"/>
                <w:szCs w:val="20"/>
              </w:rPr>
              <w:t>22.2%</w:t>
            </w:r>
          </w:p>
        </w:tc>
        <w:tc>
          <w:tcPr>
            <w:tcW w:w="1277" w:type="dxa"/>
            <w:vAlign w:val="center"/>
          </w:tcPr>
          <w:p w14:paraId="17522465" w14:textId="77777777" w:rsidR="0073703E" w:rsidRPr="005A2545" w:rsidRDefault="0073703E" w:rsidP="00287451">
            <w:pPr>
              <w:jc w:val="center"/>
              <w:rPr>
                <w:sz w:val="20"/>
                <w:szCs w:val="20"/>
              </w:rPr>
            </w:pPr>
            <w:r w:rsidRPr="005A2545">
              <w:rPr>
                <w:sz w:val="20"/>
                <w:szCs w:val="20"/>
              </w:rPr>
              <w:t>32.7%</w:t>
            </w:r>
          </w:p>
        </w:tc>
        <w:tc>
          <w:tcPr>
            <w:tcW w:w="1277" w:type="dxa"/>
            <w:vAlign w:val="center"/>
          </w:tcPr>
          <w:p w14:paraId="454AEE83" w14:textId="77777777" w:rsidR="0073703E" w:rsidRPr="005A2545" w:rsidRDefault="0073703E" w:rsidP="00287451">
            <w:pPr>
              <w:jc w:val="center"/>
              <w:rPr>
                <w:sz w:val="20"/>
                <w:szCs w:val="20"/>
              </w:rPr>
            </w:pPr>
            <w:r w:rsidRPr="005A2545">
              <w:rPr>
                <w:sz w:val="20"/>
                <w:szCs w:val="20"/>
              </w:rPr>
              <w:t>28.8%</w:t>
            </w:r>
          </w:p>
        </w:tc>
        <w:tc>
          <w:tcPr>
            <w:tcW w:w="1274" w:type="dxa"/>
            <w:vAlign w:val="center"/>
          </w:tcPr>
          <w:p w14:paraId="66ACFDCA" w14:textId="77777777" w:rsidR="0073703E" w:rsidRPr="005A2545" w:rsidRDefault="0073703E" w:rsidP="00287451">
            <w:pPr>
              <w:jc w:val="center"/>
              <w:rPr>
                <w:sz w:val="20"/>
                <w:szCs w:val="20"/>
              </w:rPr>
            </w:pPr>
            <w:r w:rsidRPr="005A2545">
              <w:rPr>
                <w:sz w:val="20"/>
                <w:szCs w:val="20"/>
              </w:rPr>
              <w:t>28.1%</w:t>
            </w:r>
          </w:p>
        </w:tc>
      </w:tr>
      <w:tr w:rsidR="0073703E" w:rsidRPr="005A2545" w14:paraId="13A5912C" w14:textId="77777777" w:rsidTr="00287451">
        <w:tc>
          <w:tcPr>
            <w:tcW w:w="1699" w:type="dxa"/>
            <w:vAlign w:val="center"/>
          </w:tcPr>
          <w:p w14:paraId="7C509232" w14:textId="77777777" w:rsidR="0073703E" w:rsidRPr="005A2545" w:rsidRDefault="0073703E" w:rsidP="00287451">
            <w:pPr>
              <w:rPr>
                <w:sz w:val="20"/>
                <w:szCs w:val="20"/>
              </w:rPr>
            </w:pPr>
            <w:r w:rsidRPr="005A2545">
              <w:rPr>
                <w:b/>
                <w:sz w:val="20"/>
                <w:szCs w:val="20"/>
              </w:rPr>
              <w:t>Relative change</w:t>
            </w:r>
          </w:p>
        </w:tc>
        <w:tc>
          <w:tcPr>
            <w:tcW w:w="1277" w:type="dxa"/>
            <w:vAlign w:val="center"/>
          </w:tcPr>
          <w:p w14:paraId="3A059435" w14:textId="77777777" w:rsidR="0073703E" w:rsidRPr="005A2545" w:rsidRDefault="0073703E" w:rsidP="00287451">
            <w:pPr>
              <w:jc w:val="center"/>
              <w:rPr>
                <w:sz w:val="20"/>
                <w:szCs w:val="20"/>
              </w:rPr>
            </w:pPr>
            <w:r w:rsidRPr="005A2545">
              <w:rPr>
                <w:sz w:val="20"/>
                <w:szCs w:val="20"/>
              </w:rPr>
              <w:t>-27.7%</w:t>
            </w:r>
          </w:p>
        </w:tc>
        <w:tc>
          <w:tcPr>
            <w:tcW w:w="1277" w:type="dxa"/>
            <w:vAlign w:val="center"/>
          </w:tcPr>
          <w:p w14:paraId="03137B77" w14:textId="77777777" w:rsidR="0073703E" w:rsidRPr="005A2545" w:rsidRDefault="0073703E" w:rsidP="00287451">
            <w:pPr>
              <w:jc w:val="center"/>
              <w:rPr>
                <w:sz w:val="20"/>
                <w:szCs w:val="20"/>
              </w:rPr>
            </w:pPr>
            <w:r w:rsidRPr="005A2545">
              <w:rPr>
                <w:sz w:val="20"/>
                <w:szCs w:val="20"/>
              </w:rPr>
              <w:t>-34.8%</w:t>
            </w:r>
          </w:p>
        </w:tc>
        <w:tc>
          <w:tcPr>
            <w:tcW w:w="1277" w:type="dxa"/>
            <w:vAlign w:val="center"/>
          </w:tcPr>
          <w:p w14:paraId="1D743F47" w14:textId="77777777" w:rsidR="0073703E" w:rsidRPr="005A2545" w:rsidRDefault="0073703E" w:rsidP="00287451">
            <w:pPr>
              <w:jc w:val="center"/>
              <w:rPr>
                <w:sz w:val="20"/>
                <w:szCs w:val="20"/>
              </w:rPr>
            </w:pPr>
            <w:r w:rsidRPr="005A2545">
              <w:rPr>
                <w:sz w:val="20"/>
                <w:szCs w:val="20"/>
              </w:rPr>
              <w:t>-38.5%</w:t>
            </w:r>
          </w:p>
        </w:tc>
        <w:tc>
          <w:tcPr>
            <w:tcW w:w="1277" w:type="dxa"/>
            <w:vAlign w:val="center"/>
          </w:tcPr>
          <w:p w14:paraId="0FAC3F5F" w14:textId="77777777" w:rsidR="0073703E" w:rsidRPr="005A2545" w:rsidRDefault="0073703E" w:rsidP="00287451">
            <w:pPr>
              <w:jc w:val="center"/>
              <w:rPr>
                <w:sz w:val="20"/>
                <w:szCs w:val="20"/>
              </w:rPr>
            </w:pPr>
            <w:r w:rsidRPr="005A2545">
              <w:rPr>
                <w:sz w:val="20"/>
                <w:szCs w:val="20"/>
              </w:rPr>
              <w:t>-14.6%</w:t>
            </w:r>
          </w:p>
        </w:tc>
        <w:tc>
          <w:tcPr>
            <w:tcW w:w="1277" w:type="dxa"/>
            <w:vAlign w:val="center"/>
          </w:tcPr>
          <w:p w14:paraId="5E07C8F2" w14:textId="77777777" w:rsidR="0073703E" w:rsidRPr="005A2545" w:rsidRDefault="0073703E" w:rsidP="00287451">
            <w:pPr>
              <w:jc w:val="center"/>
              <w:rPr>
                <w:sz w:val="20"/>
                <w:szCs w:val="20"/>
              </w:rPr>
            </w:pPr>
            <w:r w:rsidRPr="005A2545">
              <w:rPr>
                <w:sz w:val="20"/>
                <w:szCs w:val="20"/>
              </w:rPr>
              <w:t>-24.9%</w:t>
            </w:r>
          </w:p>
        </w:tc>
        <w:tc>
          <w:tcPr>
            <w:tcW w:w="1274" w:type="dxa"/>
            <w:vAlign w:val="center"/>
          </w:tcPr>
          <w:p w14:paraId="6BB4D6E9" w14:textId="77777777" w:rsidR="0073703E" w:rsidRPr="005A2545" w:rsidRDefault="0073703E" w:rsidP="00287451">
            <w:pPr>
              <w:jc w:val="center"/>
              <w:rPr>
                <w:sz w:val="20"/>
                <w:szCs w:val="20"/>
              </w:rPr>
            </w:pPr>
            <w:r w:rsidRPr="005A2545">
              <w:rPr>
                <w:sz w:val="20"/>
                <w:szCs w:val="20"/>
              </w:rPr>
              <w:t>-26.5%</w:t>
            </w:r>
          </w:p>
        </w:tc>
      </w:tr>
      <w:tr w:rsidR="0073703E" w:rsidRPr="005A2545" w14:paraId="428611B5" w14:textId="77777777" w:rsidTr="00287451">
        <w:tc>
          <w:tcPr>
            <w:tcW w:w="1699" w:type="dxa"/>
            <w:vAlign w:val="center"/>
          </w:tcPr>
          <w:p w14:paraId="51BF0772" w14:textId="77777777" w:rsidR="0073703E" w:rsidRPr="005A2545" w:rsidRDefault="0073703E" w:rsidP="00287451">
            <w:pPr>
              <w:rPr>
                <w:sz w:val="20"/>
                <w:szCs w:val="20"/>
              </w:rPr>
            </w:pPr>
            <w:r w:rsidRPr="005A2545">
              <w:rPr>
                <w:b/>
                <w:sz w:val="20"/>
                <w:szCs w:val="20"/>
              </w:rPr>
              <w:t>N</w:t>
            </w:r>
          </w:p>
        </w:tc>
        <w:tc>
          <w:tcPr>
            <w:tcW w:w="1277" w:type="dxa"/>
            <w:vAlign w:val="center"/>
          </w:tcPr>
          <w:p w14:paraId="288D7EAD" w14:textId="77777777" w:rsidR="0073703E" w:rsidRPr="005A2545" w:rsidRDefault="0073703E" w:rsidP="00287451">
            <w:pPr>
              <w:jc w:val="center"/>
              <w:rPr>
                <w:sz w:val="20"/>
                <w:szCs w:val="20"/>
              </w:rPr>
            </w:pPr>
            <w:r w:rsidRPr="005A2545">
              <w:rPr>
                <w:sz w:val="20"/>
                <w:szCs w:val="20"/>
              </w:rPr>
              <w:t>4,838</w:t>
            </w:r>
          </w:p>
        </w:tc>
        <w:tc>
          <w:tcPr>
            <w:tcW w:w="1277" w:type="dxa"/>
            <w:vAlign w:val="center"/>
          </w:tcPr>
          <w:p w14:paraId="574179A7" w14:textId="77777777" w:rsidR="0073703E" w:rsidRPr="005A2545" w:rsidRDefault="0073703E" w:rsidP="00287451">
            <w:pPr>
              <w:jc w:val="center"/>
              <w:rPr>
                <w:sz w:val="20"/>
                <w:szCs w:val="20"/>
              </w:rPr>
            </w:pPr>
            <w:r w:rsidRPr="005A2545">
              <w:rPr>
                <w:sz w:val="20"/>
                <w:szCs w:val="20"/>
              </w:rPr>
              <w:t>4,838</w:t>
            </w:r>
          </w:p>
        </w:tc>
        <w:tc>
          <w:tcPr>
            <w:tcW w:w="1277" w:type="dxa"/>
            <w:vAlign w:val="center"/>
          </w:tcPr>
          <w:p w14:paraId="05E4EE76" w14:textId="77777777" w:rsidR="0073703E" w:rsidRPr="005A2545" w:rsidRDefault="0073703E" w:rsidP="00287451">
            <w:pPr>
              <w:jc w:val="center"/>
              <w:rPr>
                <w:sz w:val="20"/>
                <w:szCs w:val="20"/>
              </w:rPr>
            </w:pPr>
            <w:r w:rsidRPr="005A2545">
              <w:rPr>
                <w:sz w:val="20"/>
                <w:szCs w:val="20"/>
              </w:rPr>
              <w:t>4,838</w:t>
            </w:r>
          </w:p>
        </w:tc>
        <w:tc>
          <w:tcPr>
            <w:tcW w:w="1277" w:type="dxa"/>
            <w:vAlign w:val="center"/>
          </w:tcPr>
          <w:p w14:paraId="3A9CE2D5" w14:textId="77777777" w:rsidR="0073703E" w:rsidRPr="005A2545" w:rsidRDefault="0073703E" w:rsidP="00287451">
            <w:pPr>
              <w:jc w:val="center"/>
              <w:rPr>
                <w:sz w:val="20"/>
                <w:szCs w:val="20"/>
              </w:rPr>
            </w:pPr>
            <w:r w:rsidRPr="005A2545">
              <w:rPr>
                <w:sz w:val="20"/>
                <w:szCs w:val="20"/>
              </w:rPr>
              <w:t>3,853</w:t>
            </w:r>
          </w:p>
        </w:tc>
        <w:tc>
          <w:tcPr>
            <w:tcW w:w="1277" w:type="dxa"/>
            <w:vAlign w:val="center"/>
          </w:tcPr>
          <w:p w14:paraId="2FB6E789" w14:textId="77777777" w:rsidR="0073703E" w:rsidRPr="005A2545" w:rsidRDefault="0073703E" w:rsidP="00287451">
            <w:pPr>
              <w:jc w:val="center"/>
              <w:rPr>
                <w:sz w:val="20"/>
                <w:szCs w:val="20"/>
              </w:rPr>
            </w:pPr>
            <w:r w:rsidRPr="005A2545">
              <w:rPr>
                <w:sz w:val="20"/>
                <w:szCs w:val="20"/>
              </w:rPr>
              <w:t>3,853</w:t>
            </w:r>
          </w:p>
        </w:tc>
        <w:tc>
          <w:tcPr>
            <w:tcW w:w="1274" w:type="dxa"/>
            <w:vAlign w:val="center"/>
          </w:tcPr>
          <w:p w14:paraId="16DD4AAA" w14:textId="77777777" w:rsidR="0073703E" w:rsidRPr="005A2545" w:rsidRDefault="0073703E" w:rsidP="00287451">
            <w:pPr>
              <w:jc w:val="center"/>
              <w:rPr>
                <w:sz w:val="20"/>
                <w:szCs w:val="20"/>
              </w:rPr>
            </w:pPr>
            <w:r w:rsidRPr="005A2545">
              <w:rPr>
                <w:sz w:val="20"/>
                <w:szCs w:val="20"/>
              </w:rPr>
              <w:t>3,853</w:t>
            </w:r>
          </w:p>
        </w:tc>
      </w:tr>
      <w:tr w:rsidR="0073703E" w:rsidRPr="005A2545" w14:paraId="150A987D" w14:textId="77777777" w:rsidTr="00287451">
        <w:tc>
          <w:tcPr>
            <w:tcW w:w="1699" w:type="dxa"/>
            <w:vAlign w:val="center"/>
          </w:tcPr>
          <w:p w14:paraId="2C621E34" w14:textId="77777777" w:rsidR="0073703E" w:rsidRPr="005A2545" w:rsidRDefault="0073703E" w:rsidP="00287451">
            <w:pPr>
              <w:rPr>
                <w:sz w:val="20"/>
                <w:szCs w:val="20"/>
              </w:rPr>
            </w:pPr>
            <w:r w:rsidRPr="005A2545">
              <w:rPr>
                <w:b/>
                <w:sz w:val="20"/>
                <w:szCs w:val="20"/>
              </w:rPr>
              <w:t>R2</w:t>
            </w:r>
          </w:p>
        </w:tc>
        <w:tc>
          <w:tcPr>
            <w:tcW w:w="1277" w:type="dxa"/>
            <w:vAlign w:val="center"/>
          </w:tcPr>
          <w:p w14:paraId="4B2D7560" w14:textId="77777777" w:rsidR="0073703E" w:rsidRPr="005A2545" w:rsidRDefault="0073703E" w:rsidP="00287451">
            <w:pPr>
              <w:jc w:val="center"/>
              <w:rPr>
                <w:sz w:val="20"/>
                <w:szCs w:val="20"/>
              </w:rPr>
            </w:pPr>
            <w:r w:rsidRPr="005A2545">
              <w:rPr>
                <w:sz w:val="20"/>
                <w:szCs w:val="20"/>
              </w:rPr>
              <w:t>0.254</w:t>
            </w:r>
          </w:p>
        </w:tc>
        <w:tc>
          <w:tcPr>
            <w:tcW w:w="1277" w:type="dxa"/>
            <w:vAlign w:val="center"/>
          </w:tcPr>
          <w:p w14:paraId="29FCBE77" w14:textId="77777777" w:rsidR="0073703E" w:rsidRPr="005A2545" w:rsidRDefault="0073703E" w:rsidP="00287451">
            <w:pPr>
              <w:jc w:val="center"/>
              <w:rPr>
                <w:sz w:val="20"/>
                <w:szCs w:val="20"/>
              </w:rPr>
            </w:pPr>
            <w:r w:rsidRPr="005A2545">
              <w:rPr>
                <w:sz w:val="20"/>
                <w:szCs w:val="20"/>
              </w:rPr>
              <w:t>0.254</w:t>
            </w:r>
          </w:p>
        </w:tc>
        <w:tc>
          <w:tcPr>
            <w:tcW w:w="1277" w:type="dxa"/>
            <w:vAlign w:val="center"/>
          </w:tcPr>
          <w:p w14:paraId="6023A5DB" w14:textId="77777777" w:rsidR="0073703E" w:rsidRPr="005A2545" w:rsidRDefault="0073703E" w:rsidP="00287451">
            <w:pPr>
              <w:jc w:val="center"/>
              <w:rPr>
                <w:sz w:val="20"/>
                <w:szCs w:val="20"/>
              </w:rPr>
            </w:pPr>
            <w:r w:rsidRPr="005A2545">
              <w:rPr>
                <w:sz w:val="20"/>
                <w:szCs w:val="20"/>
              </w:rPr>
              <w:t>0.254</w:t>
            </w:r>
          </w:p>
        </w:tc>
        <w:tc>
          <w:tcPr>
            <w:tcW w:w="1277" w:type="dxa"/>
            <w:vAlign w:val="center"/>
          </w:tcPr>
          <w:p w14:paraId="529EBF77" w14:textId="77777777" w:rsidR="0073703E" w:rsidRPr="005A2545" w:rsidRDefault="0073703E" w:rsidP="00287451">
            <w:pPr>
              <w:jc w:val="center"/>
              <w:rPr>
                <w:sz w:val="20"/>
                <w:szCs w:val="20"/>
              </w:rPr>
            </w:pPr>
            <w:r w:rsidRPr="005A2545">
              <w:rPr>
                <w:sz w:val="20"/>
                <w:szCs w:val="20"/>
              </w:rPr>
              <w:t>0.254</w:t>
            </w:r>
          </w:p>
        </w:tc>
        <w:tc>
          <w:tcPr>
            <w:tcW w:w="1277" w:type="dxa"/>
            <w:vAlign w:val="center"/>
          </w:tcPr>
          <w:p w14:paraId="2F240A34" w14:textId="77777777" w:rsidR="0073703E" w:rsidRPr="005A2545" w:rsidRDefault="0073703E" w:rsidP="00287451">
            <w:pPr>
              <w:jc w:val="center"/>
              <w:rPr>
                <w:sz w:val="20"/>
                <w:szCs w:val="20"/>
              </w:rPr>
            </w:pPr>
            <w:r w:rsidRPr="005A2545">
              <w:rPr>
                <w:sz w:val="20"/>
                <w:szCs w:val="20"/>
              </w:rPr>
              <w:t>0.254</w:t>
            </w:r>
          </w:p>
        </w:tc>
        <w:tc>
          <w:tcPr>
            <w:tcW w:w="1274" w:type="dxa"/>
            <w:vAlign w:val="center"/>
          </w:tcPr>
          <w:p w14:paraId="14A83BCB" w14:textId="77777777" w:rsidR="0073703E" w:rsidRPr="005A2545" w:rsidRDefault="0073703E" w:rsidP="00287451">
            <w:pPr>
              <w:jc w:val="center"/>
              <w:rPr>
                <w:sz w:val="20"/>
                <w:szCs w:val="20"/>
              </w:rPr>
            </w:pPr>
            <w:r w:rsidRPr="005A2545">
              <w:rPr>
                <w:sz w:val="20"/>
                <w:szCs w:val="20"/>
              </w:rPr>
              <w:t>0.254</w:t>
            </w:r>
          </w:p>
        </w:tc>
      </w:tr>
    </w:tbl>
    <w:p w14:paraId="5288C0A9" w14:textId="77777777" w:rsidR="0073703E" w:rsidRDefault="0073703E" w:rsidP="0073703E">
      <w:pPr>
        <w:pStyle w:val="Caption"/>
        <w:rPr>
          <w:rFonts w:ascii="Times New Roman" w:hAnsi="Times New Roman" w:cs="Times New Roman"/>
          <w:color w:val="505050"/>
          <w:sz w:val="20"/>
          <w:szCs w:val="20"/>
        </w:rPr>
      </w:pPr>
      <w:r w:rsidRPr="005A2545">
        <w:rPr>
          <w:rFonts w:ascii="Times New Roman" w:hAnsi="Times New Roman" w:cs="Times New Roman"/>
          <w:color w:val="505050"/>
          <w:sz w:val="20"/>
          <w:szCs w:val="20"/>
        </w:rPr>
        <w:t>Columns combine CPC broad and WIPO broad definitions. N is reported as a row for each column-specific estimation sample.</w:t>
      </w:r>
    </w:p>
    <w:p w14:paraId="1DE45F81" w14:textId="1697E4E8" w:rsidR="00D15498" w:rsidRPr="008074B4" w:rsidRDefault="00B725F0" w:rsidP="00861F09">
      <w:pPr>
        <w:spacing w:line="480" w:lineRule="auto"/>
        <w:ind w:firstLine="720"/>
        <w:jc w:val="both"/>
      </w:pPr>
      <w:r w:rsidRPr="008074B4">
        <w:t xml:space="preserve">Set against the invalidity results, the evidence points to a consistent asymmetry. AI software patents face elevated invalidation risk </w:t>
      </w:r>
      <w:r w:rsidR="00A36D7E">
        <w:t>even among software patents. A</w:t>
      </w:r>
      <w:r w:rsidRPr="008074B4">
        <w:t xml:space="preserve">t the same time, </w:t>
      </w:r>
      <w:r w:rsidR="00A36D7E">
        <w:t xml:space="preserve">AI patents enjoy </w:t>
      </w:r>
      <w:r w:rsidRPr="008074B4">
        <w:t>lower infringement success</w:t>
      </w:r>
      <w:r w:rsidR="00A36D7E">
        <w:t xml:space="preserve"> especially when limited to non-software patents.</w:t>
      </w:r>
      <w:r w:rsidRPr="008074B4">
        <w:t xml:space="preserve"> That combination fits a doctrinal environment particularly skeptical of </w:t>
      </w:r>
      <w:r w:rsidR="00A36D7E">
        <w:t xml:space="preserve">AI </w:t>
      </w:r>
      <w:r w:rsidRPr="008074B4">
        <w:t xml:space="preserve">inventions, and it suggests the patent system may be imposing a double hurdle on AI claims: harder to keep alive, and harder to enforce once alive. The stability of the gap across the </w:t>
      </w:r>
      <w:r w:rsidR="00A36D7E">
        <w:t>different</w:t>
      </w:r>
      <w:r w:rsidRPr="008074B4">
        <w:t xml:space="preserve"> software definitions and </w:t>
      </w:r>
      <w:r w:rsidR="00A36D7E">
        <w:t>increasingly higher</w:t>
      </w:r>
      <w:r w:rsidRPr="008074B4">
        <w:t xml:space="preserve"> AI </w:t>
      </w:r>
      <w:r w:rsidR="00A36D7E">
        <w:t xml:space="preserve">confidence </w:t>
      </w:r>
      <w:r w:rsidRPr="008074B4">
        <w:t>thresholds further weakens the pure-software explanation. The AI indicator retains incremental explanatory power conditional on software controls and rich fixed effects, which is what one would expect if courts are reacting to features specific to AI-type claims rather than to software in general.</w:t>
      </w:r>
      <w:r w:rsidR="00A36D7E">
        <w:t xml:space="preserve"> </w:t>
      </w:r>
      <w:r w:rsidRPr="008074B4">
        <w:t>Modern doctrine, then, treats AI inventions as a distinct risk category within software. Traditional software patents already face headwinds, but AI software faces an additional penalty that software classification alone cannot explain.</w:t>
      </w:r>
    </w:p>
    <w:p w14:paraId="1865DDB5" w14:textId="397F44AA" w:rsidR="008442FB" w:rsidRPr="008074B4" w:rsidRDefault="008C5310" w:rsidP="00A36D7E">
      <w:pPr>
        <w:spacing w:after="120"/>
        <w:jc w:val="center"/>
      </w:pPr>
      <w:r w:rsidRPr="008074B4">
        <w:rPr>
          <w:b/>
          <w:bCs/>
        </w:rPr>
        <w:t>IV. Doctrinal Implications and Reform</w:t>
      </w:r>
    </w:p>
    <w:p w14:paraId="16F7308A" w14:textId="34B531BF" w:rsidR="008442FB" w:rsidRPr="008074B4" w:rsidRDefault="008442FB" w:rsidP="00D57A20">
      <w:pPr>
        <w:spacing w:line="480" w:lineRule="auto"/>
        <w:ind w:firstLine="720"/>
        <w:jc w:val="both"/>
      </w:pPr>
      <w:r w:rsidRPr="008074B4">
        <w:t>The patterns documented in this study point to a mismatch between legacy patent doctrine and the structure of modern AI. AI patents meet disproportionate pressure at the patentability stage, particularly under § 101</w:t>
      </w:r>
      <w:r w:rsidR="00107CE1">
        <w:t xml:space="preserve"> and to a lesser extent </w:t>
      </w:r>
      <w:r w:rsidR="00107CE1" w:rsidRPr="008074B4">
        <w:t>§ 10</w:t>
      </w:r>
      <w:r w:rsidR="00107CE1">
        <w:t>3</w:t>
      </w:r>
      <w:r w:rsidRPr="008074B4">
        <w:t xml:space="preserve">, yet once they clear those filters they are comparatively hard to defeat on noninfringement grounds. The system is not simply treating AI inventions as stronger or weaker than other technologies. It is applying doctrinal tools that fit </w:t>
      </w:r>
      <w:r w:rsidRPr="008074B4">
        <w:lastRenderedPageBreak/>
        <w:t>unevenly across the phases of a case. The aim should not be to privilege AI patents but to calibrate screening and adjudication to the informational and technical structure of machine-learning innovation. Five interventions follow from the findings, running from doctrinal housekeeping at the Federal Circuit to a structural reset of eligibility in Congress.</w:t>
      </w:r>
    </w:p>
    <w:p w14:paraId="240DD20F" w14:textId="77777777" w:rsidR="008442FB" w:rsidRPr="008074B4" w:rsidRDefault="008442FB" w:rsidP="00D57A20">
      <w:pPr>
        <w:spacing w:before="200" w:after="100" w:line="480" w:lineRule="auto"/>
      </w:pPr>
      <w:r w:rsidRPr="008074B4">
        <w:rPr>
          <w:b/>
          <w:bCs/>
          <w:i/>
          <w:iCs/>
        </w:rPr>
        <w:t>1.  Federal Circuit guidance on how § 101 applies to machine-learning claims</w:t>
      </w:r>
    </w:p>
    <w:p w14:paraId="41405E91" w14:textId="77777777" w:rsidR="008442FB" w:rsidRPr="008074B4" w:rsidRDefault="008442FB" w:rsidP="00D57A20">
      <w:pPr>
        <w:spacing w:line="480" w:lineRule="auto"/>
        <w:ind w:firstLine="720"/>
        <w:jc w:val="both"/>
      </w:pPr>
      <w:r w:rsidRPr="008074B4">
        <w:t xml:space="preserve">The Federal Circuit should supply granular guidance on how § 101 applies to data-driven learning systems. The case law grew up around business-method and conventional software claims and does not map cleanly onto architectures that combine data preprocessing, model training, and hardware implementation. The concentration of risk in AI inventions shows that algorithmic patents stay especially exposed to characterization at </w:t>
      </w:r>
      <w:r w:rsidRPr="008074B4">
        <w:rPr>
          <w:i/>
          <w:iCs/>
        </w:rPr>
        <w:t>Alice</w:t>
      </w:r>
      <w:r w:rsidRPr="008074B4">
        <w:t xml:space="preserve"> step one, where the two-step framework leaves wide room for panel-level variation.</w:t>
      </w:r>
      <w:r w:rsidRPr="008074B4">
        <w:rPr>
          <w:rStyle w:val="FootnoteReference"/>
        </w:rPr>
        <w:footnoteReference w:id="85"/>
      </w:r>
      <w:r w:rsidRPr="008074B4">
        <w:t xml:space="preserve"> Courts should distinguish more explicitly between claims that merely invoke generic data analysis and claims that recite concrete technological pipelines for training and deploying models. There is a workable line. The court could separate claims directed to disembodied mathematical relationships from claims directed to applied computational systems that produce a concrete technological result, and could give content to step two by identifying the disclosures that supply an inventive concept in this setting, such as a specific architecture, a described training method, or a concrete improvement in how the system runs.</w:t>
      </w:r>
      <w:r w:rsidRPr="008074B4">
        <w:rPr>
          <w:rStyle w:val="FootnoteReference"/>
        </w:rPr>
        <w:footnoteReference w:id="86"/>
      </w:r>
      <w:r w:rsidRPr="008074B4">
        <w:t xml:space="preserve"> Clarity at this stage would curb excessive early invalidation while preserving the gatekeeping function of eligibility, all without an act of Congress.</w:t>
      </w:r>
    </w:p>
    <w:p w14:paraId="5D78C7B3" w14:textId="77777777" w:rsidR="008442FB" w:rsidRPr="008074B4" w:rsidRDefault="008442FB" w:rsidP="00D57A20">
      <w:pPr>
        <w:spacing w:before="200" w:after="100" w:line="480" w:lineRule="auto"/>
      </w:pPr>
      <w:r w:rsidRPr="008074B4">
        <w:rPr>
          <w:b/>
          <w:bCs/>
          <w:i/>
          <w:iCs/>
        </w:rPr>
        <w:lastRenderedPageBreak/>
        <w:t>2.  Rebalance § 101 against § 112</w:t>
      </w:r>
    </w:p>
    <w:p w14:paraId="7D9214DC" w14:textId="1069B2D9" w:rsidR="008442FB" w:rsidRPr="008074B4" w:rsidRDefault="008442FB" w:rsidP="00D57A20">
      <w:pPr>
        <w:spacing w:line="480" w:lineRule="auto"/>
        <w:ind w:firstLine="720"/>
        <w:jc w:val="both"/>
      </w:pPr>
      <w:r w:rsidRPr="008074B4">
        <w:t>Courts and Congress should rebalance § 101 against § 112. The uniformly low</w:t>
      </w:r>
      <w:r w:rsidR="00107CE1">
        <w:t xml:space="preserve"> and non-statistically significant</w:t>
      </w:r>
      <w:r w:rsidRPr="008074B4">
        <w:t xml:space="preserve"> § 112 invalidation rates in the data show that courts are not leaning on enablement or written description </w:t>
      </w:r>
      <w:r w:rsidR="00107CE1">
        <w:t xml:space="preserve">or indefiniteness </w:t>
      </w:r>
      <w:r w:rsidRPr="008074B4">
        <w:t>to police AI claim breadth, even though overbreadth is the underlying concern that abstraction doctrine is so often used to reach.</w:t>
      </w:r>
      <w:r w:rsidRPr="008074B4">
        <w:rPr>
          <w:rStyle w:val="FootnoteReference"/>
        </w:rPr>
        <w:footnoteReference w:id="87"/>
      </w:r>
      <w:r w:rsidRPr="008074B4">
        <w:t xml:space="preserve"> Several scholars argue that overbreadth in software and AI patents is better addressed through rigorous enablement analysis than through a threshold legal characterization of abstractness, because enablement asks the fact-intensive question that actually matters: whether the specification teaches a skilled reader how to make and use the full scope of what is claimed. A § 112-first approach in AI cases would reserve § 101 for truly preemptive or purely mathematical claims and resolve overbreadth through enablement and written description. Because the AI penalty is overwhelmingly an eligibility penalty and almost never a disclosure one, a shift toward § 112 would not merely relocate the same outcomes. It would force the overbreadth question to be litigated on a record about the technology rather than decided on the pleadings.</w:t>
      </w:r>
    </w:p>
    <w:p w14:paraId="68373F45" w14:textId="77777777" w:rsidR="008442FB" w:rsidRPr="008074B4" w:rsidRDefault="008442FB" w:rsidP="00D57A20">
      <w:pPr>
        <w:spacing w:before="200" w:after="100" w:line="480" w:lineRule="auto"/>
      </w:pPr>
      <w:r w:rsidRPr="008074B4">
        <w:rPr>
          <w:b/>
          <w:bCs/>
          <w:i/>
          <w:iCs/>
        </w:rPr>
        <w:t>3.  Eliminate the judicial exceptions and let §§ 102, 103, and 112 do the work</w:t>
      </w:r>
    </w:p>
    <w:p w14:paraId="2A8323F1" w14:textId="53945B7C" w:rsidR="008442FB" w:rsidRDefault="008442FB" w:rsidP="00D57A20">
      <w:pPr>
        <w:spacing w:line="480" w:lineRule="auto"/>
        <w:ind w:firstLine="720"/>
        <w:jc w:val="both"/>
      </w:pPr>
      <w:r w:rsidRPr="008074B4">
        <w:t>Most ambitiously, Congress should eliminate the judicial exceptions to § 101 and let the rest of the Patent Act do the screening work. The abstract-idea exception has proven unpredictable and difficult to administe</w:t>
      </w:r>
      <w:r w:rsidR="00107CE1">
        <w:t>r</w:t>
      </w:r>
      <w:r w:rsidRPr="008074B4">
        <w:t xml:space="preserve">. Section 101 contains no </w:t>
      </w:r>
      <w:r w:rsidR="00107CE1">
        <w:t xml:space="preserve">express </w:t>
      </w:r>
      <w:r w:rsidRPr="008074B4">
        <w:t>exclusion for abstract ideas. The exception is a judicial gloss whose historical foundations several scholars have questioned.</w:t>
      </w:r>
      <w:r w:rsidRPr="008074B4">
        <w:rPr>
          <w:rStyle w:val="FootnoteReference"/>
        </w:rPr>
        <w:footnoteReference w:id="88"/>
      </w:r>
      <w:r w:rsidRPr="008074B4">
        <w:t xml:space="preserve"> </w:t>
      </w:r>
      <w:r w:rsidRPr="008074B4">
        <w:lastRenderedPageBreak/>
        <w:t>Federal Circuit judges have said as much. Judge Plager called the abstract-idea inquiry “a definitional morass” that renders it “near impossible to know with any certainty whether the invention is or is not patent eligible.”</w:t>
      </w:r>
      <w:r w:rsidRPr="008074B4">
        <w:rPr>
          <w:rStyle w:val="FootnoteReference"/>
        </w:rPr>
        <w:footnoteReference w:id="89"/>
      </w:r>
      <w:r w:rsidRPr="008074B4">
        <w:t xml:space="preserve"> The full court divided evenly in </w:t>
      </w:r>
      <w:r w:rsidRPr="008074B4">
        <w:rPr>
          <w:i/>
          <w:iCs/>
        </w:rPr>
        <w:t>American Axle</w:t>
      </w:r>
      <w:r w:rsidRPr="008074B4">
        <w:t xml:space="preserve">, warning that its eligibility rulings had “become so diverse and unpredictable as to have a serious effect on the innovation incentive in all fields of technology,” and in </w:t>
      </w:r>
      <w:r w:rsidRPr="008074B4">
        <w:rPr>
          <w:i/>
          <w:iCs/>
        </w:rPr>
        <w:t>Athena Diagnostics</w:t>
      </w:r>
      <w:r w:rsidRPr="008074B4">
        <w:t xml:space="preserve"> eight separate opinions accompanied the denial of rehearing.</w:t>
      </w:r>
      <w:r w:rsidRPr="008074B4">
        <w:rPr>
          <w:rStyle w:val="FootnoteReference"/>
        </w:rPr>
        <w:footnoteReference w:id="90"/>
      </w:r>
      <w:r w:rsidRPr="008074B4">
        <w:t xml:space="preserve"> The Patent Eligibility Restoration Act would abrogate the judge-made exceptions and replace them with a closed list of statutory exclusions, and bar courts from smuggling novelty, obviousness, and disclosure considerations into the eligibility inquiry.</w:t>
      </w:r>
      <w:r w:rsidRPr="008074B4">
        <w:rPr>
          <w:rStyle w:val="FootnoteReference"/>
        </w:rPr>
        <w:footnoteReference w:id="91"/>
      </w:r>
      <w:r w:rsidRPr="008074B4">
        <w:t xml:space="preserve"> My findings supply the empirical case the debate has lacked. AI patents are not measurably weaker on novelty</w:t>
      </w:r>
      <w:r w:rsidR="00107CE1">
        <w:t xml:space="preserve"> or </w:t>
      </w:r>
      <w:r w:rsidRPr="008074B4">
        <w:t xml:space="preserve">disclosure, yet § 101 invalidates them at sharply higher rates. </w:t>
      </w:r>
      <w:r w:rsidR="00107CE1">
        <w:t xml:space="preserve">Further, for obviousness inquiries, it invalidates AI patents at significantly lower rates. </w:t>
      </w:r>
      <w:r w:rsidRPr="008074B4">
        <w:t>Removing the abstract-idea screen would not leave AI patents unexamined. It would push the inquiry onto § 102, § 103, and § 112, each of which asks a fact-bound question on a developed record instead of a threshold legal characterization on the pleadings.</w:t>
      </w:r>
      <w:r w:rsidRPr="008074B4">
        <w:rPr>
          <w:rStyle w:val="FootnoteReference"/>
        </w:rPr>
        <w:footnoteReference w:id="92"/>
      </w:r>
      <w:r w:rsidRPr="008074B4">
        <w:t xml:space="preserve"> The reform is not costless. It works only if courts are willing to make § 112 and § 103 carry real weight, which the low § 112 invalidation rates in my data suggest they have not yet been.</w:t>
      </w:r>
    </w:p>
    <w:p w14:paraId="4AA0776F" w14:textId="0A4B54A5" w:rsidR="00AC4ABF" w:rsidRDefault="00AC4ABF" w:rsidP="00D57A20">
      <w:pPr>
        <w:spacing w:line="480" w:lineRule="auto"/>
        <w:ind w:firstLine="720"/>
        <w:jc w:val="both"/>
        <w:rPr>
          <w:color w:val="000000"/>
        </w:rPr>
      </w:pPr>
      <w:r w:rsidRPr="00AC4ABF">
        <w:rPr>
          <w:color w:val="000000"/>
        </w:rPr>
        <w:t xml:space="preserve">The </w:t>
      </w:r>
      <w:r w:rsidR="006A03D1">
        <w:rPr>
          <w:color w:val="000000"/>
        </w:rPr>
        <w:t xml:space="preserve">statistically significant though less substantively </w:t>
      </w:r>
      <w:r w:rsidRPr="00AC4ABF">
        <w:rPr>
          <w:color w:val="000000"/>
        </w:rPr>
        <w:t>robust findings on section 103 have broader implications for the continuing debate over patent eligibility. Since</w:t>
      </w:r>
      <w:r w:rsidRPr="00AC4ABF">
        <w:rPr>
          <w:rStyle w:val="apple-converted-space"/>
          <w:color w:val="000000"/>
        </w:rPr>
        <w:t> </w:t>
      </w:r>
      <w:r w:rsidRPr="00AC4ABF">
        <w:rPr>
          <w:rStyle w:val="Emphasis"/>
          <w:color w:val="000000"/>
        </w:rPr>
        <w:t>Alice</w:t>
      </w:r>
      <w:r w:rsidRPr="00AC4ABF">
        <w:rPr>
          <w:color w:val="000000"/>
        </w:rPr>
        <w:t xml:space="preserve">, scholars have argued that § 101 has displaced the more technologically grounded inquiries of §§ 102, 103, and </w:t>
      </w:r>
      <w:r w:rsidRPr="00AC4ABF">
        <w:rPr>
          <w:color w:val="000000"/>
        </w:rPr>
        <w:lastRenderedPageBreak/>
        <w:t>112. The evidence here provides empirical support for that concern. Obviousness is the Patent Act</w:t>
      </w:r>
      <w:r>
        <w:rPr>
          <w:color w:val="000000"/>
        </w:rPr>
        <w:t>’</w:t>
      </w:r>
      <w:r w:rsidRPr="00AC4ABF">
        <w:rPr>
          <w:color w:val="000000"/>
        </w:rPr>
        <w:t>s principal mechanism for distinguishing genuine technological advances from routine combinations of existing knowledge. Unlike § 101, it requires courts to evaluate the state of the prior art, the level of ordinary skill, and the technical contribution of the claimed invention on a developed factual record. If AI patents are disproportionately resolved under § 101 instead of § 103, courts may be substituting a threshold characterization of abstraction for the substantive inquiry Congress designed to evaluate inventiveness. Whether that substitution produces better outcomes is ultimately a normative question beyond the scope of this Article. The empirical evidence, however, suggests that modern AI litigation is increasingly decided through eligibility rather than through obviousness.</w:t>
      </w:r>
      <w:r>
        <w:rPr>
          <w:color w:val="000000"/>
        </w:rPr>
        <w:t xml:space="preserve"> </w:t>
      </w:r>
    </w:p>
    <w:p w14:paraId="48D92C3D" w14:textId="32EEC2ED" w:rsidR="006A03D1" w:rsidRPr="006A03D1" w:rsidRDefault="006A03D1" w:rsidP="00D57A20">
      <w:pPr>
        <w:spacing w:line="480" w:lineRule="auto"/>
        <w:ind w:firstLine="720"/>
        <w:jc w:val="both"/>
      </w:pPr>
      <w:r w:rsidRPr="006A03D1">
        <w:rPr>
          <w:color w:val="000000"/>
        </w:rPr>
        <w:t>If the evidence reflects a doctrinal substitution from § 103 to § 101, the institution best positioned to respond is the Federal Circuit. Congress designed § 103 to distinguish genuine technological advances from routine combinations of prior art through a fact-intensive inquiry into the state of the art, the level of ordinary skill, and the claimed inventive contribution. Yet the data suggest that many AI patents never receive that analysis because they are instead resolved at the threshold under § 101. The Federal Circuit could recalibrate that balance without abandoning</w:t>
      </w:r>
      <w:r w:rsidRPr="006A03D1">
        <w:rPr>
          <w:rStyle w:val="apple-converted-space"/>
          <w:color w:val="000000"/>
        </w:rPr>
        <w:t> </w:t>
      </w:r>
      <w:r w:rsidRPr="006A03D1">
        <w:rPr>
          <w:rStyle w:val="Emphasis"/>
          <w:color w:val="000000"/>
        </w:rPr>
        <w:t>Alice</w:t>
      </w:r>
      <w:r w:rsidRPr="006A03D1">
        <w:rPr>
          <w:color w:val="000000"/>
        </w:rPr>
        <w:t xml:space="preserve">. </w:t>
      </w:r>
      <w:r w:rsidR="005E40A8">
        <w:rPr>
          <w:color w:val="000000"/>
        </w:rPr>
        <w:t xml:space="preserve"> </w:t>
      </w:r>
      <w:r w:rsidRPr="006A03D1">
        <w:rPr>
          <w:color w:val="000000"/>
        </w:rPr>
        <w:t>Courts could reserve eligibility for claims that truly seek to monopolize abstract ideas while directing closer questions about the technical significance of AI inventions toward the statutory inquiries of obviousness and disclosure. Such an approach would not weaken patent-quality review. Rather, it would ensure that AI patents are evaluated under the doctrinal provisions specifically designed to assess whether an invention represents a genuine technological advance. The result would be a patent system that screens AI inventions based less on categorical judgments about abstraction and more on the technical merits of the claimed innovation.</w:t>
      </w:r>
    </w:p>
    <w:p w14:paraId="0406A148" w14:textId="77777777" w:rsidR="008442FB" w:rsidRPr="008074B4" w:rsidRDefault="008442FB" w:rsidP="00D57A20">
      <w:pPr>
        <w:spacing w:before="200" w:after="100" w:line="480" w:lineRule="auto"/>
      </w:pPr>
      <w:r w:rsidRPr="008074B4">
        <w:rPr>
          <w:b/>
          <w:bCs/>
          <w:i/>
          <w:iCs/>
        </w:rPr>
        <w:lastRenderedPageBreak/>
        <w:t>4.  USPTO examination guidance tailored to AI</w:t>
      </w:r>
    </w:p>
    <w:p w14:paraId="0D65FAA3" w14:textId="7D86763D" w:rsidR="008442FB" w:rsidRPr="008074B4" w:rsidRDefault="008442FB" w:rsidP="00D57A20">
      <w:pPr>
        <w:spacing w:line="480" w:lineRule="auto"/>
        <w:ind w:firstLine="720"/>
        <w:jc w:val="both"/>
      </w:pPr>
      <w:r w:rsidRPr="008074B4">
        <w:t>The USPTO as the institution best positioned to act quickly should issue examination guidance tailored to AI. Because the Office already screens at examination, clearer guidance on AI eligibility, particularly around training methods and applied AI systems, could dampen downstream litigation volatility.</w:t>
      </w:r>
      <w:r w:rsidRPr="008074B4">
        <w:rPr>
          <w:rStyle w:val="FootnoteReference"/>
        </w:rPr>
        <w:footnoteReference w:id="93"/>
      </w:r>
      <w:r w:rsidRPr="008074B4">
        <w:t xml:space="preserve"> AI claims need more detail about how the AI operates and how it interacts with the rest of the invention. That detail both keeps the claim from reading as an abstract idea and helps the patentee survive a definiteness challenge. Where training data are used, the claims and specification should show how the data are used, identifying the algorithms, models, and techniques that develop the training data and how they contribute to the technical solution. The Office and the courts could state clearer expectations for what adequate disclosure of a machine-learning system requires, which would improve predictability for applicants while preserving the disclosure function of the patent.</w:t>
      </w:r>
    </w:p>
    <w:p w14:paraId="1C4CEA87" w14:textId="77777777" w:rsidR="008442FB" w:rsidRPr="008074B4" w:rsidRDefault="008442FB" w:rsidP="00D57A20">
      <w:pPr>
        <w:spacing w:before="200" w:after="100" w:line="480" w:lineRule="auto"/>
      </w:pPr>
      <w:r w:rsidRPr="008074B4">
        <w:rPr>
          <w:b/>
          <w:bCs/>
          <w:i/>
          <w:iCs/>
        </w:rPr>
        <w:t>5.  Procedural and doctrinal modernization at the infringement stage</w:t>
      </w:r>
    </w:p>
    <w:p w14:paraId="71D81459" w14:textId="629A2D1A" w:rsidR="00107CE1" w:rsidRDefault="008442FB" w:rsidP="00D57A20">
      <w:pPr>
        <w:spacing w:line="480" w:lineRule="auto"/>
        <w:ind w:firstLine="720"/>
        <w:jc w:val="both"/>
      </w:pPr>
      <w:r w:rsidRPr="008074B4">
        <w:t>The infringement stage needs procedural and doctrinal modernization. The difficulty parties face in proving infringement in AI cases reflects informational asymmetries around proprietary models. Traditional infringement adjudication assumes that accused functionality can be inspected and compared against the claim limitations, and that assumption strains against opaque or continuously updated machine-learning systems. Courts should consider structured early-disclosure protocols for AI cases, with staged production of model-architecture information, training-pipeline descriptions, and relevant source code under appropriately calibrated protective orders, and greater use of neutral technical experts in the most complex disputes.</w:t>
      </w:r>
      <w:r w:rsidRPr="008074B4">
        <w:rPr>
          <w:rStyle w:val="FootnoteReference"/>
        </w:rPr>
        <w:footnoteReference w:id="94"/>
      </w:r>
      <w:r w:rsidRPr="008074B4">
        <w:t xml:space="preserve"> Infringement </w:t>
      </w:r>
      <w:r w:rsidRPr="008074B4">
        <w:lastRenderedPageBreak/>
        <w:t xml:space="preserve">doctrine itself may need to adapt. Because some infringing activity is only momentary, the law will have to decide whether transient infringement counts at all, and divided and indirect infringement raise the harder version of the same problem when a model is built, sold, trained, and operated by different </w:t>
      </w:r>
      <w:r w:rsidR="002206F1">
        <w:t>parties</w:t>
      </w:r>
      <w:r w:rsidRPr="008074B4">
        <w:t>.</w:t>
      </w:r>
      <w:r w:rsidRPr="008074B4">
        <w:rPr>
          <w:rStyle w:val="FootnoteReference"/>
        </w:rPr>
        <w:footnoteReference w:id="95"/>
      </w:r>
      <w:r w:rsidRPr="008074B4">
        <w:t xml:space="preserve"> </w:t>
      </w:r>
    </w:p>
    <w:p w14:paraId="4DCDF012" w14:textId="794788B1" w:rsidR="008442FB" w:rsidRPr="008074B4" w:rsidRDefault="008442FB" w:rsidP="00D57A20">
      <w:pPr>
        <w:spacing w:line="480" w:lineRule="auto"/>
        <w:ind w:firstLine="720"/>
        <w:jc w:val="both"/>
      </w:pPr>
      <w:r w:rsidRPr="008074B4">
        <w:t>The litigation process will have to adapt as well. AI litigation threatens enormous discovery reaching the past and future operation of AI systems and the training sets used to build them</w:t>
      </w:r>
      <w:r w:rsidR="00107CE1">
        <w:t>. T</w:t>
      </w:r>
      <w:r w:rsidRPr="008074B4">
        <w:t>he history of electronic discovery offers a template for cost-shifting when one party is inundated with electronic material.</w:t>
      </w:r>
      <w:r w:rsidRPr="008074B4">
        <w:rPr>
          <w:rStyle w:val="FootnoteReference"/>
        </w:rPr>
        <w:footnoteReference w:id="96"/>
      </w:r>
      <w:r w:rsidRPr="008074B4">
        <w:t xml:space="preserve"> These are reasons for courts and, if needed, Congress to decide deliberately how the existing provisions apply to AI rather than leaving the questions to be answered case by case in the districts that happen to draw the cases.</w:t>
      </w:r>
    </w:p>
    <w:p w14:paraId="707FB0C3" w14:textId="77777777" w:rsidR="00B725F0" w:rsidRPr="008074B4" w:rsidRDefault="008442FB" w:rsidP="00D57A20">
      <w:pPr>
        <w:spacing w:line="480" w:lineRule="auto"/>
        <w:ind w:firstLine="720"/>
        <w:jc w:val="both"/>
      </w:pPr>
      <w:r w:rsidRPr="008074B4">
        <w:t>Underneath these reforms sits a deeper question about innovation policy. If AI patents face elevated § 101 risk even under narrow definitions of AI, current doctrine may be falling hardest on upstream, foundational technologies rather than downstream applications. The rise of AI is not a wholesale crisis for patent law but a calibration problem. The existing toolkit can handle AI inventions, but only if it is applied with closer attention to the informational structure of machine-learning systems, and the evidence developed in the study marks the institutional margins, the Federal Circuit, the USPTO, and Congress, where modest, targeted reform could do the most good.</w:t>
      </w:r>
    </w:p>
    <w:p w14:paraId="6DAD1AF4" w14:textId="77777777" w:rsidR="00B725F0" w:rsidRPr="008074B4" w:rsidRDefault="00B725F0" w:rsidP="00D57A20">
      <w:pPr>
        <w:spacing w:before="280" w:after="160" w:line="480" w:lineRule="auto"/>
        <w:jc w:val="center"/>
      </w:pPr>
      <w:r w:rsidRPr="008074B4">
        <w:rPr>
          <w:b/>
          <w:bCs/>
          <w:smallCaps/>
        </w:rPr>
        <w:t>Conclusion</w:t>
      </w:r>
    </w:p>
    <w:p w14:paraId="24EFF50F" w14:textId="41B8658A" w:rsidR="00B725F0" w:rsidRPr="008074B4" w:rsidRDefault="00B725F0" w:rsidP="00D57A20">
      <w:pPr>
        <w:spacing w:line="480" w:lineRule="auto"/>
        <w:ind w:firstLine="720"/>
        <w:jc w:val="both"/>
      </w:pPr>
      <w:r w:rsidRPr="008074B4">
        <w:t xml:space="preserve">This Article set out to answer an empirical question that had drawn a great deal of assertion and little evidence: do AI patents fare worse in district court than other inventions, and if so, why. </w:t>
      </w:r>
      <w:r w:rsidRPr="008074B4">
        <w:lastRenderedPageBreak/>
        <w:t>The answer is that they do, and that the why is more specific than the policy debate has assumed. AI patents are more likely to be invalidated and less likely to be found infringed than comparable non-AI patents, the effects are large and stable across definitions and thresholds, and they survive the comparison within software. The validity penalty is an eligibility penalty, concentrated in § 10</w:t>
      </w:r>
      <w:r w:rsidR="007875D6">
        <w:t>1</w:t>
      </w:r>
      <w:r w:rsidR="00546EB0">
        <w:t xml:space="preserve"> and to a lesser extent section 103</w:t>
      </w:r>
      <w:r w:rsidRPr="008074B4">
        <w:t>. The infringement penalty has a different source, the difficulty of observing and attributing the behavior of opaque, distributed systems, and it concentrates where that difficulty is greatest</w:t>
      </w:r>
      <w:r w:rsidR="00546EB0">
        <w:t>, particularly among non-software inventions.</w:t>
      </w:r>
    </w:p>
    <w:p w14:paraId="24990203" w14:textId="637DC482" w:rsidR="00B725F0" w:rsidRPr="008074B4" w:rsidRDefault="00B725F0" w:rsidP="00D57A20">
      <w:pPr>
        <w:spacing w:line="480" w:lineRule="auto"/>
        <w:ind w:firstLine="720"/>
        <w:jc w:val="both"/>
      </w:pPr>
      <w:r w:rsidRPr="008074B4">
        <w:t>Those findings do not dictate a single reform</w:t>
      </w:r>
      <w:r w:rsidR="00B33744">
        <w:t>.</w:t>
      </w:r>
      <w:r w:rsidRPr="008074B4">
        <w:t xml:space="preserve"> They make the case for clarifying how eligibility applies to machine-learning claims, for shifting the overbreadth inquiry toward the fact-based provisions that were built for it, and, for reconsidering whether the judge-made exceptions to § 101 should continue to do the work that §§ 102, 103, and 112 could do on a developed record. They also separate the eligibility problem from the infringement problem, which a single reform cannot solve together. AI litigation will only become more common, and the patent system will be answering these questions whether or not it does so deliberately. </w:t>
      </w:r>
    </w:p>
    <w:p w14:paraId="188ACE67" w14:textId="77777777" w:rsidR="00B725F0" w:rsidRPr="008074B4" w:rsidRDefault="00B725F0" w:rsidP="00D57A20">
      <w:pPr>
        <w:spacing w:line="480" w:lineRule="auto"/>
      </w:pPr>
    </w:p>
    <w:p w14:paraId="3AF58A76" w14:textId="77777777" w:rsidR="008074B4" w:rsidRPr="008074B4" w:rsidRDefault="008074B4" w:rsidP="00D57A20">
      <w:pPr>
        <w:spacing w:line="480" w:lineRule="auto"/>
      </w:pPr>
    </w:p>
    <w:sectPr w:rsidR="008074B4" w:rsidRPr="008074B4" w:rsidSect="00B725F0">
      <w:footerReference w:type="default" r:id="rId1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696B2A3" w14:textId="77777777" w:rsidR="00475C52" w:rsidRDefault="00475C52" w:rsidP="00B725F0">
      <w:r>
        <w:separator/>
      </w:r>
    </w:p>
  </w:endnote>
  <w:endnote w:type="continuationSeparator" w:id="0">
    <w:p w14:paraId="47140EFB" w14:textId="77777777" w:rsidR="00475C52" w:rsidRDefault="00475C52" w:rsidP="00B72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FD886D3" w14:textId="77777777" w:rsidR="00B725F0" w:rsidRDefault="00B725F0">
    <w:pPr>
      <w:jc w:val="center"/>
    </w:pPr>
    <w:r>
      <w:rPr>
        <w:sz w:val="20"/>
        <w:szCs w:val="20"/>
      </w:rPr>
      <w:fldChar w:fldCharType="begin"/>
    </w:r>
    <w:r>
      <w:rPr>
        <w:sz w:val="20"/>
        <w:szCs w:val="20"/>
      </w:rPr>
      <w:instrText>PAGE</w:instrText>
    </w:r>
    <w:r>
      <w:rPr>
        <w:sz w:val="20"/>
        <w:szCs w:val="20"/>
      </w:rPr>
      <w:fldChar w:fldCharType="separate"/>
    </w:r>
    <w:r>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52DE047" w14:textId="77777777" w:rsidR="00475C52" w:rsidRDefault="00475C52" w:rsidP="00B725F0">
      <w:r>
        <w:separator/>
      </w:r>
    </w:p>
  </w:footnote>
  <w:footnote w:type="continuationSeparator" w:id="0">
    <w:p w14:paraId="74715E9B" w14:textId="77777777" w:rsidR="00475C52" w:rsidRDefault="00475C52" w:rsidP="00B725F0">
      <w:r>
        <w:continuationSeparator/>
      </w:r>
    </w:p>
  </w:footnote>
  <w:footnote w:id="1">
    <w:p w14:paraId="10EC1F9D" w14:textId="50928F4E" w:rsidR="00F21243" w:rsidRPr="00F21243" w:rsidRDefault="00F21243">
      <w:pPr>
        <w:pStyle w:val="FootnoteText"/>
        <w:rPr>
          <w:iCs/>
        </w:rPr>
      </w:pPr>
      <w:r>
        <w:rPr>
          <w:rStyle w:val="FootnoteReference"/>
        </w:rPr>
        <w:footnoteRef/>
      </w:r>
      <w:r>
        <w:t xml:space="preserve"> I would like to thank participants at the Intellectual Property Scholars Conference, the AALS New Voices in IP conference, </w:t>
      </w:r>
      <w:r w:rsidR="00AF44A7">
        <w:t xml:space="preserve">PATCON, </w:t>
      </w:r>
      <w:r>
        <w:t xml:space="preserve">WIPIP and the NYU Engelberg Center’ Tri-State IP conference for their helpful comments on my paper. I would also like to thank research assistant Justin Hill and the editors and staff at </w:t>
      </w:r>
      <w:r>
        <w:rPr>
          <w:i/>
        </w:rPr>
        <w:t>Indiana Law Review</w:t>
      </w:r>
      <w:r w:rsidR="00D14EF0">
        <w:rPr>
          <w:iCs/>
        </w:rPr>
        <w:t xml:space="preserve"> including Abigail Weick, Jena Berger and ____[add names].</w:t>
      </w:r>
    </w:p>
  </w:footnote>
  <w:footnote w:id="2">
    <w:p w14:paraId="4D859629" w14:textId="77777777" w:rsidR="003F54C0" w:rsidRDefault="003F54C0" w:rsidP="003F54C0">
      <w:pPr>
        <w:pStyle w:val="FootnoteText"/>
      </w:pPr>
      <w:r>
        <w:rPr>
          <w:rStyle w:val="FootnoteReference"/>
        </w:rPr>
        <w:footnoteRef/>
      </w:r>
      <w:r>
        <w:rPr>
          <w:i/>
          <w:iCs/>
        </w:rPr>
        <w:t xml:space="preserve">See generally </w:t>
      </w:r>
      <w:r>
        <w:rPr>
          <w:smallCaps/>
        </w:rPr>
        <w:t>U.S. Pat. &amp; Trademark Off., Inventing AI: Tracing the Diffusion of Artificial Intelligence with U.S. Patents</w:t>
      </w:r>
      <w:r>
        <w:t xml:space="preserve"> (2020) [hereinafter </w:t>
      </w:r>
      <w:r>
        <w:rPr>
          <w:smallCaps/>
        </w:rPr>
        <w:t>Inventing AI</w:t>
      </w:r>
      <w:r>
        <w:t xml:space="preserve">], https://www.uspto.gov/sites/default/files/documents/OCE-DH-AI.pdf; Ian Bremmer, </w:t>
      </w:r>
      <w:r>
        <w:rPr>
          <w:i/>
          <w:iCs/>
        </w:rPr>
        <w:t>How the World Must Respond to the AI Revolution</w:t>
      </w:r>
      <w:r>
        <w:t xml:space="preserve">, </w:t>
      </w:r>
      <w:r>
        <w:rPr>
          <w:smallCaps/>
        </w:rPr>
        <w:t>Time</w:t>
      </w:r>
      <w:r>
        <w:t xml:space="preserve"> (May 31, 2023), https://time.com/6283716/world-must-respond-to-the-ai-revolution/; Klaus Schwab, </w:t>
      </w:r>
      <w:r>
        <w:rPr>
          <w:i/>
          <w:iCs/>
        </w:rPr>
        <w:t>The Fourth Industrial Revolution: What It Means, How to Respond</w:t>
      </w:r>
      <w:r>
        <w:t xml:space="preserve">, </w:t>
      </w:r>
      <w:r>
        <w:rPr>
          <w:smallCaps/>
        </w:rPr>
        <w:t>World Econ. F.</w:t>
      </w:r>
      <w:r>
        <w:t xml:space="preserve"> (Jan. 14, 2016), https://www.weforum.org/stories/2016/01/the-fourth-industrial-revolution-what-it-means-and-how-to-respond.</w:t>
      </w:r>
    </w:p>
  </w:footnote>
  <w:footnote w:id="3">
    <w:p w14:paraId="18DE91B7" w14:textId="77777777" w:rsidR="003F54C0" w:rsidRDefault="003F54C0" w:rsidP="003F54C0">
      <w:pPr>
        <w:pStyle w:val="FootnoteText"/>
      </w:pPr>
      <w:r>
        <w:rPr>
          <w:rStyle w:val="FootnoteReference"/>
        </w:rPr>
        <w:footnoteRef/>
      </w:r>
      <w:r>
        <w:rPr>
          <w:i/>
          <w:iCs/>
        </w:rPr>
        <w:t xml:space="preserve"> See</w:t>
      </w:r>
      <w:r>
        <w:t xml:space="preserve"> Patent Act of 1952, Pub. L. No. 82-593, 66 Stat. 792; Leahy-Smith America Invents Act, Pub. L. No. 112-29, 125 Stat. 284 (2011).</w:t>
      </w:r>
    </w:p>
  </w:footnote>
  <w:footnote w:id="4">
    <w:p w14:paraId="6535FA0C" w14:textId="77777777" w:rsidR="00D469B2" w:rsidRDefault="00D469B2" w:rsidP="00D469B2">
      <w:pPr>
        <w:pStyle w:val="FootnoteText"/>
      </w:pPr>
      <w:r>
        <w:rPr>
          <w:rStyle w:val="FootnoteReference"/>
        </w:rPr>
        <w:footnoteRef/>
      </w:r>
      <w:r>
        <w:t xml:space="preserve"> </w:t>
      </w:r>
      <w:r>
        <w:rPr>
          <w:i/>
          <w:iCs/>
        </w:rPr>
        <w:t>See, e.g.</w:t>
      </w:r>
      <w:r>
        <w:t xml:space="preserve">, James Bessen &amp; Michael J. Meurer, </w:t>
      </w:r>
      <w:r>
        <w:rPr>
          <w:smallCaps/>
        </w:rPr>
        <w:t>Patent Failure: How Judges, Bureaucrats, and Lawyers Put Innovators at Risk</w:t>
      </w:r>
      <w:r>
        <w:t xml:space="preserve"> (2008).</w:t>
      </w:r>
    </w:p>
  </w:footnote>
  <w:footnote w:id="5">
    <w:p w14:paraId="77E319DE" w14:textId="77777777" w:rsidR="003F54C0" w:rsidRDefault="003F54C0" w:rsidP="003F54C0">
      <w:pPr>
        <w:pStyle w:val="FootnoteText"/>
      </w:pPr>
      <w:r>
        <w:rPr>
          <w:rStyle w:val="FootnoteReference"/>
        </w:rPr>
        <w:footnoteRef/>
      </w:r>
      <w:r>
        <w:t xml:space="preserve"> Alice Corp. v. CLS Bank Int’l, 573 U.S. 208 (2014).</w:t>
      </w:r>
    </w:p>
  </w:footnote>
  <w:footnote w:id="6">
    <w:p w14:paraId="15E6AC3F" w14:textId="77777777" w:rsidR="00D469B2" w:rsidRDefault="00D469B2" w:rsidP="00D469B2">
      <w:pPr>
        <w:pStyle w:val="FootnoteText"/>
      </w:pPr>
      <w:r>
        <w:rPr>
          <w:rStyle w:val="FootnoteReference"/>
        </w:rPr>
        <w:footnoteRef/>
      </w:r>
      <w:r>
        <w:t>35 U.S.C. § 101.</w:t>
      </w:r>
    </w:p>
  </w:footnote>
  <w:footnote w:id="7">
    <w:p w14:paraId="5E64440C" w14:textId="77777777" w:rsidR="003F54C0" w:rsidRDefault="003F54C0" w:rsidP="003F54C0">
      <w:pPr>
        <w:pStyle w:val="FootnoteText"/>
      </w:pPr>
      <w:r>
        <w:rPr>
          <w:rStyle w:val="FootnoteReference"/>
        </w:rPr>
        <w:footnoteRef/>
      </w:r>
      <w:r>
        <w:t xml:space="preserve">Paul R. Gugliuzza, </w:t>
      </w:r>
      <w:r>
        <w:rPr>
          <w:i/>
          <w:iCs/>
        </w:rPr>
        <w:t>Quick Decisions in Patent Cases</w:t>
      </w:r>
      <w:r>
        <w:t xml:space="preserve">, 106 </w:t>
      </w:r>
      <w:r>
        <w:rPr>
          <w:smallCaps/>
        </w:rPr>
        <w:t>Geo. L.J.</w:t>
      </w:r>
      <w:r>
        <w:t xml:space="preserve"> 619, 645–55 (2018).</w:t>
      </w:r>
    </w:p>
  </w:footnote>
  <w:footnote w:id="8">
    <w:p w14:paraId="47935780" w14:textId="77777777" w:rsidR="003F54C0" w:rsidRDefault="003F54C0" w:rsidP="003F54C0">
      <w:pPr>
        <w:pStyle w:val="FootnoteText"/>
      </w:pPr>
      <w:r>
        <w:rPr>
          <w:rStyle w:val="FootnoteReference"/>
        </w:rPr>
        <w:footnoteRef/>
      </w:r>
      <w:r>
        <w:rPr>
          <w:i/>
          <w:iCs/>
        </w:rPr>
        <w:t xml:space="preserve"> See</w:t>
      </w:r>
      <w:r>
        <w:t xml:space="preserve"> sources cited </w:t>
      </w:r>
      <w:r>
        <w:rPr>
          <w:i/>
          <w:iCs/>
        </w:rPr>
        <w:t>infra</w:t>
      </w:r>
      <w:r>
        <w:t xml:space="preserve"> note 8.</w:t>
      </w:r>
    </w:p>
  </w:footnote>
  <w:footnote w:id="9">
    <w:p w14:paraId="7A90ACDA" w14:textId="76655D2D" w:rsidR="003F54C0" w:rsidRDefault="003F54C0" w:rsidP="003F54C0">
      <w:pPr>
        <w:pStyle w:val="FootnoteText"/>
      </w:pPr>
      <w:r>
        <w:rPr>
          <w:rStyle w:val="FootnoteReference"/>
        </w:rPr>
        <w:footnoteRef/>
      </w:r>
      <w:r>
        <w:rPr>
          <w:i/>
          <w:iCs/>
        </w:rPr>
        <w:t>See, e.g.</w:t>
      </w:r>
      <w:r>
        <w:t xml:space="preserve">, David O. Taylor, </w:t>
      </w:r>
      <w:r>
        <w:rPr>
          <w:i/>
          <w:iCs/>
        </w:rPr>
        <w:t>Confusing Patent Eligibility</w:t>
      </w:r>
      <w:r>
        <w:t xml:space="preserve">, 84 </w:t>
      </w:r>
      <w:r>
        <w:rPr>
          <w:smallCaps/>
        </w:rPr>
        <w:t>Tenn. L. Rev.</w:t>
      </w:r>
      <w:r>
        <w:t xml:space="preserve"> 157, 159–65 (2016); John R. Allison, Mark A. Lemley &amp; David L. Schwartz, </w:t>
      </w:r>
      <w:r>
        <w:rPr>
          <w:i/>
          <w:iCs/>
        </w:rPr>
        <w:t>Our Divided Patent System</w:t>
      </w:r>
      <w:r>
        <w:t xml:space="preserve">, 82 </w:t>
      </w:r>
      <w:r>
        <w:rPr>
          <w:smallCaps/>
        </w:rPr>
        <w:t>U. Chi. L. Rev.</w:t>
      </w:r>
      <w:r>
        <w:t xml:space="preserve"> 1073, 1110–20 (2015); Gugliuzza, </w:t>
      </w:r>
      <w:r>
        <w:rPr>
          <w:i/>
          <w:iCs/>
        </w:rPr>
        <w:t>supra</w:t>
      </w:r>
      <w:r>
        <w:t xml:space="preserve"> note 6, at 646–55</w:t>
      </w:r>
      <w:r w:rsidR="00506115">
        <w:t xml:space="preserve">; Amy Semet, </w:t>
      </w:r>
      <w:r w:rsidR="00506115" w:rsidRPr="00506115">
        <w:rPr>
          <w:i/>
          <w:iCs/>
        </w:rPr>
        <w:t>Comparison of Outcomes at the PTAB and District Courts</w:t>
      </w:r>
      <w:r w:rsidR="00506115">
        <w:t xml:space="preserve"> (forthcoming).</w:t>
      </w:r>
    </w:p>
  </w:footnote>
  <w:footnote w:id="10">
    <w:p w14:paraId="67AA5F56" w14:textId="77777777" w:rsidR="00F036A6" w:rsidRDefault="00F036A6" w:rsidP="00F036A6">
      <w:pPr>
        <w:pStyle w:val="FootnoteText"/>
      </w:pPr>
      <w:r>
        <w:rPr>
          <w:rStyle w:val="FootnoteReference"/>
        </w:rPr>
        <w:footnoteRef/>
      </w:r>
      <w:r>
        <w:t xml:space="preserve">Rai, </w:t>
      </w:r>
      <w:r>
        <w:rPr>
          <w:i/>
          <w:iCs/>
        </w:rPr>
        <w:t xml:space="preserve">supra </w:t>
      </w:r>
      <w:r>
        <w:t xml:space="preserve">note 15, at 2622–27; </w:t>
      </w:r>
      <w:r>
        <w:rPr>
          <w:i/>
          <w:iCs/>
        </w:rPr>
        <w:t xml:space="preserve">see also </w:t>
      </w:r>
      <w:r>
        <w:t xml:space="preserve">Cockburn, Henderson &amp; Stern, </w:t>
      </w:r>
      <w:r>
        <w:rPr>
          <w:i/>
          <w:iCs/>
        </w:rPr>
        <w:t xml:space="preserve">supra </w:t>
      </w:r>
      <w:r>
        <w:t>note 34, at 125.</w:t>
      </w:r>
    </w:p>
  </w:footnote>
  <w:footnote w:id="11">
    <w:p w14:paraId="1FD38F60" w14:textId="77777777" w:rsidR="009B0427" w:rsidRDefault="00000000">
      <w:pPr>
        <w:pStyle w:val="FootnoteText"/>
      </w:pPr>
      <w:r>
        <w:rPr>
          <w:rStyle w:val="FootnoteReference"/>
        </w:rPr>
        <w:footnoteRef/>
      </w:r>
      <w:r>
        <w:t xml:space="preserve">Alexander V. Giczy, Nicholas A. Pairolero &amp; Andrew A. Toole, </w:t>
      </w:r>
      <w:r>
        <w:rPr>
          <w:i/>
          <w:iCs/>
        </w:rPr>
        <w:t>Identifying Artificial Intelligence (AI) Invention: A Novel AI Patent Dataset</w:t>
      </w:r>
      <w:r>
        <w:t xml:space="preserve">, at 2 (U.S. Pat. &amp; Trademark Off., Econ. Working Paper No. 2021-02, 2021); </w:t>
      </w:r>
      <w:r>
        <w:rPr>
          <w:i/>
          <w:iCs/>
        </w:rPr>
        <w:t>see also</w:t>
      </w:r>
      <w:r>
        <w:t xml:space="preserve"> </w:t>
      </w:r>
      <w:r>
        <w:rPr>
          <w:smallCaps/>
        </w:rPr>
        <w:t>Org. for Econ. Co-operation &amp; Dev.</w:t>
      </w:r>
      <w:r>
        <w:t xml:space="preserve">, </w:t>
      </w:r>
      <w:r>
        <w:rPr>
          <w:i/>
          <w:iCs/>
        </w:rPr>
        <w:t>Explanatory Memorandum on the Updated OECD Definition of an AI System</w:t>
      </w:r>
      <w:r>
        <w:t xml:space="preserve"> (OECD Artificial Intelligence Papers No. 8, 2024), https://www.oecd.org/en/publications/explanatory-memorandum-on-the-updated-oecd-definition-of-an-ai-system_623da898-en.html.</w:t>
      </w:r>
    </w:p>
  </w:footnote>
  <w:footnote w:id="12">
    <w:p w14:paraId="55656D7F" w14:textId="731A710C" w:rsidR="00B73977" w:rsidRDefault="00B73977">
      <w:pPr>
        <w:pStyle w:val="FootnoteText"/>
      </w:pPr>
      <w:r>
        <w:rPr>
          <w:rStyle w:val="FootnoteReference"/>
        </w:rPr>
        <w:footnoteRef/>
      </w:r>
      <w:r>
        <w:t xml:space="preserve"> </w:t>
      </w:r>
    </w:p>
  </w:footnote>
  <w:footnote w:id="13">
    <w:p w14:paraId="48606A25" w14:textId="77777777" w:rsidR="00B73977" w:rsidRDefault="00B73977" w:rsidP="00B73977">
      <w:pPr>
        <w:pStyle w:val="FootnoteText"/>
      </w:pPr>
      <w:r>
        <w:rPr>
          <w:rStyle w:val="FootnoteReference"/>
        </w:rPr>
        <w:footnoteRef/>
      </w:r>
      <w:r>
        <w:rPr>
          <w:i/>
          <w:iCs/>
        </w:rPr>
        <w:t>See, e.g.</w:t>
      </w:r>
      <w:r>
        <w:t xml:space="preserve">, Kevin J. Hickey, </w:t>
      </w:r>
      <w:r>
        <w:rPr>
          <w:i/>
          <w:iCs/>
        </w:rPr>
        <w:t>Patent-Eligible Subject Matter Reform: Background and Issues for Congress</w:t>
      </w:r>
      <w:r>
        <w:t xml:space="preserve">, </w:t>
      </w:r>
      <w:r>
        <w:rPr>
          <w:smallCaps/>
        </w:rPr>
        <w:t>Cong. Rsch. Serv.</w:t>
      </w:r>
      <w:r>
        <w:t xml:space="preserve"> No. R45918, at 6–7, 16–21 (Mar. 31, 2025) (describing multiple § 101 reform bills, including versions of the Patent Eligibility Restoration Act).</w:t>
      </w:r>
    </w:p>
  </w:footnote>
  <w:footnote w:id="14">
    <w:p w14:paraId="5892EB7A" w14:textId="77777777" w:rsidR="00B725F0" w:rsidRDefault="00B725F0" w:rsidP="00B725F0">
      <w:pPr>
        <w:pStyle w:val="FootnoteText"/>
      </w:pPr>
      <w:r>
        <w:rPr>
          <w:rStyle w:val="FootnoteReference"/>
        </w:rPr>
        <w:footnoteRef/>
      </w:r>
      <w:r>
        <w:rPr>
          <w:i/>
          <w:iCs/>
        </w:rPr>
        <w:t>See</w:t>
      </w:r>
      <w:r>
        <w:t xml:space="preserve"> Diamond v. Diehr, 450 U.S. 175, 185 (1981).</w:t>
      </w:r>
    </w:p>
  </w:footnote>
  <w:footnote w:id="15">
    <w:p w14:paraId="176091DF" w14:textId="77777777" w:rsidR="00B725F0" w:rsidRDefault="00B725F0" w:rsidP="00B725F0">
      <w:pPr>
        <w:pStyle w:val="FootnoteText"/>
      </w:pPr>
      <w:r>
        <w:rPr>
          <w:rStyle w:val="FootnoteReference"/>
        </w:rPr>
        <w:footnoteRef/>
      </w:r>
      <w:r>
        <w:t>Alice Corp. v. CLS Bank Int’l, 573 U.S. 208, 217–18 (2014).</w:t>
      </w:r>
    </w:p>
  </w:footnote>
  <w:footnote w:id="16">
    <w:p w14:paraId="6EC8D6B9" w14:textId="77777777" w:rsidR="00B725F0" w:rsidRDefault="00B725F0" w:rsidP="00B725F0">
      <w:pPr>
        <w:pStyle w:val="FootnoteText"/>
      </w:pPr>
      <w:r>
        <w:rPr>
          <w:rStyle w:val="FootnoteReference"/>
        </w:rPr>
        <w:footnoteRef/>
      </w:r>
      <w:r>
        <w:rPr>
          <w:i/>
          <w:iCs/>
        </w:rPr>
        <w:t>Compare</w:t>
      </w:r>
      <w:r>
        <w:t xml:space="preserve"> Elec. Power Grp., LLC v. Alstom S.A., 830 F.3d 1350, 1353–56 (Fed. Cir. 2016), </w:t>
      </w:r>
      <w:r>
        <w:rPr>
          <w:i/>
          <w:iCs/>
        </w:rPr>
        <w:t>with</w:t>
      </w:r>
      <w:r>
        <w:t xml:space="preserve"> Enfish, LLC v. Microsoft Corp., 822 F.3d 1327, 1335–40 (Fed. Cir. 2016); </w:t>
      </w:r>
      <w:r>
        <w:rPr>
          <w:i/>
          <w:iCs/>
        </w:rPr>
        <w:t>see also</w:t>
      </w:r>
      <w:r>
        <w:t xml:space="preserve"> McRO, Inc. v. Bandai Namco Games Am. Inc., 837 F.3d 1299, 1313–16 (Fed. Cir. 2016); Finjan, Inc. v. Blue Coat Sys., Inc., 879 F.3d 1299, 1303–06 (Fed. Cir. 2018).</w:t>
      </w:r>
    </w:p>
  </w:footnote>
  <w:footnote w:id="17">
    <w:p w14:paraId="29E278AF" w14:textId="77777777" w:rsidR="00B725F0" w:rsidRDefault="00B725F0" w:rsidP="00B725F0">
      <w:pPr>
        <w:pStyle w:val="FootnoteText"/>
      </w:pPr>
      <w:r>
        <w:rPr>
          <w:rStyle w:val="FootnoteReference"/>
        </w:rPr>
        <w:footnoteRef/>
      </w:r>
      <w:r>
        <w:rPr>
          <w:i/>
          <w:iCs/>
        </w:rPr>
        <w:t>See, e.g.</w:t>
      </w:r>
      <w:r>
        <w:t xml:space="preserve">, Jay P. Kesan &amp; Runhua Wang, </w:t>
      </w:r>
      <w:r>
        <w:rPr>
          <w:i/>
          <w:iCs/>
        </w:rPr>
        <w:t>Eligible Subject Matter at the Patent Office: An Empirical Study of the Influence of Alice on Patent Examiners and Patent Applicants</w:t>
      </w:r>
      <w:r>
        <w:t xml:space="preserve">, 105 </w:t>
      </w:r>
      <w:r>
        <w:rPr>
          <w:smallCaps/>
        </w:rPr>
        <w:t>Minn. L. Rev.</w:t>
      </w:r>
      <w:r>
        <w:t xml:space="preserve"> 527, 568–76 (2020); Matthew Sipe, </w:t>
      </w:r>
      <w:r>
        <w:rPr>
          <w:i/>
          <w:iCs/>
        </w:rPr>
        <w:t>Patent Law 101: I Know It When I See It</w:t>
      </w:r>
      <w:r>
        <w:t xml:space="preserve">, 37 </w:t>
      </w:r>
      <w:r>
        <w:rPr>
          <w:smallCaps/>
        </w:rPr>
        <w:t>Harv. J.L. &amp; Tech.</w:t>
      </w:r>
      <w:r>
        <w:t xml:space="preserve"> 1, 4–8, 54–69 (2023); Arti K. Rai, </w:t>
      </w:r>
      <w:r>
        <w:rPr>
          <w:i/>
          <w:iCs/>
        </w:rPr>
        <w:t>Machine Learning at the Patent Office: Lessons for Patents and Administrative Law</w:t>
      </w:r>
      <w:r>
        <w:t xml:space="preserve">, 104 </w:t>
      </w:r>
      <w:r>
        <w:rPr>
          <w:smallCaps/>
        </w:rPr>
        <w:t>Iowa L. Rev.</w:t>
      </w:r>
      <w:r>
        <w:t xml:space="preserve"> 2617, 2622–27 (2019).</w:t>
      </w:r>
    </w:p>
  </w:footnote>
  <w:footnote w:id="18">
    <w:p w14:paraId="703CA69D" w14:textId="77777777" w:rsidR="00B725F0" w:rsidRDefault="00B725F0" w:rsidP="00B725F0">
      <w:pPr>
        <w:pStyle w:val="FootnoteText"/>
      </w:pPr>
      <w:r>
        <w:rPr>
          <w:rStyle w:val="FootnoteReference"/>
        </w:rPr>
        <w:footnoteRef/>
      </w:r>
      <w:r>
        <w:t>35 U.S.C. § 102(a)(1).</w:t>
      </w:r>
    </w:p>
  </w:footnote>
  <w:footnote w:id="19">
    <w:p w14:paraId="61D0DB74" w14:textId="77777777" w:rsidR="00B725F0" w:rsidRDefault="00B725F0" w:rsidP="00B725F0">
      <w:pPr>
        <w:pStyle w:val="FootnoteText"/>
      </w:pPr>
      <w:r>
        <w:rPr>
          <w:rStyle w:val="FootnoteReference"/>
        </w:rPr>
        <w:footnoteRef/>
      </w:r>
      <w:r>
        <w:t xml:space="preserve">35 U.S.C. § 103; </w:t>
      </w:r>
      <w:r>
        <w:rPr>
          <w:i/>
          <w:iCs/>
        </w:rPr>
        <w:t>see</w:t>
      </w:r>
      <w:r>
        <w:t xml:space="preserve"> Graham v. John Deere Co., 383 U.S. 1, 17–18 (1966).</w:t>
      </w:r>
    </w:p>
  </w:footnote>
  <w:footnote w:id="20">
    <w:p w14:paraId="0279A7C6" w14:textId="65C7DB74" w:rsidR="00B73977" w:rsidRDefault="00B73977" w:rsidP="00B73977">
      <w:pPr>
        <w:pStyle w:val="FootnoteText"/>
      </w:pPr>
      <w:r>
        <w:rPr>
          <w:rStyle w:val="FootnoteReference"/>
        </w:rPr>
        <w:footnoteRef/>
      </w:r>
      <w:r>
        <w:t>35 U.S.C. § 112(a)–(b)</w:t>
      </w:r>
      <w:r w:rsidR="005C0622">
        <w:t>.</w:t>
      </w:r>
    </w:p>
  </w:footnote>
  <w:footnote w:id="21">
    <w:p w14:paraId="73F0F19B" w14:textId="41C06A79" w:rsidR="005C0622" w:rsidRPr="005C0622" w:rsidRDefault="005C0622">
      <w:pPr>
        <w:pStyle w:val="FootnoteText"/>
        <w:rPr>
          <w:i/>
          <w:iCs/>
        </w:rPr>
      </w:pPr>
      <w:r>
        <w:rPr>
          <w:rStyle w:val="FootnoteReference"/>
        </w:rPr>
        <w:footnoteRef/>
      </w:r>
      <w:r>
        <w:t xml:space="preserve"> </w:t>
      </w:r>
      <w:r>
        <w:rPr>
          <w:i/>
          <w:iCs/>
        </w:rPr>
        <w:t>Id.</w:t>
      </w:r>
    </w:p>
  </w:footnote>
  <w:footnote w:id="22">
    <w:p w14:paraId="247FEC1A" w14:textId="77777777" w:rsidR="00B725F0" w:rsidRDefault="00B725F0" w:rsidP="00B725F0">
      <w:pPr>
        <w:pStyle w:val="FootnoteText"/>
      </w:pPr>
      <w:r>
        <w:rPr>
          <w:rStyle w:val="FootnoteReference"/>
        </w:rPr>
        <w:footnoteRef/>
      </w:r>
      <w:r>
        <w:t xml:space="preserve">35 U.S.C. § 112(a)–(b); </w:t>
      </w:r>
      <w:r>
        <w:rPr>
          <w:i/>
          <w:iCs/>
        </w:rPr>
        <w:t>see</w:t>
      </w:r>
      <w:r>
        <w:t xml:space="preserve"> W. Keith Robinson, </w:t>
      </w:r>
      <w:r>
        <w:rPr>
          <w:i/>
          <w:iCs/>
        </w:rPr>
        <w:t>Enabling Artificial Intelligence</w:t>
      </w:r>
      <w:r>
        <w:t xml:space="preserve">, 60 </w:t>
      </w:r>
      <w:r>
        <w:rPr>
          <w:smallCaps/>
        </w:rPr>
        <w:t>Hous. L. Rev.</w:t>
      </w:r>
      <w:r>
        <w:t xml:space="preserve"> 331 (2022).</w:t>
      </w:r>
    </w:p>
  </w:footnote>
  <w:footnote w:id="23">
    <w:p w14:paraId="4603BA4F" w14:textId="20526AC3" w:rsidR="005E403C" w:rsidRDefault="005E403C" w:rsidP="005C0622">
      <w:pPr>
        <w:pStyle w:val="FootnoteText"/>
      </w:pPr>
      <w:r>
        <w:rPr>
          <w:rStyle w:val="FootnoteReference"/>
        </w:rPr>
        <w:footnoteRef/>
      </w:r>
      <w:r>
        <w:t xml:space="preserve"> </w:t>
      </w:r>
      <w:r w:rsidR="005C0622">
        <w:t xml:space="preserve">35 U.S.C. § 271(a)-(c). </w:t>
      </w:r>
      <w:r>
        <w:t>A potential infringer can also sue for a declaratory judgement of non-infringement or invalidity, for example.</w:t>
      </w:r>
    </w:p>
  </w:footnote>
  <w:footnote w:id="24">
    <w:p w14:paraId="5A9157B1" w14:textId="77777777" w:rsidR="00B725F0" w:rsidRDefault="00B725F0" w:rsidP="00B725F0">
      <w:pPr>
        <w:pStyle w:val="FootnoteText"/>
      </w:pPr>
      <w:r>
        <w:rPr>
          <w:rStyle w:val="FootnoteReference"/>
        </w:rPr>
        <w:footnoteRef/>
      </w:r>
      <w:r>
        <w:t>35 U.S.C. § 311(a)–(b). Inter partes review lets a third party challenge an issued patent in a streamlined, expert forum.</w:t>
      </w:r>
    </w:p>
  </w:footnote>
  <w:footnote w:id="25">
    <w:p w14:paraId="14DE0EA0" w14:textId="77777777" w:rsidR="00626FBC" w:rsidRDefault="00626FBC">
      <w:pPr>
        <w:pStyle w:val="FootnoteText"/>
      </w:pPr>
      <w:r>
        <w:rPr>
          <w:rStyle w:val="FootnoteReference"/>
        </w:rPr>
        <w:footnoteRef/>
      </w:r>
      <w:r>
        <w:t xml:space="preserve"> The PTAB can only adjudicate § 101 issues in the context of more limited non inter partes review proceedings. </w:t>
      </w:r>
    </w:p>
  </w:footnote>
  <w:footnote w:id="26">
    <w:p w14:paraId="25E3C421" w14:textId="77777777" w:rsidR="00B725F0" w:rsidRDefault="00B725F0" w:rsidP="00B725F0">
      <w:pPr>
        <w:pStyle w:val="FootnoteText"/>
      </w:pPr>
      <w:r>
        <w:rPr>
          <w:rStyle w:val="FootnoteReference"/>
        </w:rPr>
        <w:footnoteRef/>
      </w:r>
      <w:r>
        <w:t xml:space="preserve">19 U.S.C. § 1337(a)(1)(B), (d)–(f). In 2024, for instance, Apple narrowly avoided an exclusion order in a dispute over the Apple Watch. </w:t>
      </w:r>
      <w:r>
        <w:rPr>
          <w:i/>
          <w:iCs/>
        </w:rPr>
        <w:t>See</w:t>
      </w:r>
      <w:r>
        <w:t xml:space="preserve"> Tripp Mickle, </w:t>
      </w:r>
      <w:r>
        <w:rPr>
          <w:i/>
          <w:iCs/>
        </w:rPr>
        <w:t>The Patent Fight That Could Take Apple Watches Off the Market</w:t>
      </w:r>
      <w:r>
        <w:t xml:space="preserve">, </w:t>
      </w:r>
      <w:r>
        <w:rPr>
          <w:smallCaps/>
        </w:rPr>
        <w:t>N.Y. Times</w:t>
      </w:r>
      <w:r>
        <w:t xml:space="preserve"> (Oct. 30, 2023), https://www.nytimes.com/2023/10/30/opinion/apple-watch-masimo.html.</w:t>
      </w:r>
    </w:p>
  </w:footnote>
  <w:footnote w:id="27">
    <w:p w14:paraId="32E4B806" w14:textId="77777777" w:rsidR="004018E4" w:rsidRDefault="004018E4" w:rsidP="004018E4">
      <w:pPr>
        <w:pStyle w:val="FootnoteText"/>
      </w:pPr>
      <w:r>
        <w:rPr>
          <w:rStyle w:val="FootnoteReference"/>
        </w:rPr>
        <w:footnoteRef/>
      </w:r>
      <w:r>
        <w:rPr>
          <w:smallCaps/>
        </w:rPr>
        <w:t>Stanford Univ. Inst. for Human-Centered A.I., Artificial Intelligence Index Report 2025</w:t>
      </w:r>
      <w:r>
        <w:t xml:space="preserve"> ch. 1 (2025); </w:t>
      </w:r>
      <w:r>
        <w:rPr>
          <w:i/>
          <w:iCs/>
        </w:rPr>
        <w:t>see also</w:t>
      </w:r>
      <w:r>
        <w:t xml:space="preserve"> </w:t>
      </w:r>
      <w:r>
        <w:rPr>
          <w:smallCaps/>
        </w:rPr>
        <w:t>Stanford Univ. Inst. for Human-Centered A.I., Artificial Intelligence Index Report 2026</w:t>
      </w:r>
      <w:r>
        <w:t xml:space="preserve"> ch. 1 (2026) (reporting China’s share of granted AI patents rising to roughly 74% through 2024 while the United States accounted for the majority of AI-patent forward citations).</w:t>
      </w:r>
    </w:p>
  </w:footnote>
  <w:footnote w:id="28">
    <w:p w14:paraId="0B748F08" w14:textId="77777777" w:rsidR="0056518F" w:rsidRDefault="0056518F" w:rsidP="0056518F">
      <w:pPr>
        <w:pStyle w:val="FootnoteText"/>
      </w:pPr>
      <w:r>
        <w:rPr>
          <w:rStyle w:val="FootnoteReference"/>
        </w:rPr>
        <w:footnoteRef/>
      </w:r>
      <w:r>
        <w:t xml:space="preserve">James Bessen &amp; Robert M. Hunt, </w:t>
      </w:r>
      <w:r>
        <w:rPr>
          <w:i/>
          <w:iCs/>
        </w:rPr>
        <w:t xml:space="preserve">An Empirical Look at Software Patents, </w:t>
      </w:r>
      <w:r>
        <w:t xml:space="preserve">16 </w:t>
      </w:r>
      <w:r>
        <w:rPr>
          <w:smallCaps/>
        </w:rPr>
        <w:t xml:space="preserve">J. Econ. &amp; Mgmt. Strategy </w:t>
      </w:r>
      <w:r>
        <w:t xml:space="preserve">157 (2007); John R. Allison, Mark A. Lemley &amp; David L. Schwartz, </w:t>
      </w:r>
      <w:r>
        <w:rPr>
          <w:i/>
          <w:iCs/>
        </w:rPr>
        <w:t xml:space="preserve">Our Divided Patent System, </w:t>
      </w:r>
      <w:r>
        <w:t xml:space="preserve">82 </w:t>
      </w:r>
      <w:r>
        <w:rPr>
          <w:smallCaps/>
        </w:rPr>
        <w:t xml:space="preserve">U. Chi. L. Rev. </w:t>
      </w:r>
      <w:r>
        <w:t xml:space="preserve">1073 (2015); </w:t>
      </w:r>
      <w:r>
        <w:rPr>
          <w:i/>
          <w:iCs/>
        </w:rPr>
        <w:t xml:space="preserve">see </w:t>
      </w:r>
      <w:r>
        <w:t xml:space="preserve">Stuart J.H. Graham &amp; Saurabh Vishnubhakat, </w:t>
      </w:r>
      <w:r>
        <w:rPr>
          <w:i/>
          <w:iCs/>
        </w:rPr>
        <w:t xml:space="preserve">Of Smart Phone Wars and Software Patents, </w:t>
      </w:r>
      <w:r>
        <w:t xml:space="preserve">27 </w:t>
      </w:r>
      <w:r>
        <w:rPr>
          <w:smallCaps/>
        </w:rPr>
        <w:t xml:space="preserve">J. Econ. Persp. </w:t>
      </w:r>
      <w:r>
        <w:t>67 (2013).</w:t>
      </w:r>
    </w:p>
  </w:footnote>
  <w:footnote w:id="29">
    <w:p w14:paraId="52D6121E" w14:textId="77777777" w:rsidR="0037308B" w:rsidRDefault="0037308B" w:rsidP="0037308B">
      <w:pPr>
        <w:pStyle w:val="FootnoteText"/>
      </w:pPr>
      <w:r>
        <w:rPr>
          <w:rStyle w:val="FootnoteReference"/>
        </w:rPr>
        <w:footnoteRef/>
      </w:r>
      <w:r>
        <w:rPr>
          <w:i/>
          <w:iCs/>
        </w:rPr>
        <w:t xml:space="preserve">See </w:t>
      </w:r>
      <w:r>
        <w:t xml:space="preserve">Dan L. Burk &amp; Mark A. Lemley, </w:t>
      </w:r>
      <w:r>
        <w:rPr>
          <w:i/>
          <w:iCs/>
        </w:rPr>
        <w:t xml:space="preserve">Is Patent Law Technology-Specific?, </w:t>
      </w:r>
      <w:r>
        <w:t xml:space="preserve">17 </w:t>
      </w:r>
      <w:r>
        <w:rPr>
          <w:smallCaps/>
        </w:rPr>
        <w:t xml:space="preserve">Berkeley Tech. L.J. </w:t>
      </w:r>
      <w:r>
        <w:t>1155 (2002) (showing that facially neutral patent doctrines operate differently across technologies).</w:t>
      </w:r>
    </w:p>
  </w:footnote>
  <w:footnote w:id="30">
    <w:p w14:paraId="119FD903" w14:textId="77777777" w:rsidR="0056518F" w:rsidRDefault="0056518F" w:rsidP="0056518F">
      <w:pPr>
        <w:pStyle w:val="FootnoteText"/>
      </w:pPr>
      <w:r>
        <w:rPr>
          <w:rStyle w:val="FootnoteReference"/>
        </w:rPr>
        <w:footnoteRef/>
      </w:r>
      <w:r>
        <w:rPr>
          <w:i/>
          <w:iCs/>
        </w:rPr>
        <w:t xml:space="preserve">See </w:t>
      </w:r>
      <w:r>
        <w:t>Markman v. Westview Instruments, Inc., 517 U.S. 370, 373 (1996).</w:t>
      </w:r>
    </w:p>
  </w:footnote>
  <w:footnote w:id="31">
    <w:p w14:paraId="3C54F6EC" w14:textId="77777777" w:rsidR="0056518F" w:rsidRDefault="0056518F" w:rsidP="0056518F">
      <w:pPr>
        <w:pStyle w:val="FootnoteText"/>
      </w:pPr>
      <w:r>
        <w:rPr>
          <w:rStyle w:val="FootnoteReference"/>
        </w:rPr>
        <w:footnoteRef/>
      </w:r>
      <w:r>
        <w:t xml:space="preserve">Halliburton Oil Well Cementing Co. v. Walker, 329 U.S. 1, 8–9 (1946); Williamson v. Citrix Online, LLC, 792 F.3d 1339, 1349 (Fed. Cir. 2015) (en banc); </w:t>
      </w:r>
      <w:r>
        <w:rPr>
          <w:i/>
          <w:iCs/>
        </w:rPr>
        <w:t xml:space="preserve">see </w:t>
      </w:r>
      <w:r>
        <w:t xml:space="preserve">Mark A. Lemley, </w:t>
      </w:r>
      <w:r>
        <w:rPr>
          <w:i/>
          <w:iCs/>
        </w:rPr>
        <w:t xml:space="preserve">Software Patents and the Return of Functional Claiming, </w:t>
      </w:r>
      <w:r>
        <w:t xml:space="preserve">2013 </w:t>
      </w:r>
      <w:r>
        <w:rPr>
          <w:smallCaps/>
        </w:rPr>
        <w:t xml:space="preserve">Wis. L. Rev. </w:t>
      </w:r>
      <w:r>
        <w:t>905.</w:t>
      </w:r>
    </w:p>
  </w:footnote>
  <w:footnote w:id="32">
    <w:p w14:paraId="32B83EE1" w14:textId="16C98E43" w:rsidR="005C0622" w:rsidRDefault="005C0622">
      <w:pPr>
        <w:pStyle w:val="FootnoteText"/>
      </w:pPr>
      <w:r>
        <w:rPr>
          <w:rStyle w:val="FootnoteReference"/>
        </w:rPr>
        <w:footnoteRef/>
      </w:r>
      <w:r>
        <w:t xml:space="preserve"> 35 U.S.C. §112(a).</w:t>
      </w:r>
    </w:p>
  </w:footnote>
  <w:footnote w:id="33">
    <w:p w14:paraId="26817619" w14:textId="1EBFC46E" w:rsidR="0048317C" w:rsidRDefault="0048317C" w:rsidP="0048317C">
      <w:pPr>
        <w:pStyle w:val="FootnoteText"/>
      </w:pPr>
      <w:r>
        <w:rPr>
          <w:rStyle w:val="FootnoteReference"/>
        </w:rPr>
        <w:footnoteRef/>
      </w:r>
      <w:r>
        <w:rPr>
          <w:i/>
          <w:iCs/>
        </w:rPr>
        <w:t xml:space="preserve">See </w:t>
      </w:r>
      <w:r>
        <w:t xml:space="preserve">Ebrahim, </w:t>
      </w:r>
      <w:r>
        <w:rPr>
          <w:i/>
          <w:iCs/>
        </w:rPr>
        <w:t xml:space="preserve">supra </w:t>
      </w:r>
      <w:r>
        <w:t xml:space="preserve">note 27, at 160–75; Robinson, </w:t>
      </w:r>
      <w:r>
        <w:rPr>
          <w:i/>
          <w:iCs/>
        </w:rPr>
        <w:t xml:space="preserve">supra </w:t>
      </w:r>
      <w:r>
        <w:t xml:space="preserve">note 18, at 350–62; Rai, </w:t>
      </w:r>
      <w:r>
        <w:rPr>
          <w:i/>
          <w:iCs/>
        </w:rPr>
        <w:t xml:space="preserve">supra </w:t>
      </w:r>
      <w:r>
        <w:t>note 15, at 2622–27.</w:t>
      </w:r>
    </w:p>
  </w:footnote>
  <w:footnote w:id="34">
    <w:p w14:paraId="2291835E" w14:textId="77777777" w:rsidR="0056518F" w:rsidRDefault="0056518F" w:rsidP="0056518F">
      <w:pPr>
        <w:pStyle w:val="FootnoteText"/>
      </w:pPr>
      <w:r>
        <w:rPr>
          <w:rStyle w:val="FootnoteReference"/>
        </w:rPr>
        <w:footnoteRef/>
      </w:r>
      <w:r>
        <w:t xml:space="preserve">Arti K. Rai, </w:t>
      </w:r>
      <w:r>
        <w:rPr>
          <w:i/>
          <w:iCs/>
        </w:rPr>
        <w:t xml:space="preserve">Machine Learning at the Patent Office: Lessons for Patents and Administrative Law, </w:t>
      </w:r>
      <w:r>
        <w:t xml:space="preserve">104 </w:t>
      </w:r>
      <w:r>
        <w:rPr>
          <w:smallCaps/>
        </w:rPr>
        <w:t xml:space="preserve">Iowa L. Rev. </w:t>
      </w:r>
      <w:r>
        <w:t xml:space="preserve">2617, 2622–27 (2019); Tabrez Y. Ebrahim, </w:t>
      </w:r>
      <w:r>
        <w:rPr>
          <w:i/>
          <w:iCs/>
        </w:rPr>
        <w:t xml:space="preserve">Artificial Intelligence Inventions &amp; Patent Disclosure, </w:t>
      </w:r>
      <w:r>
        <w:t xml:space="preserve">125 </w:t>
      </w:r>
      <w:r>
        <w:rPr>
          <w:smallCaps/>
        </w:rPr>
        <w:t xml:space="preserve">Penn St. L. Rev. </w:t>
      </w:r>
      <w:r>
        <w:t xml:space="preserve">147 (2020); W. Keith Robinson, </w:t>
      </w:r>
      <w:r>
        <w:rPr>
          <w:i/>
          <w:iCs/>
        </w:rPr>
        <w:t xml:space="preserve">Enabling Artificial Intelligence, </w:t>
      </w:r>
      <w:r>
        <w:t xml:space="preserve">60 </w:t>
      </w:r>
      <w:r>
        <w:rPr>
          <w:smallCaps/>
        </w:rPr>
        <w:t xml:space="preserve">Hous. L. Rev. </w:t>
      </w:r>
      <w:r>
        <w:t>331 (2022).</w:t>
      </w:r>
    </w:p>
  </w:footnote>
  <w:footnote w:id="35">
    <w:p w14:paraId="406700DC" w14:textId="77777777" w:rsidR="0056518F" w:rsidRDefault="0056518F" w:rsidP="0056518F">
      <w:pPr>
        <w:pStyle w:val="FootnoteText"/>
      </w:pPr>
      <w:r>
        <w:rPr>
          <w:rStyle w:val="FootnoteReference"/>
        </w:rPr>
        <w:footnoteRef/>
      </w:r>
      <w:r>
        <w:t xml:space="preserve">Amgen Inc. v. Sanofi, 598 U.S. 594, 610–15 (2023); </w:t>
      </w:r>
      <w:r>
        <w:rPr>
          <w:i/>
          <w:iCs/>
        </w:rPr>
        <w:t xml:space="preserve">see </w:t>
      </w:r>
      <w:r>
        <w:t xml:space="preserve">Dmitry Karshtedt, Mark A. Lemley &amp; Sean B. Seymore, </w:t>
      </w:r>
      <w:r>
        <w:rPr>
          <w:i/>
          <w:iCs/>
        </w:rPr>
        <w:t xml:space="preserve">The Death of the Genus Claim, </w:t>
      </w:r>
      <w:r>
        <w:t xml:space="preserve">35 </w:t>
      </w:r>
      <w:r>
        <w:rPr>
          <w:smallCaps/>
        </w:rPr>
        <w:t xml:space="preserve">Harv. J.L. &amp; Tech. </w:t>
      </w:r>
      <w:r>
        <w:t>1 (2021).</w:t>
      </w:r>
    </w:p>
  </w:footnote>
  <w:footnote w:id="36">
    <w:p w14:paraId="4A98DE33" w14:textId="77777777" w:rsidR="0056518F" w:rsidRDefault="0056518F" w:rsidP="0056518F">
      <w:pPr>
        <w:pStyle w:val="FootnoteText"/>
      </w:pPr>
      <w:r>
        <w:rPr>
          <w:rStyle w:val="FootnoteReference"/>
        </w:rPr>
        <w:footnoteRef/>
      </w:r>
      <w:r>
        <w:t xml:space="preserve">Jeanne C. Fromer, </w:t>
      </w:r>
      <w:r>
        <w:rPr>
          <w:i/>
          <w:iCs/>
        </w:rPr>
        <w:t xml:space="preserve">Machines as the New Oompa-Loompas: Trade Secrecy, the Cloud, Machine Learning, and Automation, </w:t>
      </w:r>
      <w:r>
        <w:t xml:space="preserve">94 </w:t>
      </w:r>
      <w:r>
        <w:rPr>
          <w:smallCaps/>
        </w:rPr>
        <w:t xml:space="preserve">N.Y.U. L. Rev. </w:t>
      </w:r>
      <w:r>
        <w:t xml:space="preserve">706 (2019); </w:t>
      </w:r>
      <w:r>
        <w:rPr>
          <w:i/>
          <w:iCs/>
        </w:rPr>
        <w:t xml:space="preserve">see </w:t>
      </w:r>
      <w:r>
        <w:t xml:space="preserve">W. Nicholson Price II, </w:t>
      </w:r>
      <w:r>
        <w:rPr>
          <w:i/>
          <w:iCs/>
        </w:rPr>
        <w:t xml:space="preserve">Black-Box Medicine, </w:t>
      </w:r>
      <w:r>
        <w:t xml:space="preserve">28 </w:t>
      </w:r>
      <w:r>
        <w:rPr>
          <w:smallCaps/>
        </w:rPr>
        <w:t xml:space="preserve">Harv. J.L. &amp; Tech. </w:t>
      </w:r>
      <w:r>
        <w:t>419 (2015).</w:t>
      </w:r>
    </w:p>
  </w:footnote>
  <w:footnote w:id="37">
    <w:p w14:paraId="6591220B" w14:textId="77777777" w:rsidR="0056518F" w:rsidRDefault="0056518F" w:rsidP="0056518F">
      <w:pPr>
        <w:pStyle w:val="FootnoteText"/>
      </w:pPr>
      <w:r>
        <w:rPr>
          <w:rStyle w:val="FootnoteReference"/>
        </w:rPr>
        <w:footnoteRef/>
      </w:r>
      <w:r>
        <w:t xml:space="preserve">Alice, 573 U.S. at 221–26; Elec. Power Grp., 830 F.3d at 1353–56; </w:t>
      </w:r>
      <w:r>
        <w:rPr>
          <w:i/>
          <w:iCs/>
        </w:rPr>
        <w:t xml:space="preserve">see </w:t>
      </w:r>
      <w:r>
        <w:t xml:space="preserve">Jay P. Kesan &amp; Runhua Wang, </w:t>
      </w:r>
      <w:r>
        <w:rPr>
          <w:i/>
          <w:iCs/>
        </w:rPr>
        <w:t xml:space="preserve">Eligible Subject Matter at the Patent Office: An Empirical Study of the Influence of Alice on Patent Examiners and Patent Applicants, </w:t>
      </w:r>
      <w:r>
        <w:t xml:space="preserve">105 </w:t>
      </w:r>
      <w:r>
        <w:rPr>
          <w:smallCaps/>
        </w:rPr>
        <w:t xml:space="preserve">Minn. L. Rev. </w:t>
      </w:r>
      <w:r>
        <w:t xml:space="preserve">527 (2020); Paul R. Gugliuzza, </w:t>
      </w:r>
      <w:r>
        <w:rPr>
          <w:i/>
          <w:iCs/>
        </w:rPr>
        <w:t xml:space="preserve">Quick Decisions in Patent Cases, </w:t>
      </w:r>
      <w:r>
        <w:t xml:space="preserve">106 </w:t>
      </w:r>
      <w:r>
        <w:rPr>
          <w:smallCaps/>
        </w:rPr>
        <w:t xml:space="preserve">Geo. L.J. </w:t>
      </w:r>
      <w:r>
        <w:t>619 (2018).</w:t>
      </w:r>
    </w:p>
  </w:footnote>
  <w:footnote w:id="38">
    <w:p w14:paraId="0BD3DFD5" w14:textId="77777777" w:rsidR="0056518F" w:rsidRDefault="0056518F" w:rsidP="0056518F">
      <w:pPr>
        <w:pStyle w:val="FootnoteText"/>
      </w:pPr>
      <w:r>
        <w:rPr>
          <w:rStyle w:val="FootnoteReference"/>
        </w:rPr>
        <w:footnoteRef/>
      </w:r>
      <w:r>
        <w:t>2024 Guidance Update on Patent Subject Matter Eligibility, Including on Artificial Intelligence, 89 Fed. Reg. 58,128 (July 17, 2024).</w:t>
      </w:r>
    </w:p>
  </w:footnote>
  <w:footnote w:id="39">
    <w:p w14:paraId="5A3EAE11" w14:textId="77777777" w:rsidR="0056518F" w:rsidRDefault="0056518F" w:rsidP="0056518F">
      <w:pPr>
        <w:pStyle w:val="FootnoteText"/>
      </w:pPr>
      <w:r>
        <w:rPr>
          <w:rStyle w:val="FootnoteReference"/>
        </w:rPr>
        <w:footnoteRef/>
      </w:r>
      <w:r>
        <w:t xml:space="preserve">Thaler v. Vidal, 43 F.4th 1207, 1213 (Fed. Cir. 2022); </w:t>
      </w:r>
      <w:r>
        <w:rPr>
          <w:i/>
          <w:iCs/>
        </w:rPr>
        <w:t xml:space="preserve">see </w:t>
      </w:r>
      <w:r>
        <w:t xml:space="preserve">Ryan Abbott, </w:t>
      </w:r>
      <w:r>
        <w:rPr>
          <w:i/>
          <w:iCs/>
        </w:rPr>
        <w:t xml:space="preserve">I Think, Therefore I Invent: Creative Computers and the Future of Patent Law, </w:t>
      </w:r>
      <w:r>
        <w:t xml:space="preserve">57 </w:t>
      </w:r>
      <w:r>
        <w:rPr>
          <w:smallCaps/>
        </w:rPr>
        <w:t xml:space="preserve">B.C. L. Rev. </w:t>
      </w:r>
      <w:r>
        <w:t>1079 (2016).</w:t>
      </w:r>
    </w:p>
  </w:footnote>
  <w:footnote w:id="40">
    <w:p w14:paraId="31A8AB27" w14:textId="77777777" w:rsidR="0056518F" w:rsidRDefault="0056518F" w:rsidP="0056518F">
      <w:pPr>
        <w:pStyle w:val="FootnoteText"/>
      </w:pPr>
      <w:r>
        <w:rPr>
          <w:rStyle w:val="FootnoteReference"/>
        </w:rPr>
        <w:footnoteRef/>
      </w:r>
      <w:r>
        <w:rPr>
          <w:i/>
          <w:iCs/>
        </w:rPr>
        <w:t xml:space="preserve">See </w:t>
      </w:r>
      <w:r>
        <w:t xml:space="preserve">Iain M. Cockburn, Rebecca Henderson &amp; Scott Stern, </w:t>
      </w:r>
      <w:r>
        <w:rPr>
          <w:i/>
          <w:iCs/>
        </w:rPr>
        <w:t xml:space="preserve">The Impact of Artificial Intelligence on Innovation, in </w:t>
      </w:r>
      <w:r>
        <w:rPr>
          <w:smallCaps/>
        </w:rPr>
        <w:t xml:space="preserve">The Economics of Artificial Intelligence: An Agenda </w:t>
      </w:r>
      <w:r>
        <w:t>115, 115–18 (Ajay Agrawal, Joshua Gans &amp; Avi Goldfarb eds., 2019).</w:t>
      </w:r>
    </w:p>
  </w:footnote>
  <w:footnote w:id="41">
    <w:p w14:paraId="2EBABD01" w14:textId="77777777" w:rsidR="0056518F" w:rsidRDefault="0056518F" w:rsidP="0056518F">
      <w:pPr>
        <w:pStyle w:val="FootnoteText"/>
      </w:pPr>
      <w:r>
        <w:rPr>
          <w:rStyle w:val="FootnoteReference"/>
        </w:rPr>
        <w:footnoteRef/>
      </w:r>
      <w:r>
        <w:t xml:space="preserve">Ryan Abbott, </w:t>
      </w:r>
      <w:r>
        <w:rPr>
          <w:i/>
          <w:iCs/>
        </w:rPr>
        <w:t xml:space="preserve">Everything Is Obvious, </w:t>
      </w:r>
      <w:r>
        <w:t xml:space="preserve">66 </w:t>
      </w:r>
      <w:r>
        <w:rPr>
          <w:smallCaps/>
        </w:rPr>
        <w:t xml:space="preserve">UCLA L. Rev. </w:t>
      </w:r>
      <w:r>
        <w:t xml:space="preserve">2 (2019); </w:t>
      </w:r>
      <w:r>
        <w:rPr>
          <w:i/>
          <w:iCs/>
        </w:rPr>
        <w:t xml:space="preserve">see </w:t>
      </w:r>
      <w:r>
        <w:t>KSR Int’l Co. v. Teleflex Inc., 550 U.S. 398, 415–21 (2007).</w:t>
      </w:r>
    </w:p>
  </w:footnote>
  <w:footnote w:id="42">
    <w:p w14:paraId="4CF18DEE" w14:textId="77777777" w:rsidR="0056518F" w:rsidRDefault="0056518F" w:rsidP="0056518F">
      <w:pPr>
        <w:pStyle w:val="FootnoteText"/>
      </w:pPr>
      <w:r>
        <w:rPr>
          <w:rStyle w:val="FootnoteReference"/>
        </w:rPr>
        <w:footnoteRef/>
      </w:r>
      <w:r>
        <w:rPr>
          <w:i/>
          <w:iCs/>
        </w:rPr>
        <w:t xml:space="preserve">Cf. </w:t>
      </w:r>
      <w:r>
        <w:t xml:space="preserve">Alexander V. Giczy, Nicholas A. Pairolero &amp; Andrew A. Toole, </w:t>
      </w:r>
      <w:r>
        <w:rPr>
          <w:i/>
          <w:iCs/>
        </w:rPr>
        <w:t xml:space="preserve">Identifying Artificial Intelligence (AI) Invention: A Novel AI Patent Dataset </w:t>
      </w:r>
      <w:r>
        <w:t>(USPTO Econ., Working Paper No. 2021-02, 2021) (distinguishing eight component AI technologies).</w:t>
      </w:r>
    </w:p>
  </w:footnote>
  <w:footnote w:id="43">
    <w:p w14:paraId="1F2B3A81" w14:textId="77777777" w:rsidR="00C268E5" w:rsidRDefault="00C268E5">
      <w:pPr>
        <w:pStyle w:val="FootnoteText"/>
      </w:pPr>
      <w:r>
        <w:rPr>
          <w:rStyle w:val="FootnoteReference"/>
        </w:rPr>
        <w:footnoteRef/>
      </w:r>
      <w:r>
        <w:t xml:space="preserve"> In a separate project, I created the Patent Litigation Database, to be available on Harvard dataverse upon publication of my article. </w:t>
      </w:r>
      <w:r w:rsidRPr="00952C55">
        <w:rPr>
          <w:i/>
          <w:iCs/>
        </w:rPr>
        <w:t xml:space="preserve">See </w:t>
      </w:r>
      <w:r>
        <w:t xml:space="preserve">Amy Semet, Patent Litigation Database (forthcoming). </w:t>
      </w:r>
      <w:r w:rsidR="00E20C1E">
        <w:t xml:space="preserve">I provide more detail on how I constructed my database. </w:t>
      </w:r>
    </w:p>
  </w:footnote>
  <w:footnote w:id="44">
    <w:p w14:paraId="58701FCF" w14:textId="6F694D6B" w:rsidR="00B725F0" w:rsidRDefault="00B725F0" w:rsidP="00B725F0">
      <w:pPr>
        <w:pStyle w:val="FootnoteText"/>
      </w:pPr>
      <w:r>
        <w:rPr>
          <w:rStyle w:val="FootnoteReference"/>
        </w:rPr>
        <w:footnoteRef/>
      </w:r>
      <w:r w:rsidR="00C268E5">
        <w:t>I reviewed my results using Lex Machina, Unified Patents, the USPTO Docket Reports Litigation Database, and the Stanford NPE Litigation Database, among other sources.</w:t>
      </w:r>
      <w:r w:rsidR="00952C55">
        <w:t xml:space="preserve"> </w:t>
      </w:r>
      <w:r>
        <w:t>Specifically, I added cases coded as patent matters in Lex Machina and Unified Patents that the Integrated Data Base missed, reviewed the USPTO Docket Reports Litigation Database (2003–2016) and the Stanford NPE Database for omissions, and confirmed each case on PACER, CourtLink, or CourtListener. I also downloaded all Written Opinions from PACER for cases flagged 830 or 835.</w:t>
      </w:r>
    </w:p>
  </w:footnote>
  <w:footnote w:id="45">
    <w:p w14:paraId="5548A833" w14:textId="77777777" w:rsidR="00B725F0" w:rsidRDefault="00B725F0" w:rsidP="00B725F0">
      <w:pPr>
        <w:pStyle w:val="FootnoteText"/>
      </w:pPr>
      <w:r>
        <w:rPr>
          <w:rStyle w:val="FootnoteReference"/>
        </w:rPr>
        <w:footnoteRef/>
      </w:r>
      <w:r>
        <w:rPr>
          <w:i/>
          <w:iCs/>
        </w:rPr>
        <w:t>See</w:t>
      </w:r>
      <w:r>
        <w:t xml:space="preserve"> John R. Allison, Mark A. Lemley &amp; Joshua Walker, </w:t>
      </w:r>
      <w:r>
        <w:rPr>
          <w:i/>
          <w:iCs/>
        </w:rPr>
        <w:t>Extreme Value or Trolls on Top? The Characteristics of the Most-Litigated Patents</w:t>
      </w:r>
      <w:r>
        <w:t xml:space="preserve">, 158 </w:t>
      </w:r>
      <w:r>
        <w:rPr>
          <w:smallCaps/>
        </w:rPr>
        <w:t>U. Pa. L. Rev.</w:t>
      </w:r>
      <w:r>
        <w:t xml:space="preserve"> 1 (2009); Shawn P. Miller, </w:t>
      </w:r>
      <w:r>
        <w:rPr>
          <w:i/>
          <w:iCs/>
        </w:rPr>
        <w:t>Where’s the Innovation? An Analysis of the Quantity and Qualities of Anticipated and Obvious Patents</w:t>
      </w:r>
      <w:r>
        <w:t xml:space="preserve">, 18 </w:t>
      </w:r>
      <w:r>
        <w:rPr>
          <w:smallCaps/>
        </w:rPr>
        <w:t>Va. J.L. &amp; Tech.</w:t>
      </w:r>
      <w:r>
        <w:t xml:space="preserve"> 1 (2013).</w:t>
      </w:r>
    </w:p>
  </w:footnote>
  <w:footnote w:id="46">
    <w:p w14:paraId="5F69961A" w14:textId="77777777" w:rsidR="00B725F0" w:rsidRDefault="00B725F0" w:rsidP="00B725F0">
      <w:pPr>
        <w:pStyle w:val="FootnoteText"/>
      </w:pPr>
      <w:r>
        <w:rPr>
          <w:rStyle w:val="FootnoteReference"/>
        </w:rPr>
        <w:footnoteRef/>
      </w:r>
      <w:r>
        <w:rPr>
          <w:smallCaps/>
        </w:rPr>
        <w:t>Stanford NPE Litigation Database</w:t>
      </w:r>
      <w:r>
        <w:t>, Stanford Law School, https://npe.law.stanford.edu (last visited Jan. 28, 2026).</w:t>
      </w:r>
    </w:p>
  </w:footnote>
  <w:footnote w:id="47">
    <w:p w14:paraId="70B03AA9" w14:textId="77777777" w:rsidR="00E20C1E" w:rsidRDefault="00E20C1E">
      <w:pPr>
        <w:pStyle w:val="FootnoteText"/>
      </w:pPr>
      <w:r>
        <w:rPr>
          <w:rStyle w:val="FootnoteReference"/>
        </w:rPr>
        <w:footnoteRef/>
      </w:r>
      <w:r>
        <w:t xml:space="preserve"> </w:t>
      </w:r>
      <w:r w:rsidRPr="00E20C1E">
        <w:t>https://data.uspto.gov/support/transition-guide/patentsview</w:t>
      </w:r>
    </w:p>
  </w:footnote>
  <w:footnote w:id="48">
    <w:p w14:paraId="004A1619" w14:textId="77777777" w:rsidR="00E20C1E" w:rsidRDefault="00E20C1E" w:rsidP="00E20C1E">
      <w:pPr>
        <w:pStyle w:val="FootnoteText"/>
      </w:pPr>
      <w:r>
        <w:rPr>
          <w:rStyle w:val="FootnoteReference"/>
        </w:rPr>
        <w:footnoteRef/>
      </w:r>
      <w:r>
        <w:rPr>
          <w:i/>
          <w:iCs/>
        </w:rPr>
        <w:t>See, e.g.</w:t>
      </w:r>
      <w:r>
        <w:t xml:space="preserve">, John R. Allison, Mark A. Lemley &amp; Joshua Walker, </w:t>
      </w:r>
      <w:r>
        <w:rPr>
          <w:i/>
          <w:iCs/>
        </w:rPr>
        <w:t>Patent Quality and Settlement Among Repeat Patent Litigants</w:t>
      </w:r>
      <w:r>
        <w:t xml:space="preserve">, 99 </w:t>
      </w:r>
      <w:r>
        <w:rPr>
          <w:smallCaps/>
        </w:rPr>
        <w:t>Geo. L.J.</w:t>
      </w:r>
      <w:r>
        <w:t xml:space="preserve"> 677 (2011); Christopher Beauchamp, </w:t>
      </w:r>
      <w:r>
        <w:rPr>
          <w:i/>
          <w:iCs/>
        </w:rPr>
        <w:t>The First Patent Litigation Explosion</w:t>
      </w:r>
      <w:r>
        <w:t xml:space="preserve">, 125 </w:t>
      </w:r>
      <w:r>
        <w:rPr>
          <w:smallCaps/>
        </w:rPr>
        <w:t>Yale L.J.</w:t>
      </w:r>
      <w:r>
        <w:t xml:space="preserve"> 848 (2016).</w:t>
      </w:r>
    </w:p>
  </w:footnote>
  <w:footnote w:id="49">
    <w:p w14:paraId="353E5ECD" w14:textId="77777777" w:rsidR="00B725F0" w:rsidRDefault="00B725F0" w:rsidP="00B725F0">
      <w:pPr>
        <w:pStyle w:val="FootnoteText"/>
      </w:pPr>
      <w:r>
        <w:rPr>
          <w:rStyle w:val="FootnoteReference"/>
        </w:rPr>
        <w:footnoteRef/>
      </w:r>
      <w:r>
        <w:t>I employed Python-based natural-language processing to download complaints, opinions, and related filings, which enabled construction of structured variables capturing parties, filing dates, and other litigation characteristics.</w:t>
      </w:r>
    </w:p>
  </w:footnote>
  <w:footnote w:id="50">
    <w:p w14:paraId="34C7AE46" w14:textId="77777777" w:rsidR="00B725F0" w:rsidRDefault="00B725F0" w:rsidP="00B725F0">
      <w:pPr>
        <w:pStyle w:val="FootnoteText"/>
      </w:pPr>
      <w:r>
        <w:rPr>
          <w:rStyle w:val="FootnoteReference"/>
        </w:rPr>
        <w:footnoteRef/>
      </w:r>
      <w:r>
        <w:t xml:space="preserve">Nikola L. Datzov, </w:t>
      </w:r>
      <w:r>
        <w:rPr>
          <w:i/>
          <w:iCs/>
        </w:rPr>
        <w:t>The Role of Patent (In)Eligibility in Promoting Artificial Intelligence Innovation</w:t>
      </w:r>
      <w:r>
        <w:t xml:space="preserve">, 92 </w:t>
      </w:r>
      <w:r>
        <w:rPr>
          <w:smallCaps/>
        </w:rPr>
        <w:t>UMKC L. Rev.</w:t>
      </w:r>
      <w:r>
        <w:t xml:space="preserve"> 1, 16–19 (2023); </w:t>
      </w:r>
      <w:r>
        <w:rPr>
          <w:i/>
          <w:iCs/>
        </w:rPr>
        <w:t>see</w:t>
      </w:r>
      <w:r>
        <w:t xml:space="preserve"> Dewey Murdick, James Dunham &amp; Jennifer Melot, </w:t>
      </w:r>
      <w:r>
        <w:rPr>
          <w:i/>
          <w:iCs/>
        </w:rPr>
        <w:t>AI Definitions Affect Policymaking</w:t>
      </w:r>
      <w:r>
        <w:t xml:space="preserve">, </w:t>
      </w:r>
      <w:r>
        <w:rPr>
          <w:smallCaps/>
        </w:rPr>
        <w:t>Ctr. for Sec. &amp; Emerging Tech.</w:t>
      </w:r>
      <w:r>
        <w:t xml:space="preserve"> 6 (2020) (reporting only 19% overlap across three models).</w:t>
      </w:r>
    </w:p>
  </w:footnote>
  <w:footnote w:id="51">
    <w:p w14:paraId="4F49D239" w14:textId="211F130B" w:rsidR="0028399B" w:rsidRPr="00453F64" w:rsidRDefault="0028399B" w:rsidP="0028399B">
      <w:pPr>
        <w:pStyle w:val="FootnoteText"/>
      </w:pPr>
      <w:r>
        <w:rPr>
          <w:rStyle w:val="FootnoteReference"/>
        </w:rPr>
        <w:footnoteRef/>
      </w:r>
      <w:r>
        <w:t xml:space="preserve"> OECD, </w:t>
      </w:r>
      <w:r>
        <w:rPr>
          <w:i/>
          <w:iCs/>
        </w:rPr>
        <w:t>supra</w:t>
      </w:r>
      <w:r>
        <w:t xml:space="preserve"> note, at _. In alternative specifications, I used the OECD’s codings to try to code for AI patents. I was able to identify 108,000 patents that then linked to 38,000 U.S. patents. About half of the OECD patents identified as AI were in the USPTO database. The sample was too small for me to analyze as less than 100 OECD patents appeared as litigated AI patents in my database. Nonetheless, even among that small sample, patents were invalidated at 35.6% for OECE-AI patents versus 11.4% for non-AI patents under section 101. Moreover, patents were deemed infringed at a rate of 90.3% versus 67.3% for non-AI patents. Thus, even on a small, potentially unrepresentative sample, my key findings persist. </w:t>
      </w:r>
    </w:p>
  </w:footnote>
  <w:footnote w:id="52">
    <w:p w14:paraId="5E12B18B" w14:textId="77777777" w:rsidR="0028399B" w:rsidRDefault="0028399B" w:rsidP="0028399B">
      <w:pPr>
        <w:pStyle w:val="FootnoteText"/>
      </w:pPr>
      <w:r>
        <w:rPr>
          <w:rStyle w:val="FootnoteReference"/>
        </w:rPr>
        <w:footnoteRef/>
      </w:r>
      <w:r>
        <w:t xml:space="preserve"> </w:t>
      </w:r>
      <w:r>
        <w:rPr>
          <w:smallCaps/>
        </w:rPr>
        <w:t>U.S. Pat. &amp; Trademark Off.</w:t>
      </w:r>
      <w:r>
        <w:t xml:space="preserve">, </w:t>
      </w:r>
      <w:r>
        <w:rPr>
          <w:i/>
          <w:iCs/>
        </w:rPr>
        <w:t>2024 Guidance Update on Patent Subject Matter Eligibility, Including on Artificial Intelligence</w:t>
      </w:r>
      <w:r>
        <w:t xml:space="preserve">, 89 Fed. Reg. 58,128 (July 17, 2024); </w:t>
      </w:r>
      <w:r>
        <w:rPr>
          <w:i/>
          <w:iCs/>
        </w:rPr>
        <w:t>see also</w:t>
      </w:r>
      <w:r>
        <w:t xml:space="preserve"> </w:t>
      </w:r>
      <w:r>
        <w:rPr>
          <w:smallCaps/>
        </w:rPr>
        <w:t>Org. for Econ. Co-operation &amp; Dev.</w:t>
      </w:r>
      <w:r>
        <w:t xml:space="preserve">, </w:t>
      </w:r>
      <w:r>
        <w:rPr>
          <w:i/>
          <w:iCs/>
        </w:rPr>
        <w:t>Explanatory Memorandum on the Updated OECD Definition of an AI System</w:t>
      </w:r>
      <w:r>
        <w:t xml:space="preserve"> (OECD Artificial Intelligence Papers No. 8, 2024). The USPTO has periodically extended the Artificial Intelligence Patent Dataset to cover more recently issued patents.</w:t>
      </w:r>
    </w:p>
  </w:footnote>
  <w:footnote w:id="53">
    <w:p w14:paraId="6B758673" w14:textId="77777777" w:rsidR="00B725F0" w:rsidRDefault="00B725F0" w:rsidP="00B725F0">
      <w:pPr>
        <w:pStyle w:val="FootnoteText"/>
      </w:pPr>
      <w:r>
        <w:rPr>
          <w:rStyle w:val="FootnoteReference"/>
        </w:rPr>
        <w:footnoteRef/>
      </w:r>
      <w:r>
        <w:t xml:space="preserve">Giczy, Pairolero &amp; Toole, </w:t>
      </w:r>
      <w:r>
        <w:rPr>
          <w:i/>
          <w:iCs/>
        </w:rPr>
        <w:t>supra</w:t>
      </w:r>
      <w:r>
        <w:t xml:space="preserve"> note 10, at 22; </w:t>
      </w:r>
      <w:r>
        <w:rPr>
          <w:smallCaps/>
        </w:rPr>
        <w:t>U.S. Pat. &amp; Trademark Off.</w:t>
      </w:r>
      <w:r>
        <w:t xml:space="preserve">, </w:t>
      </w:r>
      <w:r>
        <w:rPr>
          <w:i/>
          <w:iCs/>
        </w:rPr>
        <w:t>Artificial Intelligence Patent Dataset (AIPD)</w:t>
      </w:r>
      <w:r>
        <w:t xml:space="preserve">, https://www.uspto.gov/ip-policy/economic-research/research-datasets/artificial-intelligence-patent-dataset. An alternative is the database in Milan Miric, Nan Jia &amp; Kenneth G. Huang, </w:t>
      </w:r>
      <w:r>
        <w:rPr>
          <w:i/>
          <w:iCs/>
        </w:rPr>
        <w:t>Using Supervised Machine Learning for Large-Scale Classification in Management Research: The Case for Identifying Artificial Intelligence Patents</w:t>
      </w:r>
      <w:r>
        <w:t xml:space="preserve">, 44 </w:t>
      </w:r>
      <w:r>
        <w:rPr>
          <w:smallCaps/>
        </w:rPr>
        <w:t>Strategic Mgmt. J.</w:t>
      </w:r>
      <w:r>
        <w:t xml:space="preserve"> 491 (2023); matched to the district court database it identified 4,500 AI patents in litigation, against 19,543 using the USPTO dataset, with little overlap between the two.</w:t>
      </w:r>
    </w:p>
  </w:footnote>
  <w:footnote w:id="54">
    <w:p w14:paraId="0F132988" w14:textId="77777777" w:rsidR="0033330D" w:rsidRDefault="0033330D" w:rsidP="0033330D">
      <w:pPr>
        <w:pStyle w:val="FootnoteText"/>
      </w:pPr>
      <w:r>
        <w:rPr>
          <w:rStyle w:val="FootnoteReference"/>
        </w:rPr>
        <w:footnoteRef/>
      </w:r>
      <w:r>
        <w:rPr>
          <w:smallCaps/>
        </w:rPr>
        <w:t>Inventing AI</w:t>
      </w:r>
      <w:r>
        <w:t xml:space="preserve">, </w:t>
      </w:r>
      <w:r>
        <w:rPr>
          <w:i/>
          <w:iCs/>
        </w:rPr>
        <w:t>supra</w:t>
      </w:r>
      <w:r>
        <w:t xml:space="preserve"> note 2, at 16; </w:t>
      </w:r>
      <w:r>
        <w:rPr>
          <w:i/>
          <w:iCs/>
        </w:rPr>
        <w:t>see also</w:t>
      </w:r>
      <w:r>
        <w:t xml:space="preserve"> </w:t>
      </w:r>
      <w:r>
        <w:rPr>
          <w:smallCaps/>
        </w:rPr>
        <w:t>U.S. Pat. &amp; Trademark Off.</w:t>
      </w:r>
      <w:r>
        <w:t xml:space="preserve">, </w:t>
      </w:r>
      <w:r>
        <w:rPr>
          <w:i/>
          <w:iCs/>
        </w:rPr>
        <w:t>Artificial Intelligence Patent Dataset: Methodology and Technical Documentation</w:t>
      </w:r>
      <w:r>
        <w:t xml:space="preserve"> (2020); Aaron Abood &amp; Dave Feltenberger, </w:t>
      </w:r>
      <w:r>
        <w:rPr>
          <w:i/>
          <w:iCs/>
        </w:rPr>
        <w:t>Automated Patent Landscaping</w:t>
      </w:r>
      <w:r>
        <w:t xml:space="preserve">, 26 </w:t>
      </w:r>
      <w:r>
        <w:rPr>
          <w:smallCaps/>
        </w:rPr>
        <w:t>Artificial Intelligence &amp; L.</w:t>
      </w:r>
      <w:r>
        <w:t xml:space="preserve"> 103 (2018).</w:t>
      </w:r>
    </w:p>
  </w:footnote>
  <w:footnote w:id="55">
    <w:p w14:paraId="6D2D0EC9" w14:textId="77777777" w:rsidR="0033330D" w:rsidRPr="00453F64" w:rsidRDefault="0033330D" w:rsidP="0033330D">
      <w:pPr>
        <w:pStyle w:val="FootnoteText"/>
        <w:rPr>
          <w:i/>
          <w:iCs/>
        </w:rPr>
      </w:pPr>
      <w:r>
        <w:rPr>
          <w:rStyle w:val="FootnoteReference"/>
        </w:rPr>
        <w:footnoteRef/>
      </w:r>
      <w:r>
        <w:t xml:space="preserve"> </w:t>
      </w:r>
      <w:r>
        <w:rPr>
          <w:i/>
          <w:iCs/>
        </w:rPr>
        <w:t>Id.</w:t>
      </w:r>
    </w:p>
  </w:footnote>
  <w:footnote w:id="56">
    <w:p w14:paraId="0DBCD394" w14:textId="48B53213" w:rsidR="00AA094B" w:rsidRPr="00AA094B" w:rsidRDefault="00AA094B">
      <w:pPr>
        <w:pStyle w:val="FootnoteText"/>
      </w:pPr>
      <w:r>
        <w:rPr>
          <w:rStyle w:val="FootnoteReference"/>
        </w:rPr>
        <w:footnoteRef/>
      </w:r>
      <w:r>
        <w:t xml:space="preserve"> </w:t>
      </w:r>
      <w:r>
        <w:rPr>
          <w:i/>
          <w:iCs/>
        </w:rPr>
        <w:t>See supra</w:t>
      </w:r>
      <w:r>
        <w:t xml:space="preserve"> note 51. </w:t>
      </w:r>
    </w:p>
  </w:footnote>
  <w:footnote w:id="57">
    <w:p w14:paraId="4598435E" w14:textId="77777777" w:rsidR="00B725F0" w:rsidRDefault="00B725F0" w:rsidP="00B725F0">
      <w:pPr>
        <w:pStyle w:val="FootnoteText"/>
      </w:pPr>
      <w:r>
        <w:rPr>
          <w:rStyle w:val="FootnoteReference"/>
        </w:rPr>
        <w:footnoteRef/>
      </w:r>
      <w:r>
        <w:rPr>
          <w:smallCaps/>
        </w:rPr>
        <w:t>Inventing AI</w:t>
      </w:r>
      <w:r>
        <w:t xml:space="preserve">, </w:t>
      </w:r>
      <w:r>
        <w:rPr>
          <w:i/>
          <w:iCs/>
        </w:rPr>
        <w:t>supra</w:t>
      </w:r>
      <w:r>
        <w:t xml:space="preserve"> note 2, at 5–8. The Office cautions that the model is least precise in evolutionary computation, planning and control, and knowledge processing. </w:t>
      </w:r>
      <w:r>
        <w:rPr>
          <w:i/>
          <w:iCs/>
        </w:rPr>
        <w:t>Id.</w:t>
      </w:r>
      <w:r>
        <w:t xml:space="preserve"> at 7.</w:t>
      </w:r>
    </w:p>
  </w:footnote>
  <w:footnote w:id="58">
    <w:p w14:paraId="133E9F94" w14:textId="451782FF" w:rsidR="003426E0" w:rsidRPr="001E7CAB" w:rsidRDefault="003426E0" w:rsidP="001E7CAB">
      <w:pPr>
        <w:ind w:firstLine="720"/>
        <w:jc w:val="both"/>
        <w:rPr>
          <w:sz w:val="20"/>
          <w:szCs w:val="20"/>
        </w:rPr>
      </w:pPr>
      <w:r>
        <w:rPr>
          <w:rStyle w:val="FootnoteReference"/>
        </w:rPr>
        <w:footnoteRef/>
      </w:r>
      <w:r>
        <w:t xml:space="preserve"> </w:t>
      </w:r>
      <w:r w:rsidRPr="001E7CAB">
        <w:rPr>
          <w:sz w:val="20"/>
          <w:szCs w:val="20"/>
        </w:rPr>
        <w:t>A single invention can fall into several categories at once. U.S. Patent No. 9,378,459, assigned to Avaya, describes an automated method for finding and filling gaps in a company’s knowledge base by synthesizing external data, question-and-answer histories, and user feedback. Because a patent may trigger more than one subcategory signal, the per-category shares should be read as subcategory-specific prevalence rates rather than as a partition of a single fixed AI total.</w:t>
      </w:r>
    </w:p>
  </w:footnote>
  <w:footnote w:id="59">
    <w:p w14:paraId="0066F4EF" w14:textId="77777777" w:rsidR="003426E0" w:rsidRDefault="003426E0" w:rsidP="003426E0">
      <w:pPr>
        <w:pStyle w:val="FootnoteText"/>
      </w:pPr>
      <w:r>
        <w:rPr>
          <w:rStyle w:val="FootnoteReference"/>
        </w:rPr>
        <w:footnoteRef/>
      </w:r>
      <w:r>
        <w:rPr>
          <w:smallCaps/>
        </w:rPr>
        <w:t>Inventing AI</w:t>
      </w:r>
      <w:r>
        <w:t xml:space="preserve">, </w:t>
      </w:r>
      <w:r>
        <w:rPr>
          <w:i/>
          <w:iCs/>
        </w:rPr>
        <w:t>supra</w:t>
      </w:r>
      <w:r>
        <w:t xml:space="preserve"> note 2, at 7. Knowledge processing and planning and control diffuse fastest; vision, machine learning, and AI hardware diffuse at an increasing but slower rate; and evolutionary computation, speech, and natural language processing are the slowest, at about 10% in recent years. </w:t>
      </w:r>
      <w:r>
        <w:rPr>
          <w:i/>
          <w:iCs/>
        </w:rPr>
        <w:t>Id.</w:t>
      </w:r>
      <w:r>
        <w:t xml:space="preserve"> at 7–8.</w:t>
      </w:r>
    </w:p>
  </w:footnote>
  <w:footnote w:id="60">
    <w:p w14:paraId="43F85DC2" w14:textId="77777777" w:rsidR="00AA094B" w:rsidRDefault="00AA094B" w:rsidP="00AA094B">
      <w:pPr>
        <w:pStyle w:val="FootnoteText"/>
      </w:pPr>
      <w:r>
        <w:rPr>
          <w:rStyle w:val="FootnoteReference"/>
        </w:rPr>
        <w:footnoteRef/>
      </w:r>
      <w:r>
        <w:rPr>
          <w:i/>
          <w:iCs/>
        </w:rPr>
        <w:t>See</w:t>
      </w:r>
      <w:r>
        <w:t xml:space="preserve"> Bell Atl. Corp. v. Twombly, 550 U.S. 544, 555, 570 (2007); Ashcroft v. Iqbal, 556 U.S. 662, 678–79 (2009); Tamas A. Z. Zheng, </w:t>
      </w:r>
      <w:r>
        <w:rPr>
          <w:i/>
          <w:iCs/>
        </w:rPr>
        <w:t>A New Era for Patent Infringement Pleading: Twombly, Iqbal, and the Abrogation of Form 18</w:t>
      </w:r>
      <w:r>
        <w:t xml:space="preserve">, 24 </w:t>
      </w:r>
      <w:r>
        <w:rPr>
          <w:smallCaps/>
        </w:rPr>
        <w:t>Tex. Intell. Prop. L.J.</w:t>
      </w:r>
      <w:r>
        <w:t xml:space="preserve"> 79 (2016).</w:t>
      </w:r>
    </w:p>
  </w:footnote>
  <w:footnote w:id="61">
    <w:p w14:paraId="4C2484F9" w14:textId="77777777" w:rsidR="00E333AB" w:rsidRDefault="00E333AB" w:rsidP="00E333AB">
      <w:pPr>
        <w:pStyle w:val="FootnoteText"/>
      </w:pPr>
      <w:r>
        <w:rPr>
          <w:rStyle w:val="FootnoteReference"/>
        </w:rPr>
        <w:footnoteRef/>
      </w:r>
      <w:r>
        <w:t xml:space="preserve"> As explained later in the Article, analysis here is limited to the final operative merits decision in the case before any appeal. If a case is vacated on appeal and returned to the district court on remand, I did the analysis on the before-appeal result. If a case concerns two outcomes on different dates both are coded. So a case in which the same patent has some claims invalidated under section 101 on summary judgment while others are invalidated under section 103 at trial is coded with both outcomes. Further, mixed cases in which there are contrasting invalidity or infringement outcomes are excluded in the main specification. For example, a case in which there is both a no invalidity and a section 103 outcome at trial is dropped from the main specification as a mixed case. In alternative specifications, </w:t>
      </w:r>
    </w:p>
  </w:footnote>
  <w:footnote w:id="62">
    <w:p w14:paraId="1ABBE6DF" w14:textId="77777777" w:rsidR="00B725F0" w:rsidRDefault="00B725F0" w:rsidP="00B725F0">
      <w:pPr>
        <w:pStyle w:val="FootnoteText"/>
      </w:pPr>
      <w:r>
        <w:rPr>
          <w:rStyle w:val="FootnoteReference"/>
        </w:rPr>
        <w:footnoteRef/>
      </w:r>
      <w:r>
        <w:rPr>
          <w:i/>
          <w:iCs/>
        </w:rPr>
        <w:t>See, e.g.</w:t>
      </w:r>
      <w:r>
        <w:t xml:space="preserve">, </w:t>
      </w:r>
      <w:r>
        <w:rPr>
          <w:i/>
          <w:iCs/>
        </w:rPr>
        <w:t>What Is AI Training Data &amp; Why Is It Important?</w:t>
      </w:r>
      <w:r>
        <w:t xml:space="preserve">, </w:t>
      </w:r>
      <w:r>
        <w:rPr>
          <w:smallCaps/>
        </w:rPr>
        <w:t>TranscribeMe</w:t>
      </w:r>
      <w:r>
        <w:t xml:space="preserve"> (July 2, 2024), https://www.transcribeme.com/blog/what-is-ai-training-data/ (explaining that models learn from labeled training data to make predictions about new inputs).</w:t>
      </w:r>
    </w:p>
  </w:footnote>
  <w:footnote w:id="63">
    <w:p w14:paraId="3594C118" w14:textId="77777777" w:rsidR="00B725F0" w:rsidRDefault="00B725F0" w:rsidP="00B725F0">
      <w:pPr>
        <w:pStyle w:val="FootnoteText"/>
      </w:pPr>
      <w:r>
        <w:rPr>
          <w:rStyle w:val="FootnoteReference"/>
        </w:rPr>
        <w:footnoteRef/>
      </w:r>
      <w:r>
        <w:t xml:space="preserve">Tabrez Ebrahim, </w:t>
      </w:r>
      <w:r>
        <w:rPr>
          <w:i/>
          <w:iCs/>
        </w:rPr>
        <w:t>Artificial Intelligence Patent Infringement</w:t>
      </w:r>
      <w:r>
        <w:t xml:space="preserve">, We Robot 2019, at 9–12 (draft) (describing how developers, trainers, testers, and deployers may separately perform portions of patented AI methods); </w:t>
      </w:r>
      <w:r>
        <w:rPr>
          <w:i/>
          <w:iCs/>
        </w:rPr>
        <w:t>see</w:t>
      </w:r>
      <w:r>
        <w:t xml:space="preserve"> Akamai Techs., Inc. v. Limelight Networks, Inc., 797 F.3d 1020, 1022–24 (Fed. Cir. 2015) (en banc); 35 U.S.C. § 271(a).</w:t>
      </w:r>
    </w:p>
  </w:footnote>
  <w:footnote w:id="64">
    <w:p w14:paraId="26C08585" w14:textId="77777777" w:rsidR="00B725F0" w:rsidRDefault="00B725F0" w:rsidP="00B725F0">
      <w:pPr>
        <w:pStyle w:val="FootnoteText"/>
      </w:pPr>
      <w:r>
        <w:rPr>
          <w:rStyle w:val="FootnoteReference"/>
        </w:rPr>
        <w:footnoteRef/>
      </w:r>
      <w:r>
        <w:t xml:space="preserve">35 U.S.C. § 271(b)–(c); </w:t>
      </w:r>
      <w:r>
        <w:rPr>
          <w:i/>
          <w:iCs/>
        </w:rPr>
        <w:t>see</w:t>
      </w:r>
      <w:r>
        <w:t xml:space="preserve"> Global-Tech Appliances, Inc. v. SEB S.A., 563 U.S. 754, 766–71 (2011) (induced infringement requires knowledge that the induced acts infringe, satisfiable by willful blindness); Tabrez Y. Ebrahim, </w:t>
      </w:r>
      <w:r>
        <w:rPr>
          <w:i/>
          <w:iCs/>
        </w:rPr>
        <w:t>Artificial Intelligence Inventions &amp; Patent Disclosure</w:t>
      </w:r>
      <w:r>
        <w:t xml:space="preserve">, 125 </w:t>
      </w:r>
      <w:r>
        <w:rPr>
          <w:smallCaps/>
        </w:rPr>
        <w:t>Penn St. L. Rev.</w:t>
      </w:r>
      <w:r>
        <w:t xml:space="preserve"> 147, 150–52 (2020).</w:t>
      </w:r>
    </w:p>
  </w:footnote>
  <w:footnote w:id="65">
    <w:p w14:paraId="727E880F" w14:textId="1A8FB1FF" w:rsidR="001B761B" w:rsidRDefault="001B761B">
      <w:pPr>
        <w:pStyle w:val="FootnoteText"/>
      </w:pPr>
      <w:r>
        <w:rPr>
          <w:rStyle w:val="FootnoteReference"/>
        </w:rPr>
        <w:footnoteRef/>
      </w:r>
      <w:r>
        <w:t xml:space="preserve"> The models reported are organized at the patent-case level</w:t>
      </w:r>
      <w:r w:rsidR="00137227">
        <w:t xml:space="preserve"> with standard errors clustered by patent in the main specifications</w:t>
      </w:r>
      <w:r>
        <w:t>.</w:t>
      </w:r>
      <w:r w:rsidR="00137227">
        <w:t xml:space="preserve"> The substantive findings are the same if standard errors are clustered by judge in alternative specifications.</w:t>
      </w:r>
      <w:r>
        <w:t xml:space="preserve"> For the results for invalidity and the statutory section, the universe is patent-case observations with a non-mixed final invalidity outcome, excluding default judgments and consent judgments as well as settlements. For no-infringement outcomes, the corresponding universe is patent-case observations with a non-mixed final infringement outcome, again excluding default judgment and consent judgments as well as settlements. For both, I excluded observations that lacked complete covariate data, which was rare. </w:t>
      </w:r>
    </w:p>
  </w:footnote>
  <w:footnote w:id="66">
    <w:p w14:paraId="1AD769CE" w14:textId="77777777" w:rsidR="005A6406" w:rsidRDefault="005A6406" w:rsidP="005A6406">
      <w:pPr>
        <w:pStyle w:val="FootnoteText"/>
      </w:pPr>
      <w:r>
        <w:rPr>
          <w:rStyle w:val="FootnoteReference"/>
        </w:rPr>
        <w:footnoteRef/>
      </w:r>
      <w:r>
        <w:t>Logging is standard for these right-skewed measures: most patents are modest in size while a few are extremely long, so taking logs compresses the upper tail, reflects diminishing marginal effects, and yields coefficients interpretable in proportional terms.</w:t>
      </w:r>
    </w:p>
  </w:footnote>
  <w:footnote w:id="67">
    <w:p w14:paraId="5502C639" w14:textId="77777777" w:rsidR="005A6406" w:rsidRDefault="005A6406" w:rsidP="005A6406">
      <w:pPr>
        <w:pStyle w:val="FootnoteText"/>
      </w:pPr>
      <w:r>
        <w:rPr>
          <w:rStyle w:val="FootnoteReference"/>
        </w:rPr>
        <w:footnoteRef/>
      </w:r>
      <w:r>
        <w:rPr>
          <w:i/>
          <w:iCs/>
        </w:rPr>
        <w:t>See, e.g.</w:t>
      </w:r>
      <w:r>
        <w:t xml:space="preserve">, Manuel Trajtenberg, </w:t>
      </w:r>
      <w:r>
        <w:rPr>
          <w:i/>
          <w:iCs/>
        </w:rPr>
        <w:t>A Penny for Your Quotes: Patent Citations and the Value of Innovations</w:t>
      </w:r>
      <w:r>
        <w:t xml:space="preserve">, 21 </w:t>
      </w:r>
      <w:r>
        <w:rPr>
          <w:smallCaps/>
        </w:rPr>
        <w:t>RAND J. Econ.</w:t>
      </w:r>
      <w:r>
        <w:t xml:space="preserve"> 172 (1990); Bronwyn H. Hall, Adam B. Jaffe &amp; Manuel Trajtenberg, </w:t>
      </w:r>
      <w:r>
        <w:rPr>
          <w:i/>
          <w:iCs/>
        </w:rPr>
        <w:t>Market Value and Patent Citations</w:t>
      </w:r>
      <w:r>
        <w:t xml:space="preserve">, 36 </w:t>
      </w:r>
      <w:r>
        <w:rPr>
          <w:smallCaps/>
        </w:rPr>
        <w:t>RAND J. Econ.</w:t>
      </w:r>
      <w:r>
        <w:t xml:space="preserve"> 16 (2005).</w:t>
      </w:r>
    </w:p>
  </w:footnote>
  <w:footnote w:id="68">
    <w:p w14:paraId="78CB75EE" w14:textId="77777777" w:rsidR="00E333AB" w:rsidRDefault="00E333AB" w:rsidP="00E333AB">
      <w:pPr>
        <w:pStyle w:val="FootnoteText"/>
      </w:pPr>
      <w:r>
        <w:rPr>
          <w:rStyle w:val="FootnoteReference"/>
        </w:rPr>
        <w:footnoteRef/>
      </w:r>
      <w:r>
        <w:t xml:space="preserve"> On patent citations as proxies for technological impact and knowledge spillovers, see Manuel Trajtenberg, </w:t>
      </w:r>
      <w:r>
        <w:rPr>
          <w:i/>
          <w:iCs/>
        </w:rPr>
        <w:t>A Penny for Your Quotes: Patent Citations and the Value of Innovations</w:t>
      </w:r>
      <w:r>
        <w:t xml:space="preserve">, 21 </w:t>
      </w:r>
      <w:r>
        <w:rPr>
          <w:smallCaps/>
        </w:rPr>
        <w:t>RAND J. Econ.</w:t>
      </w:r>
      <w:r>
        <w:t xml:space="preserve"> 172 (1990); Adam B. Jaffe, Manuel Trajtenberg &amp; Rebecca Henderson, </w:t>
      </w:r>
      <w:r>
        <w:rPr>
          <w:i/>
          <w:iCs/>
        </w:rPr>
        <w:t>Geographic Localization of Knowledge Spillovers as Evidenced by Patent Citations</w:t>
      </w:r>
      <w:r>
        <w:t xml:space="preserve">, 108 </w:t>
      </w:r>
      <w:r>
        <w:rPr>
          <w:smallCaps/>
        </w:rPr>
        <w:t>Q.J. Econ.</w:t>
      </w:r>
      <w:r>
        <w:t xml:space="preserve"> 577 (1993); Bronwyn H. Hall, Adam B. Jaffe &amp; Manuel Trajtenberg, </w:t>
      </w:r>
      <w:r>
        <w:rPr>
          <w:i/>
          <w:iCs/>
        </w:rPr>
        <w:t>Market Value and Patent Citations</w:t>
      </w:r>
      <w:r>
        <w:t xml:space="preserve">, 36 </w:t>
      </w:r>
      <w:r>
        <w:rPr>
          <w:smallCaps/>
        </w:rPr>
        <w:t>RAND J. Econ.</w:t>
      </w:r>
      <w:r>
        <w:t xml:space="preserve"> 16 (2005). For a cautionary view on the informativeness of applicant-added citations, see Christopher A. Cotropia, Mark A. Lemley &amp; Bhaven Sampat, </w:t>
      </w:r>
      <w:r>
        <w:rPr>
          <w:i/>
          <w:iCs/>
        </w:rPr>
        <w:t>Do Applicant Patent Citations Matter?</w:t>
      </w:r>
      <w:r>
        <w:t xml:space="preserve">, 42 </w:t>
      </w:r>
      <w:r>
        <w:rPr>
          <w:smallCaps/>
        </w:rPr>
        <w:t>Rsch. Pol’y</w:t>
      </w:r>
      <w:r>
        <w:t xml:space="preserve"> 844 (2013).</w:t>
      </w:r>
    </w:p>
  </w:footnote>
  <w:footnote w:id="69">
    <w:p w14:paraId="667B4FFF" w14:textId="6A3AC575" w:rsidR="005A6406" w:rsidRDefault="005A6406" w:rsidP="005A6406">
      <w:pPr>
        <w:pStyle w:val="FootnoteText"/>
      </w:pPr>
      <w:r>
        <w:rPr>
          <w:rStyle w:val="FootnoteReference"/>
        </w:rPr>
        <w:footnoteRef/>
      </w:r>
      <w:r w:rsidRPr="00540F51">
        <w:t>I used the Stanford NPE database to classify an asserter as an NPE</w:t>
      </w:r>
      <w:r w:rsidR="00540F51" w:rsidRPr="00540F51">
        <w:t xml:space="preserve">. Since the Stanford data only reaches up to 2024, I extrapolated to later years. </w:t>
      </w:r>
      <w:r w:rsidR="00F544B1">
        <w:t>In some cases, codings in the Stanford database w</w:t>
      </w:r>
      <w:r w:rsidR="0073605F">
        <w:t>ere</w:t>
      </w:r>
      <w:r w:rsidR="00F544B1">
        <w:t xml:space="preserve"> </w:t>
      </w:r>
      <w:r w:rsidR="0073605F">
        <w:t>double coded</w:t>
      </w:r>
      <w:r w:rsidR="00F544B1">
        <w:t>, so I independently changed some codings to reflect my understanding of an NPE. Especially whe</w:t>
      </w:r>
      <w:r w:rsidR="0073605F">
        <w:t>re</w:t>
      </w:r>
      <w:r w:rsidR="00F544B1">
        <w:t xml:space="preserve"> there</w:t>
      </w:r>
      <w:r w:rsidR="0073605F">
        <w:t xml:space="preserve"> was</w:t>
      </w:r>
      <w:r w:rsidR="00F544B1">
        <w:t xml:space="preserve"> a conflict, </w:t>
      </w:r>
      <w:r w:rsidR="00540F51" w:rsidRPr="00540F51">
        <w:t>I inferred NPE status from Unified Patent’s NPE indicator</w:t>
      </w:r>
      <w:r w:rsidR="0073605F">
        <w:t xml:space="preserve">. </w:t>
      </w:r>
      <w:r w:rsidR="0073605F" w:rsidRPr="00540F51">
        <w:t>In addition, I researched the party’s names to come to my own conclusion on NPE status.</w:t>
      </w:r>
      <w:r w:rsidR="0073605F">
        <w:t xml:space="preserve"> In particular, I reviewed the party’s filings, including the complaint and relevant rulings, to determine whether the patentee practiced the invention</w:t>
      </w:r>
      <w:r w:rsidR="00540F51" w:rsidRPr="00540F51">
        <w:t>.</w:t>
      </w:r>
      <w:r w:rsidR="00F544B1">
        <w:t xml:space="preserve"> </w:t>
      </w:r>
      <w:r w:rsidR="0073605F">
        <w:t>W</w:t>
      </w:r>
      <w:r w:rsidR="00F544B1">
        <w:t xml:space="preserve">here there a </w:t>
      </w:r>
      <w:r w:rsidR="0073605F">
        <w:t>discrepancy</w:t>
      </w:r>
      <w:r w:rsidR="00F544B1">
        <w:t xml:space="preserve">, I used Codex and Claude to help me resolve </w:t>
      </w:r>
      <w:r w:rsidR="0073605F">
        <w:t>it</w:t>
      </w:r>
      <w:r w:rsidR="00F544B1">
        <w:t>.</w:t>
      </w:r>
      <w:r w:rsidR="00540F51" w:rsidRPr="00540F51">
        <w:t xml:space="preserve"> </w:t>
      </w:r>
      <w:r w:rsidR="0073605F">
        <w:t>The results are robust to different codings of this variable</w:t>
      </w:r>
      <w:r w:rsidR="00540F51" w:rsidRPr="00540F51">
        <w:t xml:space="preserve">. </w:t>
      </w:r>
      <w:r>
        <w:rPr>
          <w:i/>
          <w:iCs/>
        </w:rPr>
        <w:t>See</w:t>
      </w:r>
      <w:r>
        <w:t xml:space="preserve"> 37 C.F.R. §§ 1.27(a)–(b), 1.29(a)–(d); Leahy-Smith America Invents Act, Pub. L. No. 112-29, § 10(g), 125 Stat. 284, 316–20 (2011); John R. Allison, Mark A. Lemley &amp; Joshua Walker, </w:t>
      </w:r>
      <w:r>
        <w:rPr>
          <w:i/>
          <w:iCs/>
        </w:rPr>
        <w:t>Patent Quality and Settlement Among Repeat Patent Litigants</w:t>
      </w:r>
      <w:r>
        <w:t xml:space="preserve">, 99 </w:t>
      </w:r>
      <w:r>
        <w:rPr>
          <w:smallCaps/>
        </w:rPr>
        <w:t>Geo. L.J.</w:t>
      </w:r>
      <w:r>
        <w:t xml:space="preserve"> 677, 682–83 (2011).</w:t>
      </w:r>
    </w:p>
  </w:footnote>
  <w:footnote w:id="70">
    <w:p w14:paraId="23B8DAEE" w14:textId="15309167" w:rsidR="00540F51" w:rsidRDefault="00540F51">
      <w:pPr>
        <w:pStyle w:val="FootnoteText"/>
      </w:pPr>
      <w:r>
        <w:rPr>
          <w:rStyle w:val="FootnoteReference"/>
        </w:rPr>
        <w:footnoteRef/>
      </w:r>
      <w:r>
        <w:t xml:space="preserve"> The PTO’s record foreign residence. For the specifications described here, I used foreign assignee</w:t>
      </w:r>
      <w:r w:rsidR="0073605F">
        <w:t>, and if there was no foreign assignee, I looked to see whether there was a foreign inventor</w:t>
      </w:r>
      <w:r>
        <w:t xml:space="preserve">. </w:t>
      </w:r>
      <w:r w:rsidR="0073605F">
        <w:t>The results are robust to different ways of defining a foreign patentee</w:t>
      </w:r>
      <w:r>
        <w:t xml:space="preserve">. </w:t>
      </w:r>
    </w:p>
  </w:footnote>
  <w:footnote w:id="71">
    <w:p w14:paraId="58549170" w14:textId="77777777" w:rsidR="0035326F" w:rsidRDefault="0035326F">
      <w:pPr>
        <w:pStyle w:val="FootnoteText"/>
      </w:pPr>
      <w:r>
        <w:rPr>
          <w:rStyle w:val="FootnoteReference"/>
        </w:rPr>
        <w:footnoteRef/>
      </w:r>
      <w:r>
        <w:t xml:space="preserve"> I measured technological categories from the CPC codes attached to each invention downloaded from PatentsView.</w:t>
      </w:r>
    </w:p>
  </w:footnote>
  <w:footnote w:id="72">
    <w:p w14:paraId="5A742DA3" w14:textId="77777777" w:rsidR="00032257" w:rsidRDefault="00032257" w:rsidP="00032257">
      <w:pPr>
        <w:pStyle w:val="FootnoteText"/>
      </w:pPr>
      <w:r>
        <w:rPr>
          <w:rStyle w:val="FootnoteReference"/>
        </w:rPr>
        <w:footnoteRef/>
      </w:r>
      <w:r>
        <w:t xml:space="preserve">I estimate a linear probability model, </w:t>
      </w:r>
      <w:r>
        <w:rPr>
          <w:i/>
          <w:iCs/>
        </w:rPr>
        <w:t>Y</w:t>
      </w:r>
      <w:r>
        <w:t>ᵢᴄ = α + β·ai_tierᵢ + Γ·Xᵢ + δⱼ + τₜ + εᵢᴄ, where the outcome is a binary litigation event, ai_tier is the AI classification, X is a control vector (citation counts, claim characteristics, entity status, parallel proceedings), and δ and τ are judge and year fixed effects, with standard errors clustered at the case level. Results are similar using logistic regression. As a further check, continuous specifications using the USPTO AI probability directly (not reported) show a positive, significant relationship between AI probability and adverse validity outcomes, and a negative relationship with infringement success.</w:t>
      </w:r>
    </w:p>
  </w:footnote>
  <w:footnote w:id="73">
    <w:p w14:paraId="62A046EC" w14:textId="6BB53556" w:rsidR="004A62BB" w:rsidRDefault="004A62BB">
      <w:pPr>
        <w:pStyle w:val="FootnoteText"/>
      </w:pPr>
      <w:r>
        <w:rPr>
          <w:rStyle w:val="FootnoteReference"/>
        </w:rPr>
        <w:footnoteRef/>
      </w:r>
      <w:r>
        <w:t xml:space="preserve"> Not</w:t>
      </w:r>
      <w:r w:rsidR="009C29E2">
        <w:t>a</w:t>
      </w:r>
      <w:r>
        <w:t>bly, the results here are limited to only cases where the court makes a final substantive ruling on either infringement and/or invalidity. In other work, I look at the results</w:t>
      </w:r>
      <w:r w:rsidR="00B25D2E">
        <w:t xml:space="preserve"> on what happens to AI patents across the entire litigation pipeline, including settlement and nonresolution</w:t>
      </w:r>
      <w:r>
        <w:t>. This broader universe largely tells the same substantive story as the merits-only regressions, but at lower absolute probabilities because settlements or nonresolutions are now in the denominator. In all, even within this larger universe, AI patents are more likely to reach invalid</w:t>
      </w:r>
      <w:r w:rsidR="00F471E9">
        <w:t>ity</w:t>
      </w:r>
      <w:r>
        <w:t xml:space="preserve">/section 101 outcomes and less likely to produce infringement findings. </w:t>
      </w:r>
    </w:p>
  </w:footnote>
  <w:footnote w:id="74">
    <w:p w14:paraId="57B94DCB" w14:textId="04F96193" w:rsidR="00B725F0" w:rsidRDefault="00B725F0" w:rsidP="00B725F0">
      <w:pPr>
        <w:pStyle w:val="FootnoteText"/>
      </w:pPr>
      <w:r>
        <w:rPr>
          <w:rStyle w:val="FootnoteReference"/>
        </w:rPr>
        <w:footnoteRef/>
      </w:r>
      <w:r>
        <w:t xml:space="preserve">Every regression has two basic components. The dependent variable is the outcome the analysis is trying to explain, such as whether a patent was invalidated under </w:t>
      </w:r>
      <w:r w:rsidR="003F1B5F">
        <w:t>section</w:t>
      </w:r>
      <w:r>
        <w:t xml:space="preserve"> 101, and the independent variables are the explanatory factors that might influence it, here the AI tier together with controls for technology, procedural posture, court, and party characteristics. By including many independent variables at once, the regression estimates the relationship between AI status and the outcome while holding the other factors constant.</w:t>
      </w:r>
    </w:p>
  </w:footnote>
  <w:footnote w:id="75">
    <w:p w14:paraId="7AEA52AA" w14:textId="77777777" w:rsidR="00B725F0" w:rsidRDefault="00B725F0" w:rsidP="00B725F0">
      <w:pPr>
        <w:pStyle w:val="FootnoteText"/>
      </w:pPr>
      <w:r>
        <w:rPr>
          <w:rStyle w:val="FootnoteReference"/>
        </w:rPr>
        <w:footnoteRef/>
      </w:r>
      <w:r>
        <w:t>As an additional robustness check, I estimate continuous specifications using the USPTO AI probability score directly rather than a binary threshold. Those models, not reported in the main tables, show a positive and significant relationship between AI probability and adverse validity outcomes and a negative relationship with infringement success, with movement from the lower to the upper quartile of the probability distribution producing economically meaningful shifts. The continuous evidence reinforces the threshold-based results and further mitigates any concern about cutoff sensitivity.</w:t>
      </w:r>
    </w:p>
  </w:footnote>
  <w:footnote w:id="76">
    <w:p w14:paraId="4290C92D" w14:textId="6D5D8FB6" w:rsidR="00C20644" w:rsidRDefault="00C20644">
      <w:pPr>
        <w:pStyle w:val="FootnoteText"/>
      </w:pPr>
      <w:r>
        <w:rPr>
          <w:rStyle w:val="FootnoteReference"/>
        </w:rPr>
        <w:footnoteRef/>
      </w:r>
      <w:r>
        <w:t xml:space="preserve"> </w:t>
      </w:r>
      <w:r w:rsidR="004773E8">
        <w:t xml:space="preserve">The main specifications exclude </w:t>
      </w:r>
      <w:r w:rsidR="007F4ABC">
        <w:t>consent j</w:t>
      </w:r>
      <w:r w:rsidR="004773E8">
        <w:t>udgments and default judgements because the study is designed to measure judicial merits outcome, not negotiated resolution. Consent judgements in particular may embody settlement incentives, licensing arrangements, or strategic concessions, and therefore may not represent a court’s independent assessment of validity or infringement. In reviewing the consent judgments, most of them occurred without any action by the district court. I separately coded for consent judgments that followed events from the district court, such as a claim construction ruling, or, in some cases, a ruling on a motion, such as a ruling that the claims were indefinite. In robustness checks, I included consent judgments in my sample in two different ways. First, I only include consent judgements that followed a key event by the district court. Most of these cases consisted of consent judgments following a claim construction where the party would have conceded on infringement given the court’s construction of the claims. Second, I include a specification where I included all consent judgments. The robustness checks including consent judgments produces the same qualitative pattern for the results presented here, with AI patents being more associated with invalidity and section 101 outcomes, and less associated with no-infringement and section 103 obviousness results. Including consent judgements in the sample, particularly including all consent judgments, significantly alters the number of observations, and including them alters the main invalidity and infringement baselines</w:t>
      </w:r>
      <w:r w:rsidR="001D1E17">
        <w:t xml:space="preserve">. </w:t>
      </w:r>
      <w:r w:rsidR="004773E8">
        <w:t xml:space="preserve">For example, invalidity falls from a non-AI predicted baseline of </w:t>
      </w:r>
      <w:r w:rsidR="00137227">
        <w:t>48</w:t>
      </w:r>
      <w:r w:rsidR="004773E8">
        <w:t>% in the non-consent sample to just 2</w:t>
      </w:r>
      <w:r w:rsidR="0008532B">
        <w:t>2</w:t>
      </w:r>
      <w:r w:rsidR="004773E8">
        <w:t>% with consent judgments included, while infringement rises from 3</w:t>
      </w:r>
      <w:r w:rsidR="0008532B">
        <w:t>5</w:t>
      </w:r>
      <w:r w:rsidR="004773E8">
        <w:t xml:space="preserve">% to </w:t>
      </w:r>
      <w:r w:rsidR="0008532B">
        <w:t>60</w:t>
      </w:r>
      <w:r w:rsidR="004773E8">
        <w:t xml:space="preserve">%. </w:t>
      </w:r>
      <w:r w:rsidR="001D1E17">
        <w:t>This confirms that consent judgments are compositionally different from the non-consent merits sample, akin more to settlements.</w:t>
      </w:r>
    </w:p>
  </w:footnote>
  <w:footnote w:id="77">
    <w:p w14:paraId="34758AD5" w14:textId="62820E96" w:rsidR="00137227" w:rsidRDefault="00137227">
      <w:pPr>
        <w:pStyle w:val="FootnoteText"/>
      </w:pPr>
      <w:r>
        <w:rPr>
          <w:rStyle w:val="FootnoteReference"/>
        </w:rPr>
        <w:footnoteRef/>
      </w:r>
      <w:r>
        <w:t xml:space="preserve"> </w:t>
      </w:r>
      <w:r w:rsidR="00907064">
        <w:t xml:space="preserve">Coefficients are percentage-point differences. The predicted probabilities reported in the table are adjusted probabilities. </w:t>
      </w:r>
      <w:r>
        <w:t>The adjusted probability is the model-implied average predicted outcome if all observations were treated as non-AI versus</w:t>
      </w:r>
      <w:r w:rsidR="00907064">
        <w:t xml:space="preserve"> (the AI indicator set to 0)</w:t>
      </w:r>
      <w:r>
        <w:t xml:space="preserve"> if all observations were treated as AI</w:t>
      </w:r>
      <w:r w:rsidR="00907064">
        <w:t xml:space="preserve"> (the AI indicator set to 1)</w:t>
      </w:r>
      <w:r>
        <w:t>,</w:t>
      </w:r>
      <w:r w:rsidR="00907064">
        <w:t xml:space="preserve"> with all observed covariates remaining as they are</w:t>
      </w:r>
      <w:r>
        <w:t>.</w:t>
      </w:r>
      <w:r w:rsidR="00907064">
        <w:t xml:space="preserve"> The relative change is the percentage increase or decrease from the adjusted non-AI probability to the adjusted AI probability.</w:t>
      </w:r>
      <w:r>
        <w:t xml:space="preserve"> In a linear probability model, the difference between the two adjusted probabilities (one for non-AI and one for AI since it is a dichotomous variable) is the AI coefficient. So if predicted invalidity is 54</w:t>
      </w:r>
      <w:r w:rsidR="00907064">
        <w:t>.3</w:t>
      </w:r>
      <w:r>
        <w:t>% for AI=0 and 5</w:t>
      </w:r>
      <w:r w:rsidR="00907064">
        <w:t>.2</w:t>
      </w:r>
      <w:r>
        <w:t xml:space="preserve">9% for AI=1, the adjusted difference is </w:t>
      </w:r>
      <w:r w:rsidR="00907064">
        <w:t>4.86</w:t>
      </w:r>
      <w:r>
        <w:t xml:space="preserve"> percentage points. </w:t>
      </w:r>
    </w:p>
  </w:footnote>
  <w:footnote w:id="78">
    <w:p w14:paraId="6DE4EA14" w14:textId="2C613871" w:rsidR="00D14143" w:rsidRDefault="00D14143">
      <w:pPr>
        <w:pStyle w:val="FootnoteText"/>
      </w:pPr>
      <w:r>
        <w:rPr>
          <w:rStyle w:val="FootnoteReference"/>
        </w:rPr>
        <w:footnoteRef/>
      </w:r>
      <w:r>
        <w:t xml:space="preserve"> Within the merits sample, there is a difference of only a few hundred patents between the 86% and 93% AI tiers. As such, results will be very similar across those two tiers in particular. </w:t>
      </w:r>
    </w:p>
  </w:footnote>
  <w:footnote w:id="79">
    <w:p w14:paraId="34AADE45" w14:textId="504B4152" w:rsidR="00CB3F03" w:rsidRDefault="00CB3F03">
      <w:pPr>
        <w:pStyle w:val="FootnoteText"/>
      </w:pPr>
      <w:r>
        <w:rPr>
          <w:rStyle w:val="FootnoteReference"/>
        </w:rPr>
        <w:footnoteRef/>
      </w:r>
      <w:r>
        <w:t xml:space="preserve"> The results here </w:t>
      </w:r>
      <w:r w:rsidR="006D5D3B">
        <w:t xml:space="preserve">on section 101 and section 103 </w:t>
      </w:r>
      <w:r>
        <w:t>are robust to specifications including judge fixed effects.</w:t>
      </w:r>
      <w:r w:rsidR="00755951">
        <w:t xml:space="preserve"> General invalidity and infringement results enjoy only marginal significance when judge fixed effects are added.</w:t>
      </w:r>
      <w:r>
        <w:t xml:space="preserve"> Judge fixed effects compare AI and non-AI patent outcomes only within the same judge’s docket, which is a demanding check for judge-specific decision-making. At the same time, that specification absorbs much of the cross-judge variation that is substantively relevant in patent litigation and relies primarily on judges who have sufficient within-judge variation in both AI exposure and outcomes. For that reason, I treat the judge-fixed effects as a robustness check rather than a preferred specification. </w:t>
      </w:r>
    </w:p>
  </w:footnote>
  <w:footnote w:id="80">
    <w:p w14:paraId="3EC96391" w14:textId="77777777" w:rsidR="003D7025" w:rsidRDefault="003D7025" w:rsidP="003D7025">
      <w:pPr>
        <w:pStyle w:val="FootnoteText"/>
      </w:pPr>
      <w:r>
        <w:rPr>
          <w:rStyle w:val="FootnoteReference"/>
        </w:rPr>
        <w:footnoteRef/>
      </w:r>
      <w:r>
        <w:rPr>
          <w:i/>
          <w:iCs/>
        </w:rPr>
        <w:t>See</w:t>
      </w:r>
      <w:r>
        <w:t xml:space="preserve"> </w:t>
      </w:r>
      <w:r>
        <w:rPr>
          <w:smallCaps/>
        </w:rPr>
        <w:t>World Intellectual Prop. Org.</w:t>
      </w:r>
      <w:r>
        <w:t xml:space="preserve">, </w:t>
      </w:r>
      <w:r>
        <w:rPr>
          <w:i/>
          <w:iCs/>
        </w:rPr>
        <w:t>WIPO Technology Concordance Table</w:t>
      </w:r>
      <w:r>
        <w:t xml:space="preserve"> (rev. ed. 2013); </w:t>
      </w:r>
      <w:r>
        <w:rPr>
          <w:smallCaps/>
        </w:rPr>
        <w:t>USPTO &amp; EPO</w:t>
      </w:r>
      <w:r>
        <w:t xml:space="preserve">, </w:t>
      </w:r>
      <w:r>
        <w:rPr>
          <w:i/>
          <w:iCs/>
        </w:rPr>
        <w:t>Cooperative Patent Classification System—Definition and Principles</w:t>
      </w:r>
      <w:r>
        <w:t xml:space="preserve"> (2013). I use current CPC classifications because they incorporate the most up-to-date reclassifications. Both taxonomies are available on PatentsView.</w:t>
      </w:r>
    </w:p>
  </w:footnote>
  <w:footnote w:id="81">
    <w:p w14:paraId="53510C89" w14:textId="688EB0EB" w:rsidR="00CE1ABC" w:rsidRDefault="00CE1ABC">
      <w:pPr>
        <w:pStyle w:val="FootnoteText"/>
      </w:pPr>
      <w:r>
        <w:rPr>
          <w:rStyle w:val="FootnoteReference"/>
        </w:rPr>
        <w:footnoteRef/>
      </w:r>
      <w:r>
        <w:t xml:space="preserve"> I use a WIPO-based definition as a robustness check that captures software-adjacent digital technologies. The overlap between the two classifications is substantial: nearly all CPC-defined software patents are also captured by WIPO, but WIPO identifies a larger digital-technology universe</w:t>
      </w:r>
      <w:r w:rsidR="000C2D7E">
        <w:t xml:space="preserve"> as it captures some communications and audiovisual technologies outside core software. </w:t>
      </w:r>
    </w:p>
  </w:footnote>
  <w:footnote w:id="82">
    <w:p w14:paraId="6315A36B" w14:textId="0EAF4001" w:rsidR="00DC38C6" w:rsidRDefault="00DC38C6">
      <w:pPr>
        <w:pStyle w:val="FootnoteText"/>
      </w:pPr>
      <w:r>
        <w:rPr>
          <w:rStyle w:val="FootnoteReference"/>
        </w:rPr>
        <w:footnoteRef/>
      </w:r>
      <w:r>
        <w:t xml:space="preserve"> </w:t>
      </w:r>
      <w:r w:rsidR="00392D8E" w:rsidRPr="00392D8E">
        <w:t xml:space="preserve">I used these definitions because the narrow category, consisting of CPC subclasses G06F and G06Q, captures the core software and business-method computing categories, while the broader definition encompassing more CPC subclasses also captures adjacent digital technologies where AI is commonly embedded, including digital communications, wireless networking, image processing, speech processing, and graphical or data reading systems. Specifically, </w:t>
      </w:r>
      <w:r w:rsidR="00A21710" w:rsidRPr="00392D8E">
        <w:t>I define “narrow” soft</w:t>
      </w:r>
      <w:r w:rsidR="00392D8E">
        <w:t>ware</w:t>
      </w:r>
      <w:r w:rsidR="00A21710" w:rsidRPr="00392D8E">
        <w:t xml:space="preserve"> as patents whose primary CPC subclass is G06F or G06Q. I define “broad” software as patents whose primary CPC subclass is G06F, G06Q, H04L, H0W, G06T, G10L, or G06K. </w:t>
      </w:r>
      <w:r w:rsidR="00392D8E" w:rsidRPr="00392D8E">
        <w:t xml:space="preserve">For WIPO, </w:t>
      </w:r>
      <w:r w:rsidR="00392D8E">
        <w:t>“</w:t>
      </w:r>
      <w:r w:rsidR="00392D8E" w:rsidRPr="00392D8E">
        <w:t>n</w:t>
      </w:r>
      <w:r w:rsidR="00CE1ABC" w:rsidRPr="00392D8E">
        <w:t>arrow</w:t>
      </w:r>
      <w:r w:rsidR="00392D8E">
        <w:t>”</w:t>
      </w:r>
      <w:r w:rsidR="00CE1ABC">
        <w:t xml:space="preserve"> software is defined as WIPO categories “computer technology” or “IT methods for management,” while broad software also includes those fields plus “digital communications,” “telecommunications,” and “audio-visual technology.” The </w:t>
      </w:r>
      <w:r w:rsidR="00392D8E">
        <w:t>“b</w:t>
      </w:r>
      <w:r w:rsidR="00CE1ABC">
        <w:t>road</w:t>
      </w:r>
      <w:r w:rsidR="00392D8E">
        <w:t>”</w:t>
      </w:r>
      <w:r w:rsidR="00CE1ABC">
        <w:t xml:space="preserve"> WIPO definition is intended to capture software-adjacent digital technologies without expanding so far that the category absorbs general instrumentation, control systems, medical devices, or hardware. Results are robust to using the </w:t>
      </w:r>
      <w:r w:rsidR="00392D8E">
        <w:t>narrow classification for both CPC and WIPO.</w:t>
      </w:r>
    </w:p>
  </w:footnote>
  <w:footnote w:id="83">
    <w:p w14:paraId="1771E78A" w14:textId="77777777" w:rsidR="00E93EC8" w:rsidRPr="00923BDE" w:rsidRDefault="00E93EC8" w:rsidP="00E93EC8">
      <w:pPr>
        <w:pStyle w:val="FootnoteText"/>
      </w:pPr>
      <w:r>
        <w:rPr>
          <w:rStyle w:val="FootnoteReference"/>
        </w:rPr>
        <w:footnoteRef/>
      </w:r>
      <w:r>
        <w:t xml:space="preserve"> The 95% confidence level is the standard confidence level to call a result statistically significant. For the first time here, written description is statistically significant only at 90% confidence, indicating that within the software-only subsample, AI patents are less likely to be invalidated under written description than non-AI patents. Further, under the WIPO definition of software, enablement shows up as statistically significant at 99% confidence, with AI patents being more likely than non-AI patents to be invalidated for lack of enablement. The difference is substantively small, and as discussed </w:t>
      </w:r>
      <w:r>
        <w:rPr>
          <w:i/>
          <w:iCs/>
        </w:rPr>
        <w:t>supra</w:t>
      </w:r>
      <w:r>
        <w:t xml:space="preserve">, these results must be taken with a grain of salt and not ascribed too much importance. </w:t>
      </w:r>
    </w:p>
  </w:footnote>
  <w:footnote w:id="84">
    <w:p w14:paraId="22A0197D" w14:textId="3E22239D" w:rsidR="00C30502" w:rsidRDefault="00C30502" w:rsidP="00CE1ABC">
      <w:pPr>
        <w:pStyle w:val="FootnoteText"/>
        <w:ind w:firstLine="0"/>
      </w:pPr>
      <w:r>
        <w:rPr>
          <w:rStyle w:val="FootnoteReference"/>
        </w:rPr>
        <w:footnoteRef/>
      </w:r>
      <w:r>
        <w:t xml:space="preserve"> By contrast, the enablement result is not robust in this limited subsample. Once software and telecommunications patents are removed, the coefficient remains positive but it is no longer statistically significant. That confirms that enablement should be treated as a fragile, cluster-sensitive secondary result, not as a key finding here. </w:t>
      </w:r>
    </w:p>
  </w:footnote>
  <w:footnote w:id="85">
    <w:p w14:paraId="59954958" w14:textId="77777777" w:rsidR="008442FB" w:rsidRDefault="008442FB" w:rsidP="008442FB">
      <w:pPr>
        <w:pStyle w:val="FootnoteText"/>
      </w:pPr>
      <w:r>
        <w:rPr>
          <w:rStyle w:val="FootnoteReference"/>
        </w:rPr>
        <w:footnoteRef/>
      </w:r>
      <w:r>
        <w:t xml:space="preserve">On the instability of </w:t>
      </w:r>
      <w:r>
        <w:rPr>
          <w:i/>
          <w:iCs/>
        </w:rPr>
        <w:t>Alice</w:t>
      </w:r>
      <w:r>
        <w:t xml:space="preserve"> step one, see Matthew Sipe, </w:t>
      </w:r>
      <w:r>
        <w:rPr>
          <w:i/>
          <w:iCs/>
        </w:rPr>
        <w:t>Patent Law 101: I Know It When I See It</w:t>
      </w:r>
      <w:r>
        <w:t xml:space="preserve">, 37 </w:t>
      </w:r>
      <w:r>
        <w:rPr>
          <w:smallCaps/>
        </w:rPr>
        <w:t>Harv. J.L. &amp; Tech.</w:t>
      </w:r>
      <w:r>
        <w:t xml:space="preserve"> 1, 54–69 (2023); Arti K. Rai, </w:t>
      </w:r>
      <w:r>
        <w:rPr>
          <w:i/>
          <w:iCs/>
        </w:rPr>
        <w:t>Machine Learning at the Patent Office</w:t>
      </w:r>
      <w:r>
        <w:t xml:space="preserve">, 104 </w:t>
      </w:r>
      <w:r>
        <w:rPr>
          <w:smallCaps/>
        </w:rPr>
        <w:t>Iowa L. Rev.</w:t>
      </w:r>
      <w:r>
        <w:t xml:space="preserve"> 2617, 2641–47 (2019). The framework derives from </w:t>
      </w:r>
      <w:r>
        <w:rPr>
          <w:i/>
          <w:iCs/>
        </w:rPr>
        <w:t>Mayo Collaborative Servs. v. Prometheus Labs., Inc.</w:t>
      </w:r>
      <w:r>
        <w:t xml:space="preserve">, 566 U.S. 66 (2012), and </w:t>
      </w:r>
      <w:r>
        <w:rPr>
          <w:i/>
          <w:iCs/>
        </w:rPr>
        <w:t>Alice Corp. v. CLS Bank Int’l</w:t>
      </w:r>
      <w:r>
        <w:t>, 573 U.S. 208 (2014).</w:t>
      </w:r>
    </w:p>
  </w:footnote>
  <w:footnote w:id="86">
    <w:p w14:paraId="4F2B9ADF" w14:textId="77777777" w:rsidR="008442FB" w:rsidRDefault="008442FB" w:rsidP="008442FB">
      <w:pPr>
        <w:pStyle w:val="FootnoteText"/>
      </w:pPr>
      <w:r>
        <w:rPr>
          <w:rStyle w:val="FootnoteReference"/>
        </w:rPr>
        <w:footnoteRef/>
      </w:r>
      <w:r>
        <w:rPr>
          <w:i/>
          <w:iCs/>
        </w:rPr>
        <w:t>See</w:t>
      </w:r>
      <w:r>
        <w:t xml:space="preserve"> </w:t>
      </w:r>
      <w:r>
        <w:rPr>
          <w:smallCaps/>
        </w:rPr>
        <w:t>U.S. Pat. &amp; Trademark Off.</w:t>
      </w:r>
      <w:r>
        <w:t xml:space="preserve">, </w:t>
      </w:r>
      <w:r>
        <w:rPr>
          <w:i/>
          <w:iCs/>
        </w:rPr>
        <w:t>2024 Guidance Update on Patent Subject Matter Eligibility, Including on Artificial Intelligence</w:t>
      </w:r>
      <w:r>
        <w:t>, 89 Fed. Reg. 58,128 (July 17, 2024).</w:t>
      </w:r>
    </w:p>
  </w:footnote>
  <w:footnote w:id="87">
    <w:p w14:paraId="56E1380C" w14:textId="77777777" w:rsidR="008442FB" w:rsidRDefault="008442FB" w:rsidP="008442FB">
      <w:pPr>
        <w:pStyle w:val="FootnoteText"/>
      </w:pPr>
      <w:r>
        <w:rPr>
          <w:rStyle w:val="FootnoteReference"/>
        </w:rPr>
        <w:footnoteRef/>
      </w:r>
      <w:r>
        <w:rPr>
          <w:i/>
          <w:iCs/>
        </w:rPr>
        <w:t>See</w:t>
      </w:r>
      <w:r>
        <w:t xml:space="preserve"> Kevin Emerson Collins, </w:t>
      </w:r>
      <w:r>
        <w:rPr>
          <w:i/>
          <w:iCs/>
        </w:rPr>
        <w:t>Patent Law’s Functionality Malfunction and the Problem of Overbroad, Functional Software Patents</w:t>
      </w:r>
      <w:r>
        <w:t xml:space="preserve">, 90 </w:t>
      </w:r>
      <w:r>
        <w:rPr>
          <w:smallCaps/>
        </w:rPr>
        <w:t>Wash. U. L. Rev.</w:t>
      </w:r>
      <w:r>
        <w:t xml:space="preserve"> 1399, 1401–07 (2013); Mark A. Lemley, </w:t>
      </w:r>
      <w:r>
        <w:rPr>
          <w:i/>
          <w:iCs/>
        </w:rPr>
        <w:t>Software Patents and the Return of Functional Claiming</w:t>
      </w:r>
      <w:r>
        <w:t xml:space="preserve">, 2013 </w:t>
      </w:r>
      <w:r>
        <w:rPr>
          <w:smallCaps/>
        </w:rPr>
        <w:t>Wis. L. Rev.</w:t>
      </w:r>
      <w:r>
        <w:t xml:space="preserve"> 905; </w:t>
      </w:r>
      <w:r>
        <w:rPr>
          <w:i/>
          <w:iCs/>
        </w:rPr>
        <w:t>see also</w:t>
      </w:r>
      <w:r>
        <w:t xml:space="preserve"> W. Keith Robinson, </w:t>
      </w:r>
      <w:r>
        <w:rPr>
          <w:i/>
          <w:iCs/>
        </w:rPr>
        <w:t>Enabling Artificial Intelligence</w:t>
      </w:r>
      <w:r>
        <w:t xml:space="preserve">, 60 </w:t>
      </w:r>
      <w:r>
        <w:rPr>
          <w:smallCaps/>
        </w:rPr>
        <w:t>Hous. L. Rev.</w:t>
      </w:r>
      <w:r>
        <w:t xml:space="preserve"> 331 (2022).</w:t>
      </w:r>
    </w:p>
  </w:footnote>
  <w:footnote w:id="88">
    <w:p w14:paraId="193018CD" w14:textId="77777777" w:rsidR="008442FB" w:rsidRDefault="008442FB" w:rsidP="008442FB">
      <w:pPr>
        <w:pStyle w:val="FootnoteText"/>
      </w:pPr>
      <w:r>
        <w:rPr>
          <w:rStyle w:val="FootnoteReference"/>
        </w:rPr>
        <w:footnoteRef/>
      </w:r>
      <w:r>
        <w:rPr>
          <w:i/>
          <w:iCs/>
        </w:rPr>
        <w:t>See</w:t>
      </w:r>
      <w:r>
        <w:t xml:space="preserve"> Jeffrey A. Lefstin, </w:t>
      </w:r>
      <w:r>
        <w:rPr>
          <w:i/>
          <w:iCs/>
        </w:rPr>
        <w:t>Inventive Application: A History</w:t>
      </w:r>
      <w:r>
        <w:t xml:space="preserve">, 67 </w:t>
      </w:r>
      <w:r>
        <w:rPr>
          <w:smallCaps/>
        </w:rPr>
        <w:t>Fla. L. Rev.</w:t>
      </w:r>
      <w:r>
        <w:t xml:space="preserve"> 565 (2015); David O. Taylor, </w:t>
      </w:r>
      <w:r>
        <w:rPr>
          <w:i/>
          <w:iCs/>
        </w:rPr>
        <w:t>Confusing Patent Eligibility</w:t>
      </w:r>
      <w:r>
        <w:t xml:space="preserve">, 84 </w:t>
      </w:r>
      <w:r>
        <w:rPr>
          <w:smallCaps/>
        </w:rPr>
        <w:t>Tenn. L. Rev.</w:t>
      </w:r>
      <w:r>
        <w:t xml:space="preserve"> 157, 159–65 (2016).</w:t>
      </w:r>
    </w:p>
  </w:footnote>
  <w:footnote w:id="89">
    <w:p w14:paraId="65342E49" w14:textId="77777777" w:rsidR="008442FB" w:rsidRDefault="008442FB" w:rsidP="008442FB">
      <w:pPr>
        <w:pStyle w:val="FootnoteText"/>
      </w:pPr>
      <w:r>
        <w:rPr>
          <w:rStyle w:val="FootnoteReference"/>
        </w:rPr>
        <w:footnoteRef/>
      </w:r>
      <w:r>
        <w:t>Interval Licensing LLC v. AOL, Inc., 896 F.3d 1335, 1345 (Fed. Cir. 2018) (Plager, J., concurring in part and dissenting in part).</w:t>
      </w:r>
    </w:p>
  </w:footnote>
  <w:footnote w:id="90">
    <w:p w14:paraId="1DE0A11B" w14:textId="77777777" w:rsidR="008442FB" w:rsidRDefault="008442FB" w:rsidP="008442FB">
      <w:pPr>
        <w:pStyle w:val="FootnoteText"/>
      </w:pPr>
      <w:r>
        <w:rPr>
          <w:rStyle w:val="FootnoteReference"/>
        </w:rPr>
        <w:footnoteRef/>
      </w:r>
      <w:r>
        <w:rPr>
          <w:i/>
          <w:iCs/>
        </w:rPr>
        <w:t>Am. Axle &amp; Mfg., Inc. v. Neapco Holdings LLC</w:t>
      </w:r>
      <w:r>
        <w:t xml:space="preserve">, 967 F.3d 1285 (Fed. Cir. 2020); </w:t>
      </w:r>
      <w:r>
        <w:rPr>
          <w:i/>
          <w:iCs/>
        </w:rPr>
        <w:t>Athena Diagnostics, Inc. v. Mayo Collaborative Servs., LLC</w:t>
      </w:r>
      <w:r>
        <w:t xml:space="preserve">, 927 F.3d 1333 (Fed. Cir. 2019); </w:t>
      </w:r>
      <w:r>
        <w:rPr>
          <w:i/>
          <w:iCs/>
        </w:rPr>
        <w:t>see also</w:t>
      </w:r>
      <w:r>
        <w:t xml:space="preserve"> Matthew B. Hershkowitz, Note, </w:t>
      </w:r>
      <w:r>
        <w:rPr>
          <w:i/>
          <w:iCs/>
        </w:rPr>
        <w:t>Patently Insane for Patents</w:t>
      </w:r>
      <w:r>
        <w:t xml:space="preserve">, 28 </w:t>
      </w:r>
      <w:r>
        <w:rPr>
          <w:smallCaps/>
        </w:rPr>
        <w:t>Fordham Intell. Prop. Media &amp; Ent. L.J.</w:t>
      </w:r>
      <w:r>
        <w:t xml:space="preserve"> 109 (2017).</w:t>
      </w:r>
    </w:p>
  </w:footnote>
  <w:footnote w:id="91">
    <w:p w14:paraId="4D914294" w14:textId="77777777" w:rsidR="008442FB" w:rsidRDefault="008442FB" w:rsidP="008442FB">
      <w:pPr>
        <w:pStyle w:val="FootnoteText"/>
      </w:pPr>
      <w:r>
        <w:rPr>
          <w:rStyle w:val="FootnoteReference"/>
        </w:rPr>
        <w:footnoteRef/>
      </w:r>
      <w:r>
        <w:rPr>
          <w:i/>
          <w:iCs/>
        </w:rPr>
        <w:t>See</w:t>
      </w:r>
      <w:r>
        <w:t xml:space="preserve"> Patent Eligibility Restoration Act of 2023, S. 2140, 118th Cong. (2023); Hickey, </w:t>
      </w:r>
      <w:r>
        <w:rPr>
          <w:i/>
          <w:iCs/>
        </w:rPr>
        <w:t>supra</w:t>
      </w:r>
      <w:r>
        <w:t xml:space="preserve"> note 11, at 16–21.</w:t>
      </w:r>
    </w:p>
  </w:footnote>
  <w:footnote w:id="92">
    <w:p w14:paraId="58B40354" w14:textId="77777777" w:rsidR="008442FB" w:rsidRDefault="008442FB" w:rsidP="008442FB">
      <w:pPr>
        <w:pStyle w:val="FootnoteText"/>
      </w:pPr>
      <w:r>
        <w:rPr>
          <w:rStyle w:val="FootnoteReference"/>
        </w:rPr>
        <w:footnoteRef/>
      </w:r>
      <w:r>
        <w:rPr>
          <w:i/>
          <w:iCs/>
        </w:rPr>
        <w:t>See</w:t>
      </w:r>
      <w:r>
        <w:t xml:space="preserve"> Berkheimer v. HP Inc., 881 F.3d 1360, 1368–69 (Fed. Cir. 2018) (whether claim elements are routine and conventional is a question of fact).</w:t>
      </w:r>
    </w:p>
  </w:footnote>
  <w:footnote w:id="93">
    <w:p w14:paraId="0CF08602" w14:textId="77777777" w:rsidR="008442FB" w:rsidRDefault="008442FB" w:rsidP="008442FB">
      <w:pPr>
        <w:pStyle w:val="FootnoteText"/>
      </w:pPr>
      <w:r>
        <w:rPr>
          <w:rStyle w:val="FootnoteReference"/>
        </w:rPr>
        <w:footnoteRef/>
      </w:r>
      <w:r>
        <w:rPr>
          <w:i/>
          <w:iCs/>
        </w:rPr>
        <w:t>See</w:t>
      </w:r>
      <w:r>
        <w:t xml:space="preserve"> </w:t>
      </w:r>
      <w:r>
        <w:rPr>
          <w:smallCaps/>
        </w:rPr>
        <w:t>U.S. Pat. &amp; Trademark Off.</w:t>
      </w:r>
      <w:r>
        <w:t xml:space="preserve">, </w:t>
      </w:r>
      <w:r>
        <w:rPr>
          <w:i/>
          <w:iCs/>
        </w:rPr>
        <w:t>2024 Guidance Update on Patent Subject Matter Eligibility, Including on Artificial Intelligence</w:t>
      </w:r>
      <w:r>
        <w:t>, 89 Fed. Reg. 58,128 (July 17, 2024).</w:t>
      </w:r>
    </w:p>
  </w:footnote>
  <w:footnote w:id="94">
    <w:p w14:paraId="0251C210" w14:textId="77777777" w:rsidR="008442FB" w:rsidRDefault="008442FB" w:rsidP="008442FB">
      <w:pPr>
        <w:pStyle w:val="FootnoteText"/>
      </w:pPr>
      <w:r>
        <w:rPr>
          <w:rStyle w:val="FootnoteReference"/>
        </w:rPr>
        <w:footnoteRef/>
      </w:r>
      <w:r>
        <w:t xml:space="preserve">Court-appointed experts are already authorized. </w:t>
      </w:r>
      <w:r>
        <w:rPr>
          <w:i/>
          <w:iCs/>
        </w:rPr>
        <w:t>See</w:t>
      </w:r>
      <w:r>
        <w:t xml:space="preserve"> Fed. R. Evid. 706.</w:t>
      </w:r>
    </w:p>
  </w:footnote>
  <w:footnote w:id="95">
    <w:p w14:paraId="158E904B" w14:textId="77777777" w:rsidR="008442FB" w:rsidRDefault="008442FB" w:rsidP="008442FB">
      <w:pPr>
        <w:pStyle w:val="FootnoteText"/>
      </w:pPr>
      <w:r>
        <w:rPr>
          <w:rStyle w:val="FootnoteReference"/>
        </w:rPr>
        <w:footnoteRef/>
      </w:r>
      <w:r>
        <w:rPr>
          <w:i/>
          <w:iCs/>
        </w:rPr>
        <w:t>See</w:t>
      </w:r>
      <w:r>
        <w:t xml:space="preserve"> Akamai Techs., Inc. v. Limelight Networks, Inc., 797 F.3d 1020, 1022–24 (Fed. Cir. 2015) (en banc); 35 U.S.C. § 271(b)–(c).</w:t>
      </w:r>
    </w:p>
  </w:footnote>
  <w:footnote w:id="96">
    <w:p w14:paraId="194254BC" w14:textId="77777777" w:rsidR="008442FB" w:rsidRDefault="008442FB" w:rsidP="008442FB">
      <w:pPr>
        <w:pStyle w:val="FootnoteText"/>
      </w:pPr>
      <w:r>
        <w:rPr>
          <w:rStyle w:val="FootnoteReference"/>
        </w:rPr>
        <w:footnoteRef/>
      </w:r>
      <w:r>
        <w:rPr>
          <w:i/>
          <w:iCs/>
        </w:rPr>
        <w:t>See</w:t>
      </w:r>
      <w:r>
        <w:t xml:space="preserve"> Zubulake v. UBS Warburg LLC, 217 F.R.D. 309, 317–24 (S.D.N.Y. 2003).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CF039CF"/>
    <w:multiLevelType w:val="hybridMultilevel"/>
    <w:tmpl w:val="53984288"/>
    <w:lvl w:ilvl="0" w:tplc="BEC88F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644699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5F0"/>
    <w:rsid w:val="00006157"/>
    <w:rsid w:val="0000683C"/>
    <w:rsid w:val="00012457"/>
    <w:rsid w:val="00017E0E"/>
    <w:rsid w:val="00032257"/>
    <w:rsid w:val="00032302"/>
    <w:rsid w:val="00040030"/>
    <w:rsid w:val="0004315F"/>
    <w:rsid w:val="00047D92"/>
    <w:rsid w:val="0007410B"/>
    <w:rsid w:val="0008532B"/>
    <w:rsid w:val="0009253C"/>
    <w:rsid w:val="000B1DDB"/>
    <w:rsid w:val="000B79E0"/>
    <w:rsid w:val="000C2D7E"/>
    <w:rsid w:val="000D4A69"/>
    <w:rsid w:val="000E0F04"/>
    <w:rsid w:val="000F3568"/>
    <w:rsid w:val="00107CE1"/>
    <w:rsid w:val="001142BC"/>
    <w:rsid w:val="00137227"/>
    <w:rsid w:val="00144BB7"/>
    <w:rsid w:val="001600B3"/>
    <w:rsid w:val="00164ACF"/>
    <w:rsid w:val="0018097C"/>
    <w:rsid w:val="001A6615"/>
    <w:rsid w:val="001B52F1"/>
    <w:rsid w:val="001B761B"/>
    <w:rsid w:val="001D1E17"/>
    <w:rsid w:val="001E6C84"/>
    <w:rsid w:val="001E7CAB"/>
    <w:rsid w:val="001F2C28"/>
    <w:rsid w:val="00213A88"/>
    <w:rsid w:val="002206F1"/>
    <w:rsid w:val="00223D41"/>
    <w:rsid w:val="002301CF"/>
    <w:rsid w:val="002304A8"/>
    <w:rsid w:val="00254D25"/>
    <w:rsid w:val="00262A25"/>
    <w:rsid w:val="0026523F"/>
    <w:rsid w:val="00265CB3"/>
    <w:rsid w:val="0028016E"/>
    <w:rsid w:val="0028399B"/>
    <w:rsid w:val="002951EF"/>
    <w:rsid w:val="002C0B8E"/>
    <w:rsid w:val="002D04EE"/>
    <w:rsid w:val="002D0E53"/>
    <w:rsid w:val="002D5B5D"/>
    <w:rsid w:val="00304B82"/>
    <w:rsid w:val="0033330D"/>
    <w:rsid w:val="0034162F"/>
    <w:rsid w:val="003425B1"/>
    <w:rsid w:val="003426E0"/>
    <w:rsid w:val="0035326F"/>
    <w:rsid w:val="0037308B"/>
    <w:rsid w:val="00392D8E"/>
    <w:rsid w:val="0039309F"/>
    <w:rsid w:val="00394238"/>
    <w:rsid w:val="003B7916"/>
    <w:rsid w:val="003C1DC8"/>
    <w:rsid w:val="003D18BB"/>
    <w:rsid w:val="003D7025"/>
    <w:rsid w:val="003E632B"/>
    <w:rsid w:val="003F1B5F"/>
    <w:rsid w:val="003F54C0"/>
    <w:rsid w:val="004018E4"/>
    <w:rsid w:val="00401DDF"/>
    <w:rsid w:val="00416315"/>
    <w:rsid w:val="0041761C"/>
    <w:rsid w:val="004272B9"/>
    <w:rsid w:val="0043206C"/>
    <w:rsid w:val="004428BD"/>
    <w:rsid w:val="00453F64"/>
    <w:rsid w:val="00466D68"/>
    <w:rsid w:val="00475C52"/>
    <w:rsid w:val="004772FD"/>
    <w:rsid w:val="004773E8"/>
    <w:rsid w:val="0048317C"/>
    <w:rsid w:val="00490A61"/>
    <w:rsid w:val="00492EB3"/>
    <w:rsid w:val="0049447E"/>
    <w:rsid w:val="004A62BB"/>
    <w:rsid w:val="004A63FC"/>
    <w:rsid w:val="004E09B0"/>
    <w:rsid w:val="004E279B"/>
    <w:rsid w:val="004E5930"/>
    <w:rsid w:val="004F48C1"/>
    <w:rsid w:val="005000CC"/>
    <w:rsid w:val="00506115"/>
    <w:rsid w:val="005121B3"/>
    <w:rsid w:val="00514562"/>
    <w:rsid w:val="00515D67"/>
    <w:rsid w:val="00525B6B"/>
    <w:rsid w:val="00536509"/>
    <w:rsid w:val="005376C7"/>
    <w:rsid w:val="00540F51"/>
    <w:rsid w:val="005431BB"/>
    <w:rsid w:val="00545309"/>
    <w:rsid w:val="00546EB0"/>
    <w:rsid w:val="00550347"/>
    <w:rsid w:val="005532B8"/>
    <w:rsid w:val="00563F53"/>
    <w:rsid w:val="0056518F"/>
    <w:rsid w:val="00584115"/>
    <w:rsid w:val="00593CF2"/>
    <w:rsid w:val="005A4337"/>
    <w:rsid w:val="005A6406"/>
    <w:rsid w:val="005C0622"/>
    <w:rsid w:val="005D1068"/>
    <w:rsid w:val="005E403C"/>
    <w:rsid w:val="005E40A8"/>
    <w:rsid w:val="005F00CB"/>
    <w:rsid w:val="00626FBC"/>
    <w:rsid w:val="0063659D"/>
    <w:rsid w:val="00652399"/>
    <w:rsid w:val="00660C22"/>
    <w:rsid w:val="00662373"/>
    <w:rsid w:val="00664D7A"/>
    <w:rsid w:val="006735B7"/>
    <w:rsid w:val="0068436E"/>
    <w:rsid w:val="00684A39"/>
    <w:rsid w:val="006A03D1"/>
    <w:rsid w:val="006A6423"/>
    <w:rsid w:val="006B5D33"/>
    <w:rsid w:val="006D5D3B"/>
    <w:rsid w:val="006F1954"/>
    <w:rsid w:val="006F1A65"/>
    <w:rsid w:val="007019B5"/>
    <w:rsid w:val="00704B61"/>
    <w:rsid w:val="00705E7E"/>
    <w:rsid w:val="0072337D"/>
    <w:rsid w:val="0073605F"/>
    <w:rsid w:val="0073703E"/>
    <w:rsid w:val="007448E3"/>
    <w:rsid w:val="00755951"/>
    <w:rsid w:val="00777119"/>
    <w:rsid w:val="007875D6"/>
    <w:rsid w:val="007C358D"/>
    <w:rsid w:val="007D05EE"/>
    <w:rsid w:val="007E1AA5"/>
    <w:rsid w:val="007F12BD"/>
    <w:rsid w:val="007F1311"/>
    <w:rsid w:val="007F2C28"/>
    <w:rsid w:val="007F4ABC"/>
    <w:rsid w:val="007F76CE"/>
    <w:rsid w:val="008074B4"/>
    <w:rsid w:val="00807631"/>
    <w:rsid w:val="00807F8E"/>
    <w:rsid w:val="00810CCC"/>
    <w:rsid w:val="0081754D"/>
    <w:rsid w:val="00834840"/>
    <w:rsid w:val="008442FB"/>
    <w:rsid w:val="00861F09"/>
    <w:rsid w:val="008653D6"/>
    <w:rsid w:val="00875DF7"/>
    <w:rsid w:val="008808E0"/>
    <w:rsid w:val="00883EEA"/>
    <w:rsid w:val="00893889"/>
    <w:rsid w:val="008B7DCE"/>
    <w:rsid w:val="008C2177"/>
    <w:rsid w:val="008C5310"/>
    <w:rsid w:val="008D3A07"/>
    <w:rsid w:val="00907064"/>
    <w:rsid w:val="00912E40"/>
    <w:rsid w:val="00923A86"/>
    <w:rsid w:val="00923BDE"/>
    <w:rsid w:val="00947AA2"/>
    <w:rsid w:val="00952C55"/>
    <w:rsid w:val="0096659D"/>
    <w:rsid w:val="009767C1"/>
    <w:rsid w:val="00981003"/>
    <w:rsid w:val="0098238E"/>
    <w:rsid w:val="00987A05"/>
    <w:rsid w:val="009B0427"/>
    <w:rsid w:val="009C29E2"/>
    <w:rsid w:val="009F3DD1"/>
    <w:rsid w:val="009F46AB"/>
    <w:rsid w:val="009F5CD9"/>
    <w:rsid w:val="00A02F7C"/>
    <w:rsid w:val="00A12590"/>
    <w:rsid w:val="00A214F7"/>
    <w:rsid w:val="00A21710"/>
    <w:rsid w:val="00A369CC"/>
    <w:rsid w:val="00A36D7E"/>
    <w:rsid w:val="00A40A61"/>
    <w:rsid w:val="00A65579"/>
    <w:rsid w:val="00A86AC2"/>
    <w:rsid w:val="00AA094B"/>
    <w:rsid w:val="00AA47F3"/>
    <w:rsid w:val="00AA6269"/>
    <w:rsid w:val="00AB5630"/>
    <w:rsid w:val="00AC17CC"/>
    <w:rsid w:val="00AC4ABF"/>
    <w:rsid w:val="00AF44A7"/>
    <w:rsid w:val="00B176C8"/>
    <w:rsid w:val="00B25D2E"/>
    <w:rsid w:val="00B323D7"/>
    <w:rsid w:val="00B33744"/>
    <w:rsid w:val="00B34956"/>
    <w:rsid w:val="00B725F0"/>
    <w:rsid w:val="00B73977"/>
    <w:rsid w:val="00B81FF6"/>
    <w:rsid w:val="00BA2B33"/>
    <w:rsid w:val="00BB15C3"/>
    <w:rsid w:val="00BC395D"/>
    <w:rsid w:val="00C06516"/>
    <w:rsid w:val="00C15E25"/>
    <w:rsid w:val="00C20644"/>
    <w:rsid w:val="00C268E5"/>
    <w:rsid w:val="00C30502"/>
    <w:rsid w:val="00C33391"/>
    <w:rsid w:val="00C369D1"/>
    <w:rsid w:val="00C40C04"/>
    <w:rsid w:val="00C73461"/>
    <w:rsid w:val="00C75C39"/>
    <w:rsid w:val="00CA76CF"/>
    <w:rsid w:val="00CB3F03"/>
    <w:rsid w:val="00CD6931"/>
    <w:rsid w:val="00CE1ABC"/>
    <w:rsid w:val="00CE34B8"/>
    <w:rsid w:val="00CE5FC4"/>
    <w:rsid w:val="00D04112"/>
    <w:rsid w:val="00D14143"/>
    <w:rsid w:val="00D14EF0"/>
    <w:rsid w:val="00D15498"/>
    <w:rsid w:val="00D21C71"/>
    <w:rsid w:val="00D469B2"/>
    <w:rsid w:val="00D56DC4"/>
    <w:rsid w:val="00D57A20"/>
    <w:rsid w:val="00D94DA1"/>
    <w:rsid w:val="00D974E1"/>
    <w:rsid w:val="00DC38C6"/>
    <w:rsid w:val="00DF5F13"/>
    <w:rsid w:val="00E116F0"/>
    <w:rsid w:val="00E20C1E"/>
    <w:rsid w:val="00E333AB"/>
    <w:rsid w:val="00E336FC"/>
    <w:rsid w:val="00E33832"/>
    <w:rsid w:val="00E34999"/>
    <w:rsid w:val="00E42704"/>
    <w:rsid w:val="00E431F3"/>
    <w:rsid w:val="00E436C9"/>
    <w:rsid w:val="00E46B4D"/>
    <w:rsid w:val="00E534D5"/>
    <w:rsid w:val="00E60177"/>
    <w:rsid w:val="00E61047"/>
    <w:rsid w:val="00E709C3"/>
    <w:rsid w:val="00E8739B"/>
    <w:rsid w:val="00E93EC8"/>
    <w:rsid w:val="00E9798C"/>
    <w:rsid w:val="00EA26D6"/>
    <w:rsid w:val="00EA276C"/>
    <w:rsid w:val="00EB2F5E"/>
    <w:rsid w:val="00ED3E3B"/>
    <w:rsid w:val="00EE55C2"/>
    <w:rsid w:val="00F036A6"/>
    <w:rsid w:val="00F04C58"/>
    <w:rsid w:val="00F062AC"/>
    <w:rsid w:val="00F200C3"/>
    <w:rsid w:val="00F21243"/>
    <w:rsid w:val="00F46C28"/>
    <w:rsid w:val="00F471E9"/>
    <w:rsid w:val="00F50658"/>
    <w:rsid w:val="00F544B1"/>
    <w:rsid w:val="00F552D2"/>
    <w:rsid w:val="00F82461"/>
    <w:rsid w:val="00FA5579"/>
    <w:rsid w:val="00FD3DB1"/>
    <w:rsid w:val="00FE5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559E6"/>
  <w15:chartTrackingRefBased/>
  <w15:docId w15:val="{E6318AE8-7387-FA46-ACAC-E3F89A56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5F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72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5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5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5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5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5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5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5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5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5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5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5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5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5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5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5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5F0"/>
    <w:rPr>
      <w:rFonts w:eastAsiaTheme="majorEastAsia" w:cstheme="majorBidi"/>
      <w:color w:val="272727" w:themeColor="text1" w:themeTint="D8"/>
    </w:rPr>
  </w:style>
  <w:style w:type="paragraph" w:styleId="Title">
    <w:name w:val="Title"/>
    <w:basedOn w:val="Normal"/>
    <w:next w:val="Normal"/>
    <w:link w:val="TitleChar"/>
    <w:uiPriority w:val="10"/>
    <w:qFormat/>
    <w:rsid w:val="00B725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5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5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5F0"/>
    <w:pPr>
      <w:spacing w:before="160"/>
      <w:jc w:val="center"/>
    </w:pPr>
    <w:rPr>
      <w:i/>
      <w:iCs/>
      <w:color w:val="404040" w:themeColor="text1" w:themeTint="BF"/>
    </w:rPr>
  </w:style>
  <w:style w:type="character" w:customStyle="1" w:styleId="QuoteChar">
    <w:name w:val="Quote Char"/>
    <w:basedOn w:val="DefaultParagraphFont"/>
    <w:link w:val="Quote"/>
    <w:uiPriority w:val="29"/>
    <w:rsid w:val="00B725F0"/>
    <w:rPr>
      <w:i/>
      <w:iCs/>
      <w:color w:val="404040" w:themeColor="text1" w:themeTint="BF"/>
    </w:rPr>
  </w:style>
  <w:style w:type="paragraph" w:styleId="ListParagraph">
    <w:name w:val="List Paragraph"/>
    <w:basedOn w:val="Normal"/>
    <w:qFormat/>
    <w:rsid w:val="00B725F0"/>
    <w:pPr>
      <w:ind w:left="720"/>
      <w:contextualSpacing/>
    </w:pPr>
  </w:style>
  <w:style w:type="character" w:styleId="IntenseEmphasis">
    <w:name w:val="Intense Emphasis"/>
    <w:basedOn w:val="DefaultParagraphFont"/>
    <w:uiPriority w:val="21"/>
    <w:qFormat/>
    <w:rsid w:val="00B725F0"/>
    <w:rPr>
      <w:i/>
      <w:iCs/>
      <w:color w:val="0F4761" w:themeColor="accent1" w:themeShade="BF"/>
    </w:rPr>
  </w:style>
  <w:style w:type="paragraph" w:styleId="IntenseQuote">
    <w:name w:val="Intense Quote"/>
    <w:basedOn w:val="Normal"/>
    <w:next w:val="Normal"/>
    <w:link w:val="IntenseQuoteChar"/>
    <w:uiPriority w:val="30"/>
    <w:qFormat/>
    <w:rsid w:val="00B72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5F0"/>
    <w:rPr>
      <w:i/>
      <w:iCs/>
      <w:color w:val="0F4761" w:themeColor="accent1" w:themeShade="BF"/>
    </w:rPr>
  </w:style>
  <w:style w:type="character" w:styleId="IntenseReference">
    <w:name w:val="Intense Reference"/>
    <w:basedOn w:val="DefaultParagraphFont"/>
    <w:uiPriority w:val="32"/>
    <w:qFormat/>
    <w:rsid w:val="00B725F0"/>
    <w:rPr>
      <w:b/>
      <w:bCs/>
      <w:smallCaps/>
      <w:color w:val="0F4761" w:themeColor="accent1" w:themeShade="BF"/>
      <w:spacing w:val="5"/>
    </w:rPr>
  </w:style>
  <w:style w:type="character" w:styleId="FootnoteReference">
    <w:name w:val="footnote reference"/>
    <w:uiPriority w:val="99"/>
    <w:semiHidden/>
    <w:unhideWhenUsed/>
    <w:rsid w:val="00B725F0"/>
    <w:rPr>
      <w:vertAlign w:val="superscript"/>
    </w:rPr>
  </w:style>
  <w:style w:type="paragraph" w:styleId="FootnoteText">
    <w:name w:val="footnote text"/>
    <w:basedOn w:val="Normal"/>
    <w:link w:val="FootnoteTextChar"/>
    <w:uiPriority w:val="99"/>
    <w:unhideWhenUsed/>
    <w:rsid w:val="005532B8"/>
    <w:pPr>
      <w:ind w:firstLine="720"/>
      <w:jc w:val="both"/>
    </w:pPr>
    <w:rPr>
      <w:sz w:val="20"/>
      <w:szCs w:val="20"/>
    </w:rPr>
  </w:style>
  <w:style w:type="character" w:customStyle="1" w:styleId="FootnoteTextChar">
    <w:name w:val="Footnote Text Char"/>
    <w:basedOn w:val="DefaultParagraphFont"/>
    <w:link w:val="FootnoteText"/>
    <w:uiPriority w:val="99"/>
    <w:rsid w:val="005532B8"/>
    <w:rPr>
      <w:rFonts w:ascii="Times New Roman" w:eastAsia="Times New Roman" w:hAnsi="Times New Roman" w:cs="Times New Roman"/>
      <w:kern w:val="0"/>
      <w:sz w:val="20"/>
      <w:szCs w:val="20"/>
      <w14:ligatures w14:val="none"/>
    </w:rPr>
  </w:style>
  <w:style w:type="character" w:customStyle="1" w:styleId="whitespace-normal">
    <w:name w:val="whitespace-normal"/>
    <w:basedOn w:val="DefaultParagraphFont"/>
    <w:rsid w:val="005532B8"/>
  </w:style>
  <w:style w:type="character" w:customStyle="1" w:styleId="apple-converted-space">
    <w:name w:val="apple-converted-space"/>
    <w:basedOn w:val="DefaultParagraphFont"/>
    <w:rsid w:val="005532B8"/>
  </w:style>
  <w:style w:type="character" w:styleId="Emphasis">
    <w:name w:val="Emphasis"/>
    <w:basedOn w:val="DefaultParagraphFont"/>
    <w:uiPriority w:val="20"/>
    <w:qFormat/>
    <w:rsid w:val="005532B8"/>
    <w:rPr>
      <w:i/>
      <w:iCs/>
    </w:rPr>
  </w:style>
  <w:style w:type="character" w:styleId="HTMLCode">
    <w:name w:val="HTML Code"/>
    <w:basedOn w:val="DefaultParagraphFont"/>
    <w:uiPriority w:val="99"/>
    <w:semiHidden/>
    <w:unhideWhenUsed/>
    <w:rsid w:val="008D3A07"/>
    <w:rPr>
      <w:rFonts w:ascii="Courier New" w:eastAsia="Times New Roman" w:hAnsi="Courier New" w:cs="Courier New"/>
      <w:sz w:val="20"/>
      <w:szCs w:val="20"/>
    </w:rPr>
  </w:style>
  <w:style w:type="table" w:styleId="TableGrid">
    <w:name w:val="Table Grid"/>
    <w:basedOn w:val="TableNormal"/>
    <w:uiPriority w:val="59"/>
    <w:rsid w:val="008074B4"/>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808E0"/>
  </w:style>
  <w:style w:type="character" w:customStyle="1" w:styleId="BodyTextChar">
    <w:name w:val="Body Text Char"/>
    <w:basedOn w:val="DefaultParagraphFont"/>
    <w:link w:val="BodyText"/>
    <w:uiPriority w:val="1"/>
    <w:rsid w:val="008808E0"/>
    <w:rPr>
      <w:rFonts w:ascii="Times New Roman" w:eastAsia="Times New Roman" w:hAnsi="Times New Roman" w:cs="Times New Roman"/>
      <w:kern w:val="0"/>
      <w14:ligatures w14:val="none"/>
    </w:rPr>
  </w:style>
  <w:style w:type="paragraph" w:styleId="NormalWeb">
    <w:name w:val="Normal (Web)"/>
    <w:basedOn w:val="Normal"/>
    <w:uiPriority w:val="99"/>
    <w:unhideWhenUsed/>
    <w:rsid w:val="008808E0"/>
    <w:pPr>
      <w:spacing w:before="100" w:beforeAutospacing="1" w:after="100" w:afterAutospacing="1"/>
    </w:pPr>
  </w:style>
  <w:style w:type="character" w:styleId="Strong">
    <w:name w:val="Strong"/>
    <w:basedOn w:val="DefaultParagraphFont"/>
    <w:uiPriority w:val="22"/>
    <w:qFormat/>
    <w:rsid w:val="00164ACF"/>
    <w:rPr>
      <w:b/>
      <w:bCs/>
    </w:rPr>
  </w:style>
  <w:style w:type="paragraph" w:styleId="Caption">
    <w:name w:val="caption"/>
    <w:basedOn w:val="Normal"/>
    <w:next w:val="Normal"/>
    <w:uiPriority w:val="35"/>
    <w:unhideWhenUsed/>
    <w:qFormat/>
    <w:rsid w:val="0004315F"/>
    <w:pPr>
      <w:spacing w:before="80" w:after="80"/>
    </w:pPr>
    <w:rPr>
      <w:rFonts w:ascii="Calibri" w:eastAsiaTheme="minorEastAsia" w:hAnsi="Calibri" w:cstheme="minorBidi"/>
      <w:b/>
      <w:bCs/>
      <w:color w:val="555555"/>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13496</Words>
  <Characters>76928</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Semet</dc:creator>
  <cp:keywords/>
  <dc:description/>
  <cp:lastModifiedBy>Amy Semet</cp:lastModifiedBy>
  <cp:revision>2</cp:revision>
  <dcterms:created xsi:type="dcterms:W3CDTF">2026-07-13T18:20:00Z</dcterms:created>
  <dcterms:modified xsi:type="dcterms:W3CDTF">2026-07-13T18:20:00Z</dcterms:modified>
</cp:coreProperties>
</file>